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B57DF5">
      <w:pPr>
        <w:spacing w:before="240"/>
        <w:jc w:val="left"/>
      </w:pPr>
      <w:bookmarkStart w:id="0" w:name="_Toc261346423"/>
      <w:r>
        <w:rPr>
          <w:sz w:val="32"/>
          <w:szCs w:val="32"/>
        </w:rPr>
        <w:t>Stipulations spécifiques à certains pays</w:t>
      </w:r>
    </w:p>
    <w:p w14:paraId="576679B2" w14:textId="106BD5E2" w:rsidR="00374E8C" w:rsidRPr="004D7362" w:rsidRDefault="00374E8C" w:rsidP="00374E8C">
      <w:pPr>
        <w:spacing w:before="360"/>
      </w:pPr>
      <w:r>
        <w:t>Les stipulations suivantes remplaceront ou complèteront les stipulations équivalentes figurant dans le Contrat Cadre et de Prestations de Services Global Microsoft :</w:t>
      </w:r>
    </w:p>
    <w:p w14:paraId="115790C9" w14:textId="567FA0AD" w:rsidR="00374E8C" w:rsidRPr="004D7362" w:rsidRDefault="00374E8C" w:rsidP="00404D8A">
      <w:pPr>
        <w:pStyle w:val="Heading1"/>
        <w:numPr>
          <w:ilvl w:val="0"/>
          <w:numId w:val="30"/>
        </w:numPr>
        <w:spacing w:after="0"/>
        <w:ind w:hanging="720"/>
      </w:pPr>
      <w:r>
        <w:rPr>
          <w:rFonts w:cs="Arial"/>
        </w:rPr>
        <w:t>Stipulations spécifiques à certains pays déterminées par la zone géographique.</w:t>
      </w:r>
      <w:bookmarkEnd w:id="0"/>
    </w:p>
    <w:p w14:paraId="675A30CE" w14:textId="491FB839" w:rsidR="00374E8C" w:rsidRPr="004D7362" w:rsidRDefault="00374E8C" w:rsidP="00374E8C">
      <w:r>
        <w:t>Les stipulations suivantes remplaceront les stipulations ci-dessus ou viendront s’y ajouter pour les Clients situés dans l’un des pays cités dans le présent article 1 :</w:t>
      </w:r>
    </w:p>
    <w:p w14:paraId="0A0F3B1C" w14:textId="77777777" w:rsidR="00374E8C" w:rsidRPr="004D7362" w:rsidRDefault="00374E8C" w:rsidP="00374E8C">
      <w:pPr>
        <w:keepNext/>
        <w:shd w:val="clear" w:color="auto" w:fill="000000"/>
        <w:spacing w:after="120"/>
      </w:pPr>
      <w:r>
        <w:rPr>
          <w:b/>
          <w:bCs/>
          <w:color w:val="FFFFFF"/>
        </w:rPr>
        <w:t>Australie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L’article intitulé « Garanties » est complété par ce qui suit :</w:t>
            </w:r>
          </w:p>
        </w:tc>
      </w:tr>
    </w:tbl>
    <w:p w14:paraId="2E2C40DC" w14:textId="32211002" w:rsidR="00374E8C" w:rsidRPr="004D7362" w:rsidRDefault="00374E8C" w:rsidP="00374E8C">
      <w:pPr>
        <w:spacing w:after="240"/>
        <w:ind w:left="1080" w:hanging="360"/>
      </w:pPr>
      <w:r>
        <w:rPr>
          <w:b/>
          <w:bCs/>
        </w:rPr>
        <w:t>d.</w:t>
      </w:r>
      <w:r>
        <w:rPr>
          <w:b/>
          <w:bCs/>
        </w:rPr>
        <w:tab/>
        <w:t>Recours des consommateurs.</w:t>
      </w:r>
      <w:r w:rsidR="00AE26A9">
        <w:t xml:space="preserve"> </w:t>
      </w:r>
      <w:r>
        <w:t>Nonobstant toute stipulation contraire dans le présent contrat (ou tout Contrat Supplémentaire), les consommateurs peuvent disposer de certains droits ou recours en application du « </w:t>
      </w:r>
      <w:proofErr w:type="spellStart"/>
      <w:r>
        <w:t>Competition</w:t>
      </w:r>
      <w:proofErr w:type="spellEnd"/>
      <w:r>
        <w:t xml:space="preserve"> and Consumer </w:t>
      </w:r>
      <w:proofErr w:type="spellStart"/>
      <w:r>
        <w:t>Act</w:t>
      </w:r>
      <w:proofErr w:type="spellEnd"/>
      <w:r>
        <w:t> » (loi sur la concurrence et la consommation) de 2010 (</w:t>
      </w:r>
      <w:proofErr w:type="spellStart"/>
      <w:r>
        <w:t>Cth</w:t>
      </w:r>
      <w:proofErr w:type="spellEnd"/>
      <w:r>
        <w:t>) et d’autres lois similaires des états et territoires d’Australie qui ne permettent pas l’exclusion de responsabilité. Dans toute la mesure permise par la réglementation applicable, cette responsabilité est limitée, selon le choix de Microsoft, dans le cas de produits, soit (1) au remplacement des produits, soit (2) à la correction des défauts de ces produits, et dans le cas de Services Professionnels, soit (1) à une nouvelle fourniture des Services Professionnels, soit (2) au coût de la nouvelle fourniture des Services Professionnels.</w:t>
      </w:r>
      <w:r w:rsidR="00AE26A9">
        <w:t xml:space="preserve"> </w:t>
      </w:r>
      <w:r>
        <w:t>La loi australienne exige que nous notifiions aux acheteurs de produits Microsoft les éléments suivants : Nos biens sont livrés avec des garanties qui ne peuvent être exclues en vertu de la loi australienne sur la protection des consommateurs. Vous avez droit au remplacement ou au remboursement pour panne majeure et à une indemnisation pour toute autre perte ou tout autre dommage prévisible dans une limite raisonnable. Vous avez, en outre, droit à la réparation ou au remplacement des biens si ces derniers ne s’avèrent pas de qualité acceptable et que la panne ne constitue pas une panne majeure.</w:t>
      </w:r>
    </w:p>
    <w:p w14:paraId="074C11C2" w14:textId="0BA5FBA6" w:rsidR="00374E8C" w:rsidRPr="004D7362" w:rsidRDefault="00374E8C" w:rsidP="00374E8C">
      <w:pPr>
        <w:keepNext/>
        <w:shd w:val="clear" w:color="auto" w:fill="000000"/>
        <w:spacing w:before="360" w:after="120"/>
      </w:pPr>
      <w:r>
        <w:rPr>
          <w:b/>
          <w:bCs/>
          <w:color w:val="FFFFFF"/>
        </w:rPr>
        <w:t>Bangladesh, Inde, Indonésie, Myanmar, République populaire de Chine, Philippines, Sri Lanka, Thaïlande et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Le paragraphe intitulé « Règlement des litiges » est remplacé par ce qui suit :</w:t>
            </w:r>
          </w:p>
        </w:tc>
      </w:tr>
    </w:tbl>
    <w:p w14:paraId="60D30881" w14:textId="1E309006" w:rsidR="00374E8C" w:rsidRPr="004D7362" w:rsidRDefault="00374E8C" w:rsidP="00B471C1">
      <w:pPr>
        <w:ind w:left="1080"/>
      </w:pPr>
      <w:r>
        <w:rPr>
          <w:b/>
          <w:bCs/>
        </w:rPr>
        <w:t>Règlement des litiges.</w:t>
      </w:r>
      <w:r w:rsidR="00AE26A9">
        <w:rPr>
          <w:b/>
          <w:bCs/>
        </w:rPr>
        <w:t xml:space="preserve"> </w:t>
      </w:r>
      <w:r>
        <w:rPr>
          <w:bCs/>
        </w:rPr>
        <w:t>Dans l’hypothèse où l’une des parties déciderait d’engager une action au titre du présent contrat (y compris tout contrat incorporant ses termes) dans l’un des pays susmentionnés, les parties conviennent d’avoir recours à une procédure d’arbitrage conformément aux termes du présent article.</w:t>
      </w:r>
      <w:r w:rsidR="00AE26A9">
        <w:rPr>
          <w:b/>
          <w:bCs/>
        </w:rPr>
        <w:t xml:space="preserve"> </w:t>
      </w:r>
      <w:r>
        <w:t>La sentence arbitrale rendue est définitive et pourra être utilisée dans un tribunal dans les pays indiqués ci-avant ou dans tout autre pays.</w:t>
      </w:r>
      <w:r w:rsidR="00AE26A9">
        <w:t xml:space="preserve"> </w:t>
      </w:r>
      <w:r>
        <w:t>Dans toute la mesure permise par la réglementation applicable, les parties renoncent au droit de faire appel, sous quelque forme que ce soit, ou d’invoquer tout recours similaire devant un tribunal.</w:t>
      </w:r>
      <w:r w:rsidR="00AE26A9">
        <w:t xml:space="preserve"> </w:t>
      </w:r>
      <w:r>
        <w:t>Cette attribution de compétence n’empêche en aucun cas les parties de chercher à obtenir une injonction pour faire respecter les droits de propriété intellectuelle ou les obligations de confidentialité devant d’autres tribunaux compétents.</w:t>
      </w:r>
      <w:r w:rsidR="00AE26A9">
        <w:t xml:space="preserve"> </w:t>
      </w:r>
      <w:r>
        <w:t>La langue de l’arbitrage est l’anglais.</w:t>
      </w:r>
      <w:r w:rsidR="00AE26A9">
        <w:t xml:space="preserve"> </w:t>
      </w:r>
      <w:r>
        <w:t>De plus, les conditions suivantes s’appliquent à tous les pays mentionnés ci-dessous.</w:t>
      </w:r>
    </w:p>
    <w:p w14:paraId="1AFA36C6" w14:textId="3F0A6E7B" w:rsidR="00374E8C" w:rsidRPr="004D7362" w:rsidRDefault="00374E8C" w:rsidP="00374E8C">
      <w:pPr>
        <w:ind w:left="1080"/>
      </w:pPr>
      <w:r w:rsidRPr="00747682">
        <w:rPr>
          <w:b/>
          <w:bCs/>
          <w:lang w:val="da-DK"/>
        </w:rPr>
        <w:t>Bangladesh, Indonésie, Sri Lanka, Thaïlande et Vietnam.</w:t>
      </w:r>
      <w:r w:rsidR="00AE26A9" w:rsidRPr="00747682">
        <w:rPr>
          <w:lang w:val="da-DK"/>
        </w:rPr>
        <w:t xml:space="preserve"> </w:t>
      </w:r>
      <w:r>
        <w:t>Tout litige résultant du présent contrat (y compris, tout Contrat Supplémentaire) ou lié à celui-ci, notamment tout litige relatif à son existence, sa validité ou sa résiliation, sera soumis à l’arbitrage, conformément au Règlement d’Arbitrage du Centre d’Arbitrage International de Singapour (« Singapore International Arbitration Centre » ou « SIAC »). Ce règlement est incorporé par référence dans le présent article.</w:t>
      </w:r>
      <w:r w:rsidR="00AE26A9">
        <w:t xml:space="preserve"> </w:t>
      </w:r>
      <w:r>
        <w:t xml:space="preserve">Le tribunal arbitral sera composé d’un </w:t>
      </w:r>
      <w:r>
        <w:lastRenderedPageBreak/>
        <w:t>arbitre unique nommé par le Président de la SIAC.</w:t>
      </w:r>
      <w:r w:rsidR="00AE26A9">
        <w:t xml:space="preserve"> </w:t>
      </w:r>
      <w:r>
        <w:rPr>
          <w:bCs/>
        </w:rPr>
        <w:t>Toute la p</w:t>
      </w:r>
      <w:r>
        <w:t>rocédure d’arbitrage devra se dérouler en anglais.</w:t>
      </w:r>
    </w:p>
    <w:p w14:paraId="0C1411B7" w14:textId="249DF913" w:rsidR="00374E8C" w:rsidRPr="004D7362" w:rsidRDefault="00374E8C" w:rsidP="00374E8C">
      <w:pPr>
        <w:ind w:left="1080"/>
      </w:pPr>
      <w:r>
        <w:rPr>
          <w:b/>
        </w:rPr>
        <w:t>Inde.</w:t>
      </w:r>
      <w:r w:rsidR="00AE26A9">
        <w:t xml:space="preserve"> </w:t>
      </w:r>
      <w:r>
        <w:t>L’arbitrage s’effectuera conformément au Règlement d’Arbitrage International du Centre d’Arbitrage International de Singapour (« Singapore International Arbitration Centre » ou « SIAC »). Ce règlement est incorporé par référence au présent paragraphe. Le tribunal arbitral sera composé d’un arbitre unique nommé par le Président de la SIAC. Le lieu de l’arbitrage sera Singapour et la langue de l’arbitrage sera l’anglais.</w:t>
      </w:r>
      <w:r w:rsidR="00AE26A9">
        <w:t xml:space="preserve"> </w:t>
      </w:r>
      <w:r>
        <w:t>La sentence arbitrale rendue sera définitive et opposable aux parties.</w:t>
      </w:r>
      <w:r w:rsidR="00AE26A9">
        <w:t xml:space="preserve"> </w:t>
      </w:r>
      <w:r>
        <w:t>Tout litige relatif à l’application de la sentence arbitrale et/ou toute ordonnance de protection temporaire relève de la compétence exclusive des tribunaux de New Delhi.</w:t>
      </w:r>
    </w:p>
    <w:p w14:paraId="78F84D67" w14:textId="682CE379" w:rsidR="00374E8C" w:rsidRPr="004D7362" w:rsidRDefault="00374E8C" w:rsidP="00374E8C">
      <w:pPr>
        <w:ind w:left="1080"/>
      </w:pPr>
      <w:r>
        <w:rPr>
          <w:b/>
        </w:rPr>
        <w:t>République populaire de Chine.</w:t>
      </w:r>
      <w:r w:rsidR="00AE26A9">
        <w:rPr>
          <w:b/>
        </w:rPr>
        <w:t xml:space="preserve"> </w:t>
      </w:r>
      <w:r>
        <w:t xml:space="preserve">Tout litige résultant du présent contrat (y compris tout Contrat Supplémentaire) ou lié à celui-ci, notamment tout litige relatif à son existence, sa validité ou sa résiliation, sera soumis à l’arbitrage de la Commission chinoise d’arbitrage économique et commercial international (« China International </w:t>
      </w:r>
      <w:proofErr w:type="spellStart"/>
      <w:r>
        <w:t>Economic</w:t>
      </w:r>
      <w:proofErr w:type="spellEnd"/>
      <w:r>
        <w:t xml:space="preserve"> and Trade Arbitration Commission » ou « CIETAC ») située à Pékin, conformément au règlement d’arbitrage en vigueur. La sentence arbitrale rendue sera opposable aux parties.</w:t>
      </w:r>
    </w:p>
    <w:p w14:paraId="68BE63E6" w14:textId="5AA0C306" w:rsidR="00374E8C" w:rsidRPr="004D7362" w:rsidRDefault="00374E8C" w:rsidP="00374E8C">
      <w:pPr>
        <w:ind w:left="1080"/>
      </w:pPr>
      <w:r>
        <w:rPr>
          <w:b/>
        </w:rPr>
        <w:t>Philippines.</w:t>
      </w:r>
      <w:r w:rsidR="00AE26A9">
        <w:t xml:space="preserve"> </w:t>
      </w:r>
      <w:r>
        <w:t>Tout litige résultant du présent contrat, ou de tout Contrat Supplémentaire, ou lié à celui-ci, notamment tout litige relatif à son existence, sa validité ou sa résiliation, sera soumis à l’arbitrage à Singapour, conformément au Règlement d’Arbitrage du Centre d’Arbitrage International de Singapour (« Singapore International Arbitration Centre » ou « SIAC »). Ce règlement est incorporé par référence dans le présent article. La sentence arbitrale rendue sera définitive.</w:t>
      </w:r>
      <w:r w:rsidR="00AE26A9">
        <w:t xml:space="preserve"> </w:t>
      </w:r>
      <w:r>
        <w:t>Le tribunal arbitral sera composé d’un arbitre unique nommé par le Président de la SIAC.</w:t>
      </w:r>
    </w:p>
    <w:p w14:paraId="6B0B5594" w14:textId="7BC8CC27" w:rsidR="00374E8C" w:rsidRPr="004D7362" w:rsidRDefault="00374E8C" w:rsidP="00374E8C">
      <w:pPr>
        <w:ind w:left="1080"/>
      </w:pPr>
      <w:r>
        <w:t>Tout litige qui pourrait être lié à une quelconque Déclaration de Services ou qui pourrait en résulter, y compris toutes les questions liées à son existence, à sa validité ou sa résiliation, sera soumis à l’arbitrage, conformément au Règlement d’Arbitrage UNCITRAL en vigueur à la date du litige.</w:t>
      </w:r>
      <w:r w:rsidR="00AE26A9">
        <w:t xml:space="preserve"> </w:t>
      </w:r>
      <w:r>
        <w:t>Le lieu de l’arbitrage sera Singapour.</w:t>
      </w:r>
      <w:r w:rsidR="00AE26A9">
        <w:t xml:space="preserve"> </w:t>
      </w:r>
      <w:r>
        <w:rPr>
          <w:bCs/>
        </w:rPr>
        <w:t>Toute la p</w:t>
      </w:r>
      <w:r>
        <w:t>rocédure d’arbitrage devra se dérouler en anglais.</w:t>
      </w:r>
    </w:p>
    <w:p w14:paraId="2CDF059A" w14:textId="77777777" w:rsidR="00374E8C" w:rsidRPr="004D7362" w:rsidRDefault="00374E8C" w:rsidP="00374E8C">
      <w:pPr>
        <w:keepNext/>
        <w:shd w:val="clear" w:color="auto" w:fill="000000"/>
        <w:spacing w:before="360" w:after="120"/>
      </w:pPr>
      <w:r>
        <w:rPr>
          <w:b/>
          <w:bCs/>
          <w:color w:val="FFFFFF"/>
        </w:rPr>
        <w:t>Bangladesh, Indonésie et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La troisième phrase du paragraphe intitulé « Droit applicable » est remplacée par ce qui suit :</w:t>
            </w:r>
          </w:p>
        </w:tc>
      </w:tr>
    </w:tbl>
    <w:p w14:paraId="30EBF0E2" w14:textId="7E118FF0" w:rsidR="00374E8C" w:rsidRPr="004D7362" w:rsidRDefault="000C754A" w:rsidP="00374E8C">
      <w:r>
        <w:t>Tout litige découlant des Services Professionnels ou en relation avec ceux-ci sera régi par les lois de Singapour.</w:t>
      </w:r>
    </w:p>
    <w:p w14:paraId="6684DD73" w14:textId="77777777" w:rsidR="00374E8C" w:rsidRPr="004D7362" w:rsidRDefault="00374E8C" w:rsidP="00374E8C">
      <w:pPr>
        <w:keepNext/>
        <w:shd w:val="clear" w:color="auto" w:fill="000000"/>
        <w:spacing w:before="360" w:after="120"/>
      </w:pPr>
      <w:r>
        <w:rPr>
          <w:b/>
          <w:bCs/>
          <w:color w:val="FFFFFF"/>
        </w:rPr>
        <w:t>Inde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La première phrase du paragraphe intitulé « Droit applicable » est remplacée par ce qui suit :</w:t>
            </w:r>
          </w:p>
        </w:tc>
      </w:tr>
    </w:tbl>
    <w:p w14:paraId="55E12EEB" w14:textId="5FA1D9B9" w:rsidR="00374E8C" w:rsidRPr="004D7362" w:rsidRDefault="00374E8C" w:rsidP="00374E8C">
      <w:r>
        <w:t>Les termes de chaque Contrat Supplémentaire conclu avec un Affilié Microsoft situé en Inde sont régis par les lois de l’Inde et interprétés conformément à ces lois.</w:t>
      </w:r>
    </w:p>
    <w:p w14:paraId="3AD1D9CB" w14:textId="77777777" w:rsidR="00374E8C" w:rsidRPr="004D7362" w:rsidRDefault="00374E8C" w:rsidP="00374E8C">
      <w:pPr>
        <w:keepNext/>
        <w:shd w:val="clear" w:color="auto" w:fill="000000"/>
        <w:spacing w:before="360" w:after="120"/>
      </w:pPr>
      <w:r>
        <w:rPr>
          <w:b/>
          <w:bCs/>
          <w:color w:val="FFFFFF"/>
        </w:rPr>
        <w:t>Japon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L’URL mentionnée dans la définition du terme « Site des Licences en Volume » de l’article intitulé « Définitions » est remplacée par ce qui suit :</w:t>
            </w:r>
          </w:p>
        </w:tc>
      </w:tr>
    </w:tbl>
    <w:p w14:paraId="1F5382D4" w14:textId="7C72D245" w:rsidR="00374E8C" w:rsidRPr="004D7362" w:rsidRDefault="00681196"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5073A7">
            <w:pPr>
              <w:keepNext/>
              <w:spacing w:after="120"/>
              <w:ind w:left="86" w:right="86"/>
              <w:rPr>
                <w:b/>
                <w:bCs/>
              </w:rPr>
            </w:pPr>
            <w:r>
              <w:rPr>
                <w:b/>
                <w:bCs/>
              </w:rPr>
              <w:lastRenderedPageBreak/>
              <w:t>Le paragraphe intitulé « Réglementation applicable » est remplacé par ce qui suit :</w:t>
            </w:r>
          </w:p>
        </w:tc>
      </w:tr>
    </w:tbl>
    <w:p w14:paraId="1AC9C3B2" w14:textId="31FE1CE7" w:rsidR="00D5280E" w:rsidRPr="004D7362" w:rsidRDefault="00D5280E" w:rsidP="00D5280E">
      <w:pPr>
        <w:spacing w:after="240"/>
      </w:pPr>
      <w:r>
        <w:t>Les Contrats Supplémentaires ou Déclarations de Services sont régis par les lois du Japon. La Convention des Nations Unies sur les contrats de vente internationale de marchandises de 1980 et les textes s’y rapportant ne s’appliquent pas au présent Contrat.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Le paragraphe intitulé « Règlement des litiges » est remplacé par ce qui suit :</w:t>
            </w:r>
          </w:p>
        </w:tc>
      </w:tr>
    </w:tbl>
    <w:p w14:paraId="2F94BFF2" w14:textId="5CDDD992" w:rsidR="00374E8C" w:rsidRPr="004D7362" w:rsidRDefault="00374E8C" w:rsidP="00374E8C">
      <w:pPr>
        <w:spacing w:after="240"/>
      </w:pPr>
      <w:r>
        <w:rPr>
          <w:color w:val="auto"/>
        </w:rPr>
        <w:t>Tout litige qui pourrait être lié au présent contrat ou qui pourrait en résulter (y compris tout Contrat Supplémentaire ou toute Déclaration de Services incorporant ces termes), notamment tout litige relatif à son existence, à sa validité ou à sa résiliation, sera soumis à la compétence personnelle et exclusive du Tribunal de District de Tokyo.</w:t>
      </w:r>
      <w:r w:rsidR="00AE26A9">
        <w:rPr>
          <w:color w:val="auto"/>
        </w:rPr>
        <w:t xml:space="preserve"> </w:t>
      </w:r>
      <w:r>
        <w:t>Cette attribution de compétence n’empêche en aucun cas les parties de chercher à obtenir une injonction pour faire respecter les droits de propriété intellectuelle ou les obligations de confidentialité devant d’autres tribunaux compétents.</w:t>
      </w:r>
    </w:p>
    <w:p w14:paraId="26DAF03A" w14:textId="2D3B96D9" w:rsidR="00374E8C" w:rsidRPr="004D7362" w:rsidRDefault="00374E8C" w:rsidP="00D5280E">
      <w:pPr>
        <w:keepNext/>
        <w:shd w:val="clear" w:color="auto" w:fill="000000"/>
        <w:spacing w:before="360" w:after="120"/>
      </w:pPr>
      <w:r>
        <w:rPr>
          <w:b/>
          <w:bCs/>
          <w:color w:val="FFFFFF"/>
        </w:rPr>
        <w:t>Nouvelle Zélande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L’article intitulé « Stipulations diverses » est complété par ce qui suit :</w:t>
            </w:r>
          </w:p>
        </w:tc>
      </w:tr>
    </w:tbl>
    <w:p w14:paraId="075B5088" w14:textId="2B038510" w:rsidR="00374E8C" w:rsidRPr="004D7362" w:rsidRDefault="0089029D" w:rsidP="00374E8C">
      <w:pPr>
        <w:ind w:left="1080" w:hanging="360"/>
      </w:pPr>
      <w:r>
        <w:rPr>
          <w:b/>
          <w:bCs/>
        </w:rPr>
        <w:t>o.</w:t>
      </w:r>
      <w:r>
        <w:rPr>
          <w:b/>
          <w:bCs/>
        </w:rPr>
        <w:tab/>
        <w:t>Responsabilité imposée par la loi.</w:t>
      </w:r>
    </w:p>
    <w:p w14:paraId="552D294D" w14:textId="3D8C65B5" w:rsidR="00374E8C" w:rsidRPr="004D7362" w:rsidRDefault="00374E8C" w:rsidP="00374E8C">
      <w:pPr>
        <w:pStyle w:val="ListParagraph"/>
        <w:numPr>
          <w:ilvl w:val="0"/>
          <w:numId w:val="27"/>
        </w:numPr>
        <w:ind w:left="1440"/>
        <w:contextualSpacing w:val="0"/>
      </w:pPr>
      <w:r>
        <w:rPr>
          <w:b/>
          <w:bCs/>
        </w:rPr>
        <w:t>Sociétés.</w:t>
      </w:r>
      <w:r w:rsidR="00AE26A9">
        <w:rPr>
          <w:b/>
          <w:bCs/>
        </w:rPr>
        <w:t xml:space="preserve"> </w:t>
      </w:r>
      <w:r>
        <w:rPr>
          <w:bCs/>
        </w:rPr>
        <w:t xml:space="preserve">Si Microsoft est fournisseur (tel que ce terme est défini dans le « Consumer </w:t>
      </w:r>
      <w:proofErr w:type="spellStart"/>
      <w:r>
        <w:rPr>
          <w:bCs/>
        </w:rPr>
        <w:t>Guaranties</w:t>
      </w:r>
      <w:proofErr w:type="spellEnd"/>
      <w:r>
        <w:rPr>
          <w:bCs/>
        </w:rPr>
        <w:t xml:space="preserve"> </w:t>
      </w:r>
      <w:proofErr w:type="spellStart"/>
      <w:r>
        <w:rPr>
          <w:bCs/>
        </w:rPr>
        <w:t>Act</w:t>
      </w:r>
      <w:proofErr w:type="spellEnd"/>
      <w:r>
        <w:rPr>
          <w:bCs/>
        </w:rPr>
        <w:t> » ou « CGA » - Loi sur les garanties des consommateurs de 1993) des Produits ou Services Professionnels, le Client déclare que les Produits ou Services Professionnels fournis par Microsoft au titre d’un Contrat Supplémentaire ou d’une Déclaration de Services sont acquis pour une société (tel que ce terme est défini dans le CGA) et le Client reconnaît que le CGA ne s’applique pas aux Produits ou Services Professionnels que Microsoft fournit.</w:t>
      </w:r>
    </w:p>
    <w:p w14:paraId="40965C25" w14:textId="39D358C4" w:rsidR="00374E8C" w:rsidRPr="004D7362" w:rsidRDefault="00374E8C" w:rsidP="00374E8C">
      <w:pPr>
        <w:pStyle w:val="ListParagraph"/>
        <w:numPr>
          <w:ilvl w:val="0"/>
          <w:numId w:val="27"/>
        </w:numPr>
        <w:ind w:left="1440"/>
        <w:contextualSpacing w:val="0"/>
      </w:pPr>
      <w:r>
        <w:rPr>
          <w:b/>
          <w:bCs/>
        </w:rPr>
        <w:t>Consommateurs.</w:t>
      </w:r>
      <w:r w:rsidR="00AE26A9">
        <w:rPr>
          <w:b/>
          <w:bCs/>
        </w:rPr>
        <w:t xml:space="preserve"> </w:t>
      </w:r>
      <w:r>
        <w:rPr>
          <w:bCs/>
        </w:rPr>
        <w:t>Le présent contrat (ou un Contrat Supplémentaire ou une Déclaration de Services quelconque incorporant ces conditions) n’a pas pour effet de limiter les droits d’un « consommateur » en vertu du CGA, lorsque cette loi s’applique, sauf dans la mesure permise par cette loi, et les conditions du présent contrat doivent être modifiées en conséquence de manière à donner effet à cette stipulation.</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Stipulations spécifiques à certains pays déterminées par la législation applicable.</w:t>
      </w:r>
      <w:bookmarkEnd w:id="1"/>
    </w:p>
    <w:p w14:paraId="3E12C8B3" w14:textId="66E2E9C8" w:rsidR="00374E8C" w:rsidRPr="004D7362" w:rsidRDefault="00374E8C" w:rsidP="006D4245">
      <w:r>
        <w:t>Dans la mesure où la législation des pays cités ci-dessous s’applique en vertu des conditions du contrat ou de la décision d’un tribunal, les stipulations suivantes remplaceront ou complèteront les stipulations équivalentes :</w:t>
      </w:r>
    </w:p>
    <w:p w14:paraId="61910AFA" w14:textId="77777777" w:rsidR="00374E8C" w:rsidRPr="004D7362" w:rsidRDefault="00374E8C" w:rsidP="006D4245">
      <w:pPr>
        <w:keepNext/>
        <w:shd w:val="clear" w:color="auto" w:fill="000000"/>
        <w:spacing w:after="120"/>
      </w:pPr>
      <w:r>
        <w:rPr>
          <w:b/>
          <w:bCs/>
          <w:color w:val="FFFFFF"/>
        </w:rPr>
        <w:t>Autriche</w:t>
      </w:r>
      <w:bookmarkStart w:id="2" w:name="_GoBack"/>
      <w:bookmarkEnd w:id="2"/>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L’article intitulé « Garanties » est complété par ce qui suit :</w:t>
            </w:r>
          </w:p>
        </w:tc>
      </w:tr>
    </w:tbl>
    <w:p w14:paraId="67ECE681" w14:textId="53A0F1BB" w:rsidR="00374E8C" w:rsidRPr="004D7362" w:rsidRDefault="00374E8C" w:rsidP="002052C3">
      <w:pPr>
        <w:pStyle w:val="ListParagraph"/>
        <w:numPr>
          <w:ilvl w:val="0"/>
          <w:numId w:val="53"/>
        </w:numPr>
        <w:ind w:left="1080"/>
      </w:pPr>
      <w:r>
        <w:rPr>
          <w:b/>
          <w:bCs/>
        </w:rPr>
        <w:t>Caractéristiques convenues ; Actions ou réclamations fondées sur des Défauts de qualité et sur l’absence de titre de propriété.</w:t>
      </w:r>
      <w:r w:rsidR="00AE26A9">
        <w:t xml:space="preserve"> </w:t>
      </w:r>
      <w:r>
        <w:t>Dans la mesure où Microsoft est tenue de fournir un bien meuble n’ayant pas encore été fabriqué (</w:t>
      </w:r>
      <w:proofErr w:type="spellStart"/>
      <w:r>
        <w:t>herzustellende</w:t>
      </w:r>
      <w:proofErr w:type="spellEnd"/>
      <w:r>
        <w:t xml:space="preserve">, </w:t>
      </w:r>
      <w:proofErr w:type="spellStart"/>
      <w:r>
        <w:t>bewegliche</w:t>
      </w:r>
      <w:proofErr w:type="spellEnd"/>
      <w:r>
        <w:t xml:space="preserve"> Sache) ou dans la mesure où ses prestations de Services Professionnels sont exceptionnellement considérées comme des réalisations de travaux (</w:t>
      </w:r>
      <w:proofErr w:type="spellStart"/>
      <w:r>
        <w:t>Werkleistungen</w:t>
      </w:r>
      <w:proofErr w:type="spellEnd"/>
      <w:r>
        <w:t>), les stipulations des paragraphes d. à i. du présent article s’appliqueront aux actions ou réclamations fondées sur des défauts de qualité ou sur l’absence de titre de propriété (ci-après collectivement dénommés les « Défauts ») mais non aux actions en réparation ou en remboursement des frais engagés. Les dispositions de l’article « Limitation de responsabilité » s’appliquent aux actions ou aux réclamations en demandes de dommages et intérêts ou en remboursement des frais engagés en raison de l’existence de Défauts.</w:t>
      </w:r>
    </w:p>
    <w:p w14:paraId="0653D38F" w14:textId="537C0435" w:rsidR="00374E8C" w:rsidRPr="004D7362" w:rsidRDefault="00374E8C" w:rsidP="002052C3">
      <w:pPr>
        <w:pStyle w:val="ListParagraph"/>
        <w:numPr>
          <w:ilvl w:val="0"/>
          <w:numId w:val="53"/>
        </w:numPr>
        <w:ind w:left="1080"/>
        <w:contextualSpacing w:val="0"/>
      </w:pPr>
      <w:r>
        <w:rPr>
          <w:b/>
          <w:bCs/>
        </w:rPr>
        <w:lastRenderedPageBreak/>
        <w:t>Garantie en cas de non-divulgation malveillante d’un Défaut.</w:t>
      </w:r>
      <w:r w:rsidR="00AE26A9">
        <w:t xml:space="preserve"> </w:t>
      </w:r>
      <w:r>
        <w:t>Les droits accordés au Client et la date à laquelle les droits accordés expireront seront exclusivement régis par les dispositions légales en vigueur en cas de non-divulgation malveillante d’un Défaut (</w:t>
      </w:r>
      <w:proofErr w:type="spellStart"/>
      <w:r>
        <w:t>arglistiges</w:t>
      </w:r>
      <w:proofErr w:type="spellEnd"/>
      <w:r>
        <w:t xml:space="preserve"> </w:t>
      </w:r>
      <w:proofErr w:type="spellStart"/>
      <w:r>
        <w:t>Verschweigen</w:t>
      </w:r>
      <w:proofErr w:type="spellEnd"/>
      <w:r>
        <w:t>).</w:t>
      </w:r>
    </w:p>
    <w:p w14:paraId="58E7CF9E" w14:textId="1DE85AD8" w:rsidR="00374E8C" w:rsidRPr="004D7362" w:rsidRDefault="00374E8C" w:rsidP="002052C3">
      <w:pPr>
        <w:pStyle w:val="ListParagraph"/>
        <w:numPr>
          <w:ilvl w:val="0"/>
          <w:numId w:val="53"/>
        </w:numPr>
        <w:ind w:left="1080"/>
        <w:contextualSpacing w:val="0"/>
      </w:pPr>
      <w:r>
        <w:rPr>
          <w:b/>
          <w:bCs/>
        </w:rPr>
        <w:t>Caractéristiques spécifiques aux logiciels.</w:t>
      </w:r>
      <w:r w:rsidR="00AE26A9">
        <w:t xml:space="preserve"> </w:t>
      </w:r>
      <w:r>
        <w:t>Microsoft notifie explicitement au Client qu’il n’est pas possible de développer des produits logiciels complexes qui soient totalement dénués de défauts techniques, compte tenu de l’état actuel des technologies. Les caractéristiques des logiciels fournis par Microsoft, telles que prévues dans un contrat (</w:t>
      </w:r>
      <w:proofErr w:type="spellStart"/>
      <w:r>
        <w:t>vertragliche</w:t>
      </w:r>
      <w:proofErr w:type="spellEnd"/>
      <w:r>
        <w:t xml:space="preserve"> </w:t>
      </w:r>
      <w:proofErr w:type="spellStart"/>
      <w:r>
        <w:t>Beschaffenheit</w:t>
      </w:r>
      <w:proofErr w:type="spellEnd"/>
      <w:r>
        <w:t>), ne signifient pas que les logiciels devront être exempts de toute erreur de programmation mais, simplement, qu’ils seront exempts d’erreurs de programmation significative empêchant leur utilisation.</w:t>
      </w:r>
    </w:p>
    <w:p w14:paraId="5014C2DB" w14:textId="6BE2CFF4" w:rsidR="00374E8C" w:rsidRPr="004D7362" w:rsidRDefault="00374E8C" w:rsidP="002052C3">
      <w:pPr>
        <w:pStyle w:val="ListParagraph"/>
        <w:numPr>
          <w:ilvl w:val="0"/>
          <w:numId w:val="53"/>
        </w:numPr>
        <w:ind w:left="1080"/>
        <w:contextualSpacing w:val="0"/>
      </w:pPr>
      <w:r>
        <w:rPr>
          <w:b/>
          <w:bCs/>
        </w:rPr>
        <w:t>Obligation d’informer par écrit de tout Défaut.</w:t>
      </w:r>
      <w:r w:rsidR="00AE26A9">
        <w:t xml:space="preserve"> </w:t>
      </w:r>
      <w:r>
        <w:t>Dans la mesure où Microsoft est tenue de fournir un bien meuble n’ayant pas encore été fabriqué, le Client ne peut engager une action à l’encontre de Microsoft qu’à condition d’avoir dûment rempli son obligation de notifier à Microsoft l’existence de tout Défaut, conformément à l’article 377 du Code de Commerce autrichien (UGB).</w:t>
      </w:r>
      <w:r w:rsidR="00AE26A9">
        <w:t xml:space="preserve"> </w:t>
      </w:r>
      <w:r>
        <w:t>Le Client devra informer Microsoft, par écrit et dans les plus brefs délais, et au plus tard dans les deux semaines suivant la date de livraison, de l’existence de tout Défaut apparent qu’il aurait découvert au cours de l’examen du bien, conformément à l’article 377 du Code de Commerce autrichien (UGB). Le Client devra informer Microsoft, par écrit, de l’existence de tout Défaut caché, immédiatement après l’avoir découvert.</w:t>
      </w:r>
    </w:p>
    <w:p w14:paraId="478418F6" w14:textId="6B518272" w:rsidR="00374E8C" w:rsidRPr="004D7362" w:rsidRDefault="00374E8C" w:rsidP="002052C3">
      <w:pPr>
        <w:pStyle w:val="ListParagraph"/>
        <w:numPr>
          <w:ilvl w:val="0"/>
          <w:numId w:val="53"/>
        </w:numPr>
        <w:ind w:left="1080"/>
        <w:contextualSpacing w:val="0"/>
      </w:pPr>
      <w:r>
        <w:rPr>
          <w:b/>
          <w:bCs/>
        </w:rPr>
        <w:t>Remboursement en cas de Défauts non couverts par la garantie limitée.</w:t>
      </w:r>
      <w:r w:rsidR="00AE26A9">
        <w:t xml:space="preserve"> </w:t>
      </w:r>
      <w:r>
        <w:t>Si Microsoft prouve que les Défauts pour lesquels elle a été tenue responsable, conformément au présent article, n’existent pas, elle sera en droit d’exiger le remboursement des frais, selon ses tarifs standard, engagés pour y remédier.</w:t>
      </w:r>
    </w:p>
    <w:p w14:paraId="31BE6132" w14:textId="568B9BC9" w:rsidR="00374E8C" w:rsidRPr="004D7362" w:rsidRDefault="00374E8C" w:rsidP="002052C3">
      <w:pPr>
        <w:pStyle w:val="ListParagraph"/>
        <w:numPr>
          <w:ilvl w:val="0"/>
          <w:numId w:val="53"/>
        </w:numPr>
        <w:spacing w:after="240"/>
        <w:ind w:left="1080"/>
        <w:contextualSpacing w:val="0"/>
      </w:pPr>
      <w:r>
        <w:rPr>
          <w:b/>
          <w:bCs/>
        </w:rPr>
        <w:t>Absence de garantie pour les Défauts découlant d’une modification.</w:t>
      </w:r>
      <w:r w:rsidR="00AE26A9">
        <w:t xml:space="preserve"> </w:t>
      </w:r>
      <w:r>
        <w:t>Si le Client ou un tiers a modifié le bien meuble fourni mais non encore fabriqué ou la réalisation des travaux sans l’accord de Microsoft, le Client ne sera pas autorisé à engager d’action au titre du présent article, à moins qu’il soit en mesure de prouver que le Défaut existant n’est pas dû à ladite modification.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Aux fins des Services Professionnels, l’article intitulé « Limitation de responsabilité » est remplacé par ce qui suit :</w:t>
            </w:r>
          </w:p>
        </w:tc>
      </w:tr>
    </w:tbl>
    <w:p w14:paraId="51B739DE" w14:textId="0A5C1018" w:rsidR="00374E8C" w:rsidRPr="004D7362" w:rsidRDefault="00404D8A" w:rsidP="005073A7">
      <w:pPr>
        <w:keepNext/>
        <w:ind w:left="720" w:hanging="720"/>
      </w:pPr>
      <w:r>
        <w:rPr>
          <w:b/>
          <w:bCs/>
          <w:i/>
          <w:iCs/>
          <w:sz w:val="26"/>
          <w:szCs w:val="26"/>
        </w:rPr>
        <w:t>7.</w:t>
      </w:r>
      <w:r>
        <w:rPr>
          <w:b/>
          <w:bCs/>
          <w:i/>
          <w:iCs/>
          <w:sz w:val="26"/>
          <w:szCs w:val="26"/>
        </w:rPr>
        <w:tab/>
        <w:t>Limitation de responsabilité.</w:t>
      </w:r>
    </w:p>
    <w:p w14:paraId="7D33D9C7" w14:textId="77777777" w:rsidR="00374E8C" w:rsidRPr="004D7362" w:rsidRDefault="00374E8C" w:rsidP="00374E8C">
      <w:r>
        <w:t>La responsabilité de Microsoft pour tout dommage relatif à la prestation de Services Professionnels, quel que soit le motif invoqué (manquement aux termes du contrat, Défaut ou délit) sera limitée comme suit :</w:t>
      </w:r>
    </w:p>
    <w:p w14:paraId="4936A938" w14:textId="0903C24A" w:rsidR="00374E8C" w:rsidRPr="004D7362" w:rsidRDefault="00374E8C" w:rsidP="00374E8C">
      <w:pPr>
        <w:ind w:left="1080" w:hanging="360"/>
      </w:pPr>
      <w:r>
        <w:rPr>
          <w:b/>
          <w:bCs/>
        </w:rPr>
        <w:t>a.</w:t>
      </w:r>
      <w:r>
        <w:rPr>
          <w:b/>
          <w:bCs/>
        </w:rPr>
        <w:tab/>
        <w:t>Responsabilité en cas d’actes intentionnels, de faute lourde « importante », du fait des produits, de non-divulgation malveillante et d’actions en justice fondées sur l’existence d’atteintes à la vie de la personne, de préjudices corporels ou d’atteintes à la santé.</w:t>
      </w:r>
      <w:r w:rsidR="00AE26A9">
        <w:t xml:space="preserve"> </w:t>
      </w:r>
      <w:r>
        <w:t xml:space="preserve">En cas d’actes intentionnels ou de </w:t>
      </w:r>
      <w:r>
        <w:rPr>
          <w:bCs/>
        </w:rPr>
        <w:t>faute lourde « importante »</w:t>
      </w:r>
      <w:r>
        <w:t>, de réclamations ou d’actions en justice au titre de la loi sur la responsabilité du fait des Produits, de non-divulgation malveillante d’un Défaut ainsi que de réclamations ou d’actions en justice fondées sur l’existence d’atteintes à la vie de la personne, de préjudices corporels ou d’atteintes à la santé, la responsabilité de Microsoft sera déterminée conformément aux dispositions légales en vigueur.</w:t>
      </w:r>
    </w:p>
    <w:p w14:paraId="5106A1FC" w14:textId="00669628" w:rsidR="00374E8C" w:rsidRPr="004D7362" w:rsidRDefault="00374E8C" w:rsidP="00374E8C">
      <w:pPr>
        <w:ind w:left="1080" w:hanging="360"/>
      </w:pPr>
      <w:r>
        <w:rPr>
          <w:b/>
          <w:bCs/>
        </w:rPr>
        <w:t>b.</w:t>
      </w:r>
      <w:r>
        <w:rPr>
          <w:b/>
          <w:bCs/>
        </w:rPr>
        <w:tab/>
        <w:t>Limitation en cas de faute lourde « simple ».</w:t>
      </w:r>
      <w:r w:rsidR="00AE26A9">
        <w:t xml:space="preserve"> </w:t>
      </w:r>
      <w:r>
        <w:t>En cas de faute lourde « simple », la responsabilité de Microsoft sera limitée au remboursement des dommages caractéristiques et prévisibles, mais uniquement dans la limite du montant payé par le Client pour la prestation de Services Professionnels qui n’a pas été effectuée correctement ou, si plusieurs Services Professionnels sont concernés, dans la limite de leur montant total.</w:t>
      </w:r>
      <w:r w:rsidR="00AE26A9">
        <w:t xml:space="preserve"> </w:t>
      </w:r>
      <w:r>
        <w:t>En ce qui concerne les Services Professionnels fournis au Client à titre gratuit, l’entière responsabilité de Microsoft envers le Client ne pourra pas excéder 5 000 USD, ou son équivalent dans la devise locale.</w:t>
      </w:r>
    </w:p>
    <w:p w14:paraId="068115D2" w14:textId="77777777" w:rsidR="00374E8C" w:rsidRPr="004D7362" w:rsidRDefault="00374E8C" w:rsidP="00374E8C">
      <w:pPr>
        <w:ind w:left="1080"/>
      </w:pPr>
      <w:r>
        <w:lastRenderedPageBreak/>
        <w:t>En cas de faute lourde « simple », Microsoft ne pourra en aucun cas être tenue pour responsable de pertes indirectes et des dommages consécutifs (y compris, mais de manière non limitative, toute perte de bénéfices, perte de fonds commercial, perte de données ou perte liée à une interruption d’activité ou toute autre perte) résultant de la Déclaration de Services, des Livrables, des Correctifs, des Produits ou de tout autre document ou d’une information quelconque.</w:t>
      </w:r>
    </w:p>
    <w:p w14:paraId="212EC187" w14:textId="2EF509BF" w:rsidR="00374E8C" w:rsidRPr="004D7362" w:rsidRDefault="00374E8C" w:rsidP="00374E8C">
      <w:pPr>
        <w:ind w:left="1080" w:hanging="360"/>
      </w:pPr>
      <w:r>
        <w:rPr>
          <w:b/>
          <w:bCs/>
        </w:rPr>
        <w:t>c.</w:t>
      </w:r>
      <w:r>
        <w:rPr>
          <w:b/>
          <w:bCs/>
        </w:rPr>
        <w:tab/>
        <w:t>Preuve du fait intentionnel ou de la faute lourde.</w:t>
      </w:r>
      <w:r w:rsidR="00AE26A9">
        <w:t xml:space="preserve"> </w:t>
      </w:r>
      <w:r>
        <w:t>Le Client doit apporter la preuve du fait intentionnel ou de la faute lourde.</w:t>
      </w:r>
    </w:p>
    <w:p w14:paraId="19C32047" w14:textId="1B3FEA1C" w:rsidR="00374E8C" w:rsidRPr="004D7362" w:rsidRDefault="00374E8C" w:rsidP="00374E8C">
      <w:pPr>
        <w:ind w:left="1080" w:hanging="360"/>
      </w:pPr>
      <w:r>
        <w:rPr>
          <w:b/>
          <w:bCs/>
        </w:rPr>
        <w:t>d.</w:t>
      </w:r>
      <w:r>
        <w:rPr>
          <w:b/>
          <w:bCs/>
        </w:rPr>
        <w:tab/>
        <w:t>Limitation en cas de faute grave.</w:t>
      </w:r>
      <w:r w:rsidR="00AE26A9">
        <w:t xml:space="preserve"> </w:t>
      </w:r>
      <w:r>
        <w:t>La responsabilité de Microsoft en cas de faute grave est exclue.</w:t>
      </w:r>
    </w:p>
    <w:p w14:paraId="6DB9FB2A" w14:textId="21426E6C" w:rsidR="00374E8C" w:rsidRPr="004D7362" w:rsidRDefault="00374E8C" w:rsidP="00374E8C">
      <w:pPr>
        <w:ind w:left="1080" w:hanging="360"/>
      </w:pPr>
      <w:r>
        <w:rPr>
          <w:b/>
          <w:bCs/>
        </w:rPr>
        <w:t>e.</w:t>
      </w:r>
      <w:r>
        <w:rPr>
          <w:b/>
          <w:bCs/>
        </w:rPr>
        <w:tab/>
        <w:t>Responsabilité pour les pertes de données et les coûts de récupération.</w:t>
      </w:r>
      <w:r w:rsidR="00AE26A9">
        <w:t xml:space="preserve"> </w:t>
      </w:r>
      <w:r>
        <w:t>Le Client est tenu de protéger les données et les programmes avant l’engagement de Microsoft. Microsoft ne pourra en aucun cas être tenue pour responsable des pertes de données ou de programmes, ou des frais engagés pour leur récupération, dans la mesure où elles auraient pu être évitées en remplissant cette obligation. En outre, Microsoft suppose que le logiciel standard n’a pas été modifié, sauf si le Client a communiqué lesdites modifications par écrit avant l’engagement de Microsoft.</w:t>
      </w:r>
    </w:p>
    <w:p w14:paraId="12E55D04" w14:textId="0AA66815" w:rsidR="00374E8C" w:rsidRPr="004D7362" w:rsidRDefault="00374E8C" w:rsidP="00374E8C">
      <w:pPr>
        <w:ind w:left="1080" w:hanging="360"/>
      </w:pPr>
      <w:r>
        <w:rPr>
          <w:b/>
          <w:bCs/>
        </w:rPr>
        <w:t>f.</w:t>
      </w:r>
      <w:r>
        <w:rPr>
          <w:b/>
          <w:bCs/>
        </w:rPr>
        <w:tab/>
        <w:t>Période limitée pour les réclamations en cas de responsabilité.</w:t>
      </w:r>
      <w:r w:rsidR="00AE26A9">
        <w:t xml:space="preserve"> </w:t>
      </w:r>
      <w:r>
        <w:t>Toute réclamation ou action en demande de dommages et intérêts du fait de l’existence de Défauts doit être engagée dans un délai d’un (1) an.</w:t>
      </w:r>
      <w:r w:rsidR="00AE26A9">
        <w:t xml:space="preserve"> </w:t>
      </w:r>
      <w:r>
        <w:t>Pour les réalisations de travaux, ce délai démarre à la date de réception (</w:t>
      </w:r>
      <w:proofErr w:type="spellStart"/>
      <w:r>
        <w:t>Abnahme</w:t>
      </w:r>
      <w:proofErr w:type="spellEnd"/>
      <w:r>
        <w:t>).</w:t>
      </w:r>
    </w:p>
    <w:p w14:paraId="042E2585" w14:textId="77777777" w:rsidR="00374E8C" w:rsidRPr="004D7362" w:rsidRDefault="00374E8C" w:rsidP="00374E8C">
      <w:pPr>
        <w:ind w:left="1080"/>
      </w:pPr>
      <w:r>
        <w:t>Toute autre action ou réclamation en demande de dommages et intérêts à l’encontre de Microsoft doit être engagée dans un délai de deux (2) ans à compter de la date de survenance de la demande.</w:t>
      </w:r>
    </w:p>
    <w:p w14:paraId="7962023B" w14:textId="77777777" w:rsidR="00374E8C" w:rsidRPr="004D7362" w:rsidRDefault="00374E8C" w:rsidP="00374E8C">
      <w:pPr>
        <w:ind w:left="1080"/>
      </w:pPr>
      <w:r>
        <w:t>Les dispositions du paragraphe intitulé « Période limitée pour les réclamations en cas de responsabilité » ne s’appliquent pas aux cas régis par le paragraphe « Responsabilité en cas d’actes intentionnels, responsabilité du fait des produits, de non-divulgation malveillante et d’actions fondées sur l’existence d’atteintes à la vie de la personne, de préjudices corporels ou d’atteintes à la santé ». Dans les cas susmentionnés, les dispositions légales en vigueur s’appliquent.</w:t>
      </w:r>
    </w:p>
    <w:p w14:paraId="7D5D4BDC" w14:textId="77777777" w:rsidR="0088333F" w:rsidRPr="004D7362" w:rsidRDefault="0088333F" w:rsidP="006738DF">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Le paragraphe intitulé « Exclusions » de l’article « Garanties » est remplacé par ce qui suit :</w:t>
            </w:r>
          </w:p>
        </w:tc>
      </w:tr>
    </w:tbl>
    <w:p w14:paraId="2AC68687" w14:textId="1924FE3C" w:rsidR="0088333F" w:rsidRPr="004D7362" w:rsidRDefault="00404D8A" w:rsidP="00404D8A">
      <w:pPr>
        <w:pStyle w:val="ListParagraph"/>
        <w:ind w:left="1080" w:hanging="360"/>
      </w:pPr>
      <w:r>
        <w:rPr>
          <w:b/>
          <w:iCs/>
        </w:rPr>
        <w:t>c.</w:t>
      </w:r>
      <w:r>
        <w:rPr>
          <w:b/>
          <w:iCs/>
        </w:rPr>
        <w:tab/>
        <w:t>Exclusions de garantie.</w:t>
      </w:r>
      <w:r w:rsidR="00AE26A9">
        <w:rPr>
          <w:b/>
          <w:iCs/>
        </w:rPr>
        <w:t xml:space="preserve"> </w:t>
      </w:r>
      <w:r>
        <w:rPr>
          <w:b/>
          <w:iCs/>
        </w:rPr>
        <w:t>Hormis les garanties limitées qui précèdent, Microsoft exclut toute autre garantie expresse et toute autre garantie ou condition implicite ou légale, y compris toute garantie ou condition de qualité marchande, de propriété, d’absence de contrefaçon, de qualité et d’adéquation à un usage particulier.</w:t>
      </w:r>
    </w:p>
    <w:p w14:paraId="5560C37F" w14:textId="72FF7B79" w:rsidR="00374E8C" w:rsidRPr="004D7362" w:rsidRDefault="00374E8C" w:rsidP="00374E8C">
      <w:pPr>
        <w:keepNext/>
        <w:shd w:val="clear" w:color="auto" w:fill="000000"/>
        <w:spacing w:before="360" w:after="120"/>
      </w:pPr>
      <w:r>
        <w:rPr>
          <w:b/>
          <w:bCs/>
          <w:color w:val="FFFFFF"/>
        </w:rPr>
        <w:t>République Tchèque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L’article intitulé « Garanties » est complété par ce qui suit :</w:t>
            </w:r>
          </w:p>
        </w:tc>
      </w:tr>
    </w:tbl>
    <w:p w14:paraId="562101A3" w14:textId="185D22DA" w:rsidR="00374E8C" w:rsidRPr="004D7362" w:rsidRDefault="00404D8A" w:rsidP="00122A75">
      <w:pPr>
        <w:spacing w:after="240"/>
        <w:ind w:left="1080" w:hanging="360"/>
      </w:pPr>
      <w:r>
        <w:rPr>
          <w:b/>
        </w:rPr>
        <w:t>d.</w:t>
      </w:r>
      <w:r>
        <w:rPr>
          <w:b/>
        </w:rPr>
        <w:tab/>
        <w:t>Livrables.</w:t>
      </w:r>
      <w:r w:rsidR="00AE26A9">
        <w:rPr>
          <w:b/>
        </w:rPr>
        <w:t xml:space="preserve"> </w:t>
      </w:r>
      <w:r>
        <w:t>Les Livrables de Microsoft sont développés selon les connaissances scientifiques et techniques les plus récentes.</w:t>
      </w:r>
      <w:r w:rsidR="00AE26A9">
        <w:t xml:space="preserve"> </w:t>
      </w:r>
      <w:r>
        <w:t>Microsoft notifie expressément au Client que, étant donné l’état actuel des technologies, il n’est pas possible de développer des logiciels complexes qui soient totalement dénués de défauts techniques, lesquels peuvent survenir à l’avenir.</w:t>
      </w:r>
      <w:r w:rsidR="00AE26A9">
        <w:t xml:space="preserve"> </w:t>
      </w:r>
      <w:r>
        <w:t>Le produit logiciel fourni par Microsoft n’a pas besoin d’être totalement dénué d’erreurs de programmation mais fonctionnera pour l’essentiel conformément à sa documentation utilisateur ou, si aucune documentation utilisateur n’existe, conformément à la Déclaration de Services appropriée ou aux normes industrielles applicables.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lastRenderedPageBreak/>
              <w:t>Le premier paragraphe de l’article intitulé « Limitation de responsabilité » est complété par ce qui suit :</w:t>
            </w:r>
          </w:p>
        </w:tc>
      </w:tr>
    </w:tbl>
    <w:p w14:paraId="0922865E" w14:textId="77777777" w:rsidR="00924DE4" w:rsidRPr="004D7362" w:rsidRDefault="00924DE4" w:rsidP="002052C3">
      <w:pPr>
        <w:ind w:left="1080"/>
      </w:pPr>
      <w:r>
        <w:t>Les limitations incluses dans ce paragraphe reflètent les dommages dont les parties reconnaissent qu’ils sont prévisibles au moment de la signature du présent contrat, en prenant en compte toutes les circonstances dont les parties ont connaissance ou devraient avoir connaissance en y prêtant l’attention qu’il faut et qui peuvent survenir du fait d’un manquement par Microsoft à ses obligations au titre de ce contrat. La limitation de responsabilité du présent article ne s’applique pas aux responsabilités résultant d’une faute lourde ou intentionnelle de l’une des parties.</w:t>
      </w:r>
    </w:p>
    <w:p w14:paraId="0C8980C5" w14:textId="39817C94" w:rsidR="00924DE4" w:rsidRPr="004D7362" w:rsidRDefault="008E1EF9" w:rsidP="00924DE4">
      <w:pPr>
        <w:spacing w:after="240"/>
        <w:ind w:left="1080"/>
      </w:pPr>
      <w:r>
        <w:t>Le droit de toute partie au contrat en cas de dommages potentiellement subis dans le cadre du présent contrat sera limité à une compensation pécuniaire. L’article 2951 (1) du Code civil (Loi n° 89/2012 Coll.), tel que modifié, ne s’applique pas.</w:t>
      </w:r>
    </w:p>
    <w:p w14:paraId="4B0C429B" w14:textId="77777777" w:rsidR="008E1EF9" w:rsidRPr="004D7362" w:rsidRDefault="008E1EF9" w:rsidP="008E1EF9">
      <w:pPr>
        <w:keepNext/>
        <w:shd w:val="clear" w:color="auto" w:fill="000000"/>
        <w:spacing w:before="360" w:after="120"/>
      </w:pPr>
      <w:r>
        <w:rPr>
          <w:b/>
          <w:bCs/>
          <w:color w:val="FFFFFF"/>
        </w:rPr>
        <w:t xml:space="preserve">Angleterre et Pays de Galles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Le paragraphe intitulé « Exclusions » de l’article « Limitation de responsabilité » est remplacé comme suit :</w:t>
            </w:r>
          </w:p>
        </w:tc>
      </w:tr>
    </w:tbl>
    <w:p w14:paraId="0AB82C34" w14:textId="7C3EDD12" w:rsidR="008E1EF9" w:rsidRPr="004D7362" w:rsidRDefault="008E1EF9" w:rsidP="002052C3">
      <w:pPr>
        <w:pStyle w:val="ListParagraph"/>
        <w:numPr>
          <w:ilvl w:val="0"/>
          <w:numId w:val="50"/>
        </w:numPr>
        <w:spacing w:after="240"/>
        <w:ind w:left="1080"/>
        <w:contextualSpacing w:val="0"/>
      </w:pPr>
      <w:r>
        <w:rPr>
          <w:b/>
        </w:rPr>
        <w:t>Exclusions</w:t>
      </w:r>
      <w:r w:rsidRPr="008F2782">
        <w:rPr>
          <w:b/>
        </w:rPr>
        <w:t>.</w:t>
      </w:r>
      <w:r w:rsidR="00AE26A9">
        <w:t xml:space="preserve"> </w:t>
      </w:r>
      <w:r>
        <w:t xml:space="preserve">Aucune des parties ne pourra, en aucun cas, être tenue responsable de </w:t>
      </w:r>
      <w:r>
        <w:rPr>
          <w:iCs/>
        </w:rPr>
        <w:t>toute perte de chiffre d’affaires ou d’économies escomptées (dans les deux cas qu’elle soit directe ou indirecte), ni de tout dommage accessoire</w:t>
      </w:r>
      <w:r>
        <w:t>, incident, spécial ou indirect ou tous dommages et intérêts prononcés à titre de sanction, y compris la perte de jouissance ou la perte d’informations commerciales ou l’interruption d’activité, quels que soient la cause et le fondement de responsabilité invoqués.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L’article intitulé « Limitation de responsabilité » est complété par le paragraphe suivant :</w:t>
            </w:r>
          </w:p>
        </w:tc>
      </w:tr>
    </w:tbl>
    <w:p w14:paraId="6C12A147" w14:textId="1B40F70E" w:rsidR="008E1EF9" w:rsidRPr="004D7362" w:rsidRDefault="008E1EF9" w:rsidP="002052C3">
      <w:pPr>
        <w:pStyle w:val="ListParagraph"/>
        <w:numPr>
          <w:ilvl w:val="0"/>
          <w:numId w:val="49"/>
        </w:numPr>
        <w:spacing w:after="240"/>
        <w:jc w:val="left"/>
      </w:pPr>
      <w:r>
        <w:rPr>
          <w:b/>
        </w:rPr>
        <w:t>Responsabilité en cas de décès ou de préjudices corporels.</w:t>
      </w:r>
      <w:r w:rsidR="00AE26A9">
        <w:t xml:space="preserve"> </w:t>
      </w:r>
      <w:r>
        <w:t>Le présent contrat n’a pas pour effet d’exclure la responsabilité de Microsoft en cas de décès ou de préjudices corporels causés par sa négligence ou en cas de fausses déclarations.</w:t>
      </w:r>
    </w:p>
    <w:p w14:paraId="647549B6" w14:textId="77777777" w:rsidR="00374E8C" w:rsidRPr="004D7362" w:rsidRDefault="00374E8C" w:rsidP="00374E8C">
      <w:pPr>
        <w:keepNext/>
        <w:shd w:val="clear" w:color="auto" w:fill="000000"/>
        <w:spacing w:before="360" w:after="120"/>
      </w:pPr>
      <w:r>
        <w:rPr>
          <w:b/>
          <w:bCs/>
          <w:color w:val="FFFFFF"/>
        </w:rPr>
        <w:t>Allemagne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L’article intitulé « Garanties » est remplacé par ce qui suit :</w:t>
            </w:r>
          </w:p>
        </w:tc>
      </w:tr>
    </w:tbl>
    <w:p w14:paraId="39CD23C0" w14:textId="77777777" w:rsidR="008C225D" w:rsidRPr="004D7362" w:rsidRDefault="008C225D" w:rsidP="005073A7">
      <w:pPr>
        <w:keepNext/>
        <w:ind w:left="720" w:hanging="720"/>
      </w:pPr>
      <w:r>
        <w:rPr>
          <w:b/>
          <w:bCs/>
          <w:i/>
          <w:iCs/>
          <w:sz w:val="26"/>
          <w:szCs w:val="26"/>
        </w:rPr>
        <w:t>5.</w:t>
      </w:r>
      <w:r>
        <w:rPr>
          <w:b/>
          <w:bCs/>
          <w:i/>
          <w:iCs/>
          <w:sz w:val="26"/>
          <w:szCs w:val="26"/>
        </w:rPr>
        <w:tab/>
        <w:t>Garanties.</w:t>
      </w:r>
    </w:p>
    <w:p w14:paraId="130ABD38" w14:textId="494C7848" w:rsidR="00374E8C" w:rsidRPr="004D7362" w:rsidRDefault="008C225D" w:rsidP="00D5280E">
      <w:pPr>
        <w:pStyle w:val="ListParagraph"/>
        <w:numPr>
          <w:ilvl w:val="1"/>
          <w:numId w:val="56"/>
        </w:numPr>
        <w:ind w:left="1080"/>
      </w:pPr>
      <w:r>
        <w:t>Conformément à l’article 5(b), les stipulations suivantes s’appliqueront aux actions ou réclamations fondées sur des défauts de qualité ou sur l’absence de titre de propriété (ci-après collectivement les « Défauts »), mais non aux actions ou réclamations en demande de dommages et intérêts ou en remboursement des frais engagés.</w:t>
      </w:r>
      <w:r w:rsidR="00AE26A9">
        <w:t xml:space="preserve"> </w:t>
      </w:r>
      <w:r>
        <w:t>Les stipulations de l’article « Limitation de responsabilité » s’appliquent à la place aux actions ou aux réclamations en demande de dommages et intérêts ou en remboursement des frais engagés résultant de l’existence de Défauts.</w:t>
      </w:r>
    </w:p>
    <w:p w14:paraId="75B01B8C" w14:textId="7750342C" w:rsidR="00374E8C" w:rsidRPr="004D7362" w:rsidRDefault="00374E8C" w:rsidP="002052C3">
      <w:pPr>
        <w:pStyle w:val="ListParagraph"/>
        <w:numPr>
          <w:ilvl w:val="0"/>
          <w:numId w:val="45"/>
        </w:numPr>
        <w:contextualSpacing w:val="0"/>
      </w:pPr>
      <w:r>
        <w:t>Les droits accordés au Client et la date à laquelle les droits accordés expireront seront exclusivement régis par les dispositions légales en vigueur en cas de non-divulgation malveillante d’un Défaut (</w:t>
      </w:r>
      <w:proofErr w:type="spellStart"/>
      <w:r>
        <w:t>arglistiges</w:t>
      </w:r>
      <w:proofErr w:type="spellEnd"/>
      <w:r>
        <w:t xml:space="preserve"> </w:t>
      </w:r>
      <w:proofErr w:type="spellStart"/>
      <w:r>
        <w:t>Verschweigen</w:t>
      </w:r>
      <w:proofErr w:type="spellEnd"/>
      <w:r>
        <w:t>).</w:t>
      </w:r>
    </w:p>
    <w:p w14:paraId="7C0F8D4C" w14:textId="77777777" w:rsidR="008C225D" w:rsidRPr="004D7362" w:rsidRDefault="008C225D" w:rsidP="002052C3">
      <w:pPr>
        <w:pStyle w:val="ListParagraph"/>
        <w:numPr>
          <w:ilvl w:val="0"/>
          <w:numId w:val="45"/>
        </w:numPr>
        <w:contextualSpacing w:val="0"/>
      </w:pPr>
      <w:r>
        <w:t>Microsoft garantit que chaque Service en Ligne fonctionnera conformément au Contrat de Niveau de Service applicable pendant son utilisation par le Client. Les recours du Client en cas de violation de la présente garantie sont stipulés dans le Contrat de Niveau de Service. Toutefois, les droits légaux du Client restent inchangés.</w:t>
      </w:r>
    </w:p>
    <w:p w14:paraId="5AEE7D02" w14:textId="44CB5CE6" w:rsidR="008C225D" w:rsidRPr="004D7362" w:rsidRDefault="008C225D" w:rsidP="002052C3">
      <w:pPr>
        <w:pStyle w:val="ListParagraph"/>
        <w:numPr>
          <w:ilvl w:val="0"/>
          <w:numId w:val="45"/>
        </w:numPr>
        <w:contextualSpacing w:val="0"/>
      </w:pPr>
      <w:r>
        <w:t xml:space="preserve">Microsoft corrigera les Défauts dont elle aura été informée par le Client avant l’expiration du délai stipulé au présent article. En cas d’action formée par le Client à </w:t>
      </w:r>
      <w:r>
        <w:lastRenderedPageBreak/>
        <w:t>l’encontre de Microsoft pour exécution ultérieure (</w:t>
      </w:r>
      <w:proofErr w:type="spellStart"/>
      <w:r>
        <w:t>Nacherfüllung</w:t>
      </w:r>
      <w:proofErr w:type="spellEnd"/>
      <w:r>
        <w:t>), Microsoft aura le droit, à son entière discrétion, soit de corriger le Défaut soit de fournir un nouveau bien meuble, ou, si le Défaut affecte une réalisation de travaux, de procéder à une nouvelle réalisation de travaux exempte de Défauts. Le Client s’engage à coopérer avec Microsoft dans le cadre de l’exécution ultérieure en fournissant toute information ou documentation qui pourrait s’avérer nécessaire et en apportant toute l’assistance requise, dans une mesure raisonnable.</w:t>
      </w:r>
    </w:p>
    <w:p w14:paraId="001DBAA1" w14:textId="1D70354A" w:rsidR="00374E8C" w:rsidRPr="004D7362" w:rsidRDefault="00374E8C" w:rsidP="002052C3">
      <w:pPr>
        <w:pStyle w:val="ListParagraph"/>
        <w:numPr>
          <w:ilvl w:val="0"/>
          <w:numId w:val="45"/>
        </w:numPr>
        <w:contextualSpacing w:val="0"/>
      </w:pPr>
      <w:r>
        <w:t>Les obligations de Microsoft ne pourront s’appliquer dans la mesure où la réclamation ou l’action est fondée sur : (1) des spécifications, des codes ou éléments que le Client a fournis ; (2) l’utilisation des Produits ou Livrables par le Client postérieurement à une notification que Microsoft adresse au Client indiquant que le Client doit cesser d’utiliser les Produits ou Livrables en raison de cette action ou réclamation ; (3) l’association, par le Client, des Produits et/ou Livrables à des produits, des données ou des procédés professionnels qui ne sont pas fournis par Microsoft ; (4) la modification par le Client ou un tiers des Produits et/ou des Services Professionnels sans l’accord de Microsoft, à moins qu’il soit en mesure de prouver que les Défauts existants ne sont pas dus à ladite modification.</w:t>
      </w:r>
    </w:p>
    <w:p w14:paraId="4EE71440" w14:textId="01523825" w:rsidR="00374E8C" w:rsidRPr="004D7362" w:rsidRDefault="00374E8C" w:rsidP="002052C3">
      <w:pPr>
        <w:pStyle w:val="ListParagraph"/>
        <w:numPr>
          <w:ilvl w:val="0"/>
          <w:numId w:val="45"/>
        </w:numPr>
        <w:contextualSpacing w:val="0"/>
      </w:pPr>
      <w:r>
        <w:t>Toutes les actions ou réclamations que le Client est en droit d’engager conformément aux présentes doivent être engagées dans un délai d’un (1) an.</w:t>
      </w:r>
      <w:r w:rsidR="00AE26A9">
        <w:t xml:space="preserve"> </w:t>
      </w:r>
      <w:r>
        <w:t>Pour les réalisations de travaux, ce délai démarre à la date d’acceptation (</w:t>
      </w:r>
      <w:proofErr w:type="spellStart"/>
      <w:r>
        <w:t>Abnahme</w:t>
      </w:r>
      <w:proofErr w:type="spellEnd"/>
      <w:r>
        <w:t>) ; dans tous les autres cas, ce délai démarre à la date de livraison.</w:t>
      </w:r>
    </w:p>
    <w:p w14:paraId="55B904F4" w14:textId="351A61F9" w:rsidR="008C225D" w:rsidRPr="004D7362" w:rsidRDefault="008C225D" w:rsidP="002052C3">
      <w:pPr>
        <w:pStyle w:val="ListParagraph"/>
        <w:numPr>
          <w:ilvl w:val="0"/>
          <w:numId w:val="45"/>
        </w:numPr>
        <w:contextualSpacing w:val="0"/>
      </w:pPr>
      <w:r>
        <w:t>Le Client déclare et garantit qu’il se conformera aux conditions de l’Accord de Mise en Œuvre et défendra Microsoft contre toute action en justice ou réclamation formée par un tiers non affilié visant à démontrer que le Client ne s’est pas conformé auxdites conditions, sous réserve que le Client soit responsable de l’action en justice ou réclamation formée par ledit tiers non affilié. Le Client s’engage à payer le montant de toute condamnation définitive ou d’une transaction à laquelle il aurait consenti découlant desdites réclamations et s’engage à rembourser à Microsoft, dans la limite d’un montant raisonnable, les débours qu’elle a engagés pour répondre auxdites réclamations.</w:t>
      </w:r>
    </w:p>
    <w:p w14:paraId="502D4D5F" w14:textId="62869B75" w:rsidR="008C225D" w:rsidRPr="004D7362" w:rsidRDefault="008C225D" w:rsidP="00D5280E">
      <w:pPr>
        <w:pStyle w:val="ListParagraph"/>
        <w:numPr>
          <w:ilvl w:val="1"/>
          <w:numId w:val="56"/>
        </w:numPr>
        <w:ind w:left="1080"/>
        <w:contextualSpacing w:val="0"/>
      </w:pPr>
      <w:r>
        <w:t>Dans la mesure où les Services en Ligne Microsoft sont considérés comme une location (</w:t>
      </w:r>
      <w:proofErr w:type="spellStart"/>
      <w:r>
        <w:t>mietweise</w:t>
      </w:r>
      <w:proofErr w:type="spellEnd"/>
      <w:r>
        <w:t xml:space="preserve"> </w:t>
      </w:r>
      <w:proofErr w:type="spellStart"/>
      <w:r>
        <w:t>Überlassung</w:t>
      </w:r>
      <w:proofErr w:type="spellEnd"/>
      <w:r>
        <w:t>) et sont soumis aux dispositions légales de la loi allemande sur la location (</w:t>
      </w:r>
      <w:proofErr w:type="spellStart"/>
      <w:r>
        <w:t>mietrechtliche</w:t>
      </w:r>
      <w:proofErr w:type="spellEnd"/>
      <w:r>
        <w:t xml:space="preserve"> </w:t>
      </w:r>
      <w:proofErr w:type="spellStart"/>
      <w:r>
        <w:t>Regelungen</w:t>
      </w:r>
      <w:proofErr w:type="spellEnd"/>
      <w:r>
        <w:t>), les dispositions relatives à la garantie limitée ci-dessus ne pourront pas exclure ou limiter les droits légaux du Client ; les dispositions relatives à la garantie s’appliqueront aux réclamations fondées sur les Défauts, mais non aux réclamations en demandes de dommages et intérêts ou en remboursement des frais engagés. Tout recours associé à une garantie supplémentaire du Client dans le cadre du présent Contrat et de la documentation qui l’accompagne doit demeurer non affecté.</w:t>
      </w:r>
    </w:p>
    <w:p w14:paraId="3A7739C9" w14:textId="77777777" w:rsidR="008C225D" w:rsidRPr="004D7362" w:rsidRDefault="008C225D" w:rsidP="002052C3">
      <w:pPr>
        <w:pStyle w:val="ListParagraph"/>
        <w:numPr>
          <w:ilvl w:val="0"/>
          <w:numId w:val="57"/>
        </w:numPr>
        <w:contextualSpacing w:val="0"/>
      </w:pPr>
      <w:r>
        <w:t>Le Client renonce (1) au droit de déduire (</w:t>
      </w:r>
      <w:proofErr w:type="spellStart"/>
      <w:r>
        <w:t>Recht</w:t>
      </w:r>
      <w:proofErr w:type="spellEnd"/>
      <w:r>
        <w:t xml:space="preserve"> </w:t>
      </w:r>
      <w:proofErr w:type="spellStart"/>
      <w:r>
        <w:t>zur</w:t>
      </w:r>
      <w:proofErr w:type="spellEnd"/>
      <w:r>
        <w:t xml:space="preserve"> </w:t>
      </w:r>
      <w:proofErr w:type="spellStart"/>
      <w:r>
        <w:t>Aufrechnung</w:t>
      </w:r>
      <w:proofErr w:type="spellEnd"/>
      <w:r>
        <w:t>), (2) au droit de réduire le prix (</w:t>
      </w:r>
      <w:proofErr w:type="spellStart"/>
      <w:r>
        <w:t>Minderungsrecht</w:t>
      </w:r>
      <w:proofErr w:type="spellEnd"/>
      <w:r>
        <w:t>) et (3) au droit de rétention (</w:t>
      </w:r>
      <w:proofErr w:type="spellStart"/>
      <w:r>
        <w:t>Zurückbehaltungsrecht</w:t>
      </w:r>
      <w:proofErr w:type="spellEnd"/>
      <w:r>
        <w:t>) dans toute la mesure permise par la loi applicable, sous réserve que la réclamation pour les droits précités soit non contestée (</w:t>
      </w:r>
      <w:proofErr w:type="spellStart"/>
      <w:r>
        <w:t>unbestritten</w:t>
      </w:r>
      <w:proofErr w:type="spellEnd"/>
      <w:r>
        <w:t>) ni reconnue par une décision déclaratoire (</w:t>
      </w:r>
      <w:proofErr w:type="spellStart"/>
      <w:r>
        <w:t>rechtskräftig</w:t>
      </w:r>
      <w:proofErr w:type="spellEnd"/>
      <w:r>
        <w:t xml:space="preserve"> </w:t>
      </w:r>
      <w:proofErr w:type="spellStart"/>
      <w:r>
        <w:t>festgestellt</w:t>
      </w:r>
      <w:proofErr w:type="spellEnd"/>
      <w:r>
        <w:t>). Afin d’éviter tout malentendu, les réclamations du Client pour concurrence déloyale (</w:t>
      </w:r>
      <w:proofErr w:type="spellStart"/>
      <w:r>
        <w:t>ungerechtfertigte</w:t>
      </w:r>
      <w:proofErr w:type="spellEnd"/>
      <w:r>
        <w:t xml:space="preserve"> </w:t>
      </w:r>
      <w:proofErr w:type="spellStart"/>
      <w:r>
        <w:t>Bereicherung</w:t>
      </w:r>
      <w:proofErr w:type="spellEnd"/>
      <w:r>
        <w:t>) contre Microsoft ne doivent pas être exclues par les présentes.</w:t>
      </w:r>
    </w:p>
    <w:p w14:paraId="30A63F66" w14:textId="7906F2B6" w:rsidR="008C225D" w:rsidRPr="004D7362" w:rsidRDefault="008C225D" w:rsidP="002052C3">
      <w:pPr>
        <w:pStyle w:val="ListParagraph"/>
        <w:numPr>
          <w:ilvl w:val="0"/>
          <w:numId w:val="57"/>
        </w:numPr>
        <w:spacing w:after="240"/>
        <w:contextualSpacing w:val="0"/>
      </w:pPr>
      <w:r>
        <w:t>Les Avoirs Services mentionnés dans les Contrats de Niveau de Service et déduits des Frais de Service Mensuels applicables du Client en cas de problèmes de fonctionnement ou de disponibilité conformément au présent article 5 et au Contrat de Niveau de Service applicable seront déduits automatiquement (</w:t>
      </w:r>
      <w:proofErr w:type="spellStart"/>
      <w:r>
        <w:t>verrechnet</w:t>
      </w:r>
      <w:proofErr w:type="spellEnd"/>
      <w:r>
        <w:t>) de toute réclamation que le Client peut former pour concurrence déloyale ou demande en dommages et intérêts ou frais résultant de Défauts fondés sur le même incident qui a entraîné ces problèmes de fonctionnement ou de disponibilité.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3A2FC8">
            <w:pPr>
              <w:keepNext/>
              <w:keepLines/>
              <w:pageBreakBefore/>
              <w:spacing w:after="120"/>
              <w:ind w:left="86" w:right="86"/>
              <w:rPr>
                <w:b/>
                <w:bCs/>
              </w:rPr>
            </w:pPr>
            <w:r>
              <w:rPr>
                <w:b/>
                <w:bCs/>
              </w:rPr>
              <w:lastRenderedPageBreak/>
              <w:t>Aux fins des Services en Ligne, l’article intitulé « Défense en cas de réclamation de tiers » est complété comme suit :</w:t>
            </w:r>
          </w:p>
        </w:tc>
      </w:tr>
    </w:tbl>
    <w:p w14:paraId="42065145" w14:textId="41AC5C96" w:rsidR="008C225D" w:rsidRPr="004D7362" w:rsidRDefault="00D5280E" w:rsidP="008C225D">
      <w:pPr>
        <w:spacing w:after="240"/>
        <w:ind w:left="1077" w:hanging="357"/>
      </w:pPr>
      <w:r>
        <w:rPr>
          <w:b/>
          <w:bCs/>
        </w:rPr>
        <w:t>c.</w:t>
      </w:r>
      <w:r>
        <w:rPr>
          <w:b/>
          <w:bCs/>
        </w:rPr>
        <w:tab/>
      </w:r>
      <w:r>
        <w:t>Dans la mesure où le Client a commandé des Services en Ligne dans le cadre de l’Accord de Mise en Œuvre, l’obligation du Client de défendre Microsoft contre toute action en justice ou réclamation formée par un tiers non affilié conformément à l’article 6(b) s’applique uniquement si le Client est responsable de l’atteinte à ou de la violation du Code de Conduite. En outre, Microsoft ne sera autorisée qu’à suspendre ou résilier un Service en Ligne conformément à l’article 6(c), sous réserve qu’elle ait des motifs raisonnables de suspecter que les Données Client ou les logiciels ou technologies non fournis par Microsoft utilisés par le Client avec le Service en Ligne que Microsoft souhaite résilier enfreignent les droits de propriété intellectuelle de tiers.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L’Article intitulé « Limitation de responsabilité » est remplacé par ce qui suit :</w:t>
            </w:r>
          </w:p>
        </w:tc>
      </w:tr>
    </w:tbl>
    <w:p w14:paraId="29757EA8" w14:textId="00A710D1" w:rsidR="00374E8C" w:rsidRPr="00340791" w:rsidRDefault="00404D8A" w:rsidP="005073A7">
      <w:pPr>
        <w:keepNext/>
        <w:ind w:left="720" w:hanging="720"/>
        <w:rPr>
          <w:b/>
          <w:i/>
          <w:sz w:val="26"/>
          <w:szCs w:val="26"/>
        </w:rPr>
      </w:pPr>
      <w:r>
        <w:rPr>
          <w:b/>
          <w:bCs/>
          <w:i/>
          <w:iCs/>
          <w:sz w:val="26"/>
          <w:szCs w:val="26"/>
        </w:rPr>
        <w:t>7.</w:t>
      </w:r>
      <w:r>
        <w:rPr>
          <w:b/>
          <w:bCs/>
          <w:i/>
          <w:iCs/>
          <w:sz w:val="26"/>
          <w:szCs w:val="26"/>
        </w:rPr>
        <w:tab/>
        <w:t>Limitation de responsabilité.</w:t>
      </w:r>
    </w:p>
    <w:p w14:paraId="1B88AC5B" w14:textId="2B7D2073" w:rsidR="00374E8C" w:rsidRPr="004D7362" w:rsidRDefault="00374E8C" w:rsidP="00374E8C">
      <w:r>
        <w:t xml:space="preserve">Il peut arriver que le Client ait le droit de réclamer à Microsoft des dommages et intérêts ou le remboursement des frais inutiles/non-justifiés engagés (Ersatz </w:t>
      </w:r>
      <w:proofErr w:type="spellStart"/>
      <w:r>
        <w:t>vergeblicher</w:t>
      </w:r>
      <w:proofErr w:type="spellEnd"/>
      <w:r>
        <w:t xml:space="preserve"> </w:t>
      </w:r>
      <w:proofErr w:type="spellStart"/>
      <w:r>
        <w:t>Aufwendungen</w:t>
      </w:r>
      <w:proofErr w:type="spellEnd"/>
      <w:r>
        <w:t>).</w:t>
      </w:r>
      <w:r w:rsidR="00AE26A9">
        <w:t xml:space="preserve"> </w:t>
      </w:r>
      <w:r>
        <w:t>Quel que soit le fondement de sa réclamation (manquement aux termes du contrat, Défauts, délit ou autre), la responsabilité de Microsoft pour tout dommage en résultant sera limitée de la manière suivante :</w:t>
      </w:r>
    </w:p>
    <w:p w14:paraId="6548D0CF" w14:textId="3A923BCD" w:rsidR="00374E8C" w:rsidRPr="004D7362" w:rsidRDefault="00374E8C" w:rsidP="00374E8C">
      <w:pPr>
        <w:ind w:left="1080" w:hanging="360"/>
      </w:pPr>
      <w:r>
        <w:rPr>
          <w:b/>
          <w:bCs/>
        </w:rPr>
        <w:t>a.</w:t>
      </w:r>
      <w:r>
        <w:tab/>
        <w:t>En cas d’actes intentionnels, de réclamations ou actions au titre de la Loi Allemande sur la Responsabilité du Fait des Produits (</w:t>
      </w:r>
      <w:proofErr w:type="spellStart"/>
      <w:r>
        <w:rPr>
          <w:i/>
        </w:rPr>
        <w:t>Produkthaftungsgesetz</w:t>
      </w:r>
      <w:proofErr w:type="spellEnd"/>
      <w:r>
        <w:t>), de non-divulgation malveillante d’un Défaut ainsi que de réclamations ou d’actions fondées sur l’existence d’atteintes à la vie de la personne, de préjudices corporels ou d’atteintes à la santé, la responsabilité de Microsoft sera déterminée conformément aux dispositions légales en vigueur.</w:t>
      </w:r>
    </w:p>
    <w:p w14:paraId="357F866B" w14:textId="2A323E08" w:rsidR="00374E8C" w:rsidRPr="004D7362" w:rsidRDefault="00374E8C" w:rsidP="00374E8C">
      <w:pPr>
        <w:ind w:left="1080" w:hanging="360"/>
      </w:pPr>
      <w:r>
        <w:rPr>
          <w:b/>
          <w:bCs/>
        </w:rPr>
        <w:t>b.</w:t>
      </w:r>
      <w:r>
        <w:rPr>
          <w:b/>
          <w:bCs/>
        </w:rPr>
        <w:tab/>
      </w:r>
      <w:r>
        <w:t>En cas de faute lourde, la responsabilité de Microsoft sera limitée au remboursement des dommages prévisibles. Cette limitation n’est pas applicable dans la mesure où les dommages ont été causés par des responsables ou des représentants légaux de Microsoft.</w:t>
      </w:r>
    </w:p>
    <w:p w14:paraId="78547BF4" w14:textId="2DB183D1" w:rsidR="00374E8C" w:rsidRPr="004D7362" w:rsidRDefault="00374E8C" w:rsidP="00374E8C">
      <w:pPr>
        <w:ind w:left="1080" w:hanging="360"/>
      </w:pPr>
      <w:r>
        <w:rPr>
          <w:b/>
          <w:bCs/>
        </w:rPr>
        <w:t>c.</w:t>
      </w:r>
      <w:r>
        <w:rPr>
          <w:b/>
          <w:bCs/>
        </w:rPr>
        <w:tab/>
      </w:r>
      <w:r>
        <w:t>En cas de négligence légère, Microsoft sera tenue responsable uniquement en cas de manquement à ses obligations contractuelles, dont le respect permet l’exécution du présent contrat, et le manquement compromet l’objet du présent contrat et le respect des termes contractuels sur lequel le Client peut s’appuyer (les « obligations cardinales ») (</w:t>
      </w:r>
      <w:proofErr w:type="spellStart"/>
      <w:r>
        <w:rPr>
          <w:i/>
        </w:rPr>
        <w:t>Kardinalpflichten</w:t>
      </w:r>
      <w:proofErr w:type="spellEnd"/>
      <w:r>
        <w:t>)).</w:t>
      </w:r>
      <w:r w:rsidR="00AE26A9">
        <w:t xml:space="preserve"> </w:t>
      </w:r>
      <w:r>
        <w:t>Dans ce cas, la responsabilité de Microsoft sera limitée aux dommages prévisibles.</w:t>
      </w:r>
      <w:r w:rsidR="00AE26A9">
        <w:t xml:space="preserve"> </w:t>
      </w:r>
      <w:r>
        <w:t>Dans tous les autres cas, Microsoft ne sera pas tenue responsable pour faute grave.</w:t>
      </w:r>
    </w:p>
    <w:p w14:paraId="5C242B9C" w14:textId="429FEEBA" w:rsidR="00374E8C" w:rsidRPr="004D7362" w:rsidRDefault="00374E8C" w:rsidP="00374E8C">
      <w:pPr>
        <w:ind w:left="1080" w:hanging="360"/>
      </w:pPr>
      <w:r>
        <w:rPr>
          <w:b/>
          <w:bCs/>
        </w:rPr>
        <w:t>d.</w:t>
      </w:r>
      <w:r>
        <w:rPr>
          <w:b/>
          <w:bCs/>
        </w:rPr>
        <w:tab/>
      </w:r>
      <w:r>
        <w:t>En cas de responsabilité sans faute, pour impossibilité d’exécution des obligations pendant la durée du retard d’exécution, la responsabilité de Microsoft sera également limitée aux dommages prévisibles.</w:t>
      </w:r>
    </w:p>
    <w:p w14:paraId="72A9F621" w14:textId="7B002F35" w:rsidR="00374E8C" w:rsidRPr="004D7362" w:rsidRDefault="00374E8C" w:rsidP="00374E8C">
      <w:pPr>
        <w:ind w:left="1080" w:hanging="360"/>
      </w:pPr>
      <w:r>
        <w:rPr>
          <w:b/>
          <w:bCs/>
        </w:rPr>
        <w:t>e.</w:t>
      </w:r>
      <w:r>
        <w:tab/>
        <w:t>Dans le cas où Microsoft serait tenue de fournir un bien meuble n’ayant pas encore été fabriqué, toute action ou réclamation en demande de dommages et intérêts ou en remboursement des frais engagés du fait de l’existence de Défauts ne pourra être engagée par le Client que si ce dernier a rempli son obligation de notifier à Microsoft l’existence de tels Défauts, telle que décrite ci-dessus.</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Dans le cas où les Services en Ligne Microsoft sont considérés comme une location (</w:t>
      </w:r>
      <w:proofErr w:type="spellStart"/>
      <w:r>
        <w:rPr>
          <w:rFonts w:eastAsia="Calibri"/>
          <w:i/>
          <w:color w:val="auto"/>
        </w:rPr>
        <w:t>mietweise</w:t>
      </w:r>
      <w:proofErr w:type="spellEnd"/>
      <w:r>
        <w:rPr>
          <w:rFonts w:eastAsia="Calibri"/>
          <w:i/>
          <w:color w:val="auto"/>
        </w:rPr>
        <w:t xml:space="preserve"> </w:t>
      </w:r>
      <w:proofErr w:type="spellStart"/>
      <w:r>
        <w:rPr>
          <w:rFonts w:eastAsia="Calibri"/>
          <w:i/>
          <w:color w:val="auto"/>
        </w:rPr>
        <w:t>Überlassung</w:t>
      </w:r>
      <w:proofErr w:type="spellEnd"/>
      <w:r>
        <w:rPr>
          <w:rFonts w:eastAsia="Calibri"/>
          <w:color w:val="auto"/>
        </w:rPr>
        <w:t>) et soumis aux dispositions légales de la loi allemande sur la location (</w:t>
      </w:r>
      <w:proofErr w:type="spellStart"/>
      <w:r>
        <w:rPr>
          <w:rFonts w:eastAsia="Calibri"/>
          <w:i/>
          <w:color w:val="auto"/>
        </w:rPr>
        <w:t>mietrechtliche</w:t>
      </w:r>
      <w:proofErr w:type="spellEnd"/>
      <w:r>
        <w:rPr>
          <w:rFonts w:eastAsia="Calibri"/>
          <w:i/>
          <w:color w:val="auto"/>
        </w:rPr>
        <w:t xml:space="preserve"> </w:t>
      </w:r>
      <w:proofErr w:type="spellStart"/>
      <w:r>
        <w:rPr>
          <w:rFonts w:eastAsia="Calibri"/>
          <w:i/>
          <w:color w:val="auto"/>
        </w:rPr>
        <w:t>Regelungen</w:t>
      </w:r>
      <w:proofErr w:type="spellEnd"/>
      <w:r>
        <w:rPr>
          <w:rFonts w:eastAsia="Calibri"/>
          <w:color w:val="auto"/>
        </w:rPr>
        <w:t>), Microsoft ne pourra être tenue responsable des dommages fondés sur des Défauts au sens du paragraphe 536 du Code civil allemand (</w:t>
      </w:r>
      <w:proofErr w:type="spellStart"/>
      <w:r>
        <w:rPr>
          <w:rFonts w:eastAsia="Calibri"/>
          <w:i/>
          <w:color w:val="auto"/>
        </w:rPr>
        <w:t>Bürgerliches</w:t>
      </w:r>
      <w:proofErr w:type="spellEnd"/>
      <w:r>
        <w:rPr>
          <w:rFonts w:eastAsia="Calibri"/>
          <w:i/>
          <w:color w:val="auto"/>
        </w:rPr>
        <w:t xml:space="preserve"> </w:t>
      </w:r>
      <w:proofErr w:type="spellStart"/>
      <w:r>
        <w:rPr>
          <w:rFonts w:eastAsia="Calibri"/>
          <w:i/>
          <w:color w:val="auto"/>
        </w:rPr>
        <w:t>Gesetzbuch</w:t>
      </w:r>
      <w:proofErr w:type="spellEnd"/>
      <w:r>
        <w:rPr>
          <w:rFonts w:eastAsia="Calibri"/>
          <w:color w:val="auto"/>
        </w:rPr>
        <w:t>) qui existent déjà lors de la signature du contrat de location. Le paragraphe 536 a alinéa 1, 1ère section du Code civil allemand ne s’applique pas.</w:t>
      </w:r>
    </w:p>
    <w:p w14:paraId="7D5456DB" w14:textId="318C8373" w:rsidR="00374E8C" w:rsidRPr="004D7362" w:rsidRDefault="008C225D" w:rsidP="00374E8C">
      <w:pPr>
        <w:ind w:left="1080" w:hanging="360"/>
      </w:pPr>
      <w:r>
        <w:rPr>
          <w:b/>
          <w:bCs/>
        </w:rPr>
        <w:t>g.</w:t>
      </w:r>
      <w:r>
        <w:tab/>
        <w:t>Toute réclamation ou action en demande de dommages et intérêts ou remboursement de frais du fait de l’existence de Défauts doit être engagée dans un délai d’un (1) an.</w:t>
      </w:r>
      <w:r w:rsidR="00AE26A9">
        <w:t xml:space="preserve"> </w:t>
      </w:r>
      <w:r>
        <w:t xml:space="preserve">Pour un bien meuble fourni mais non encore fabriqué, ce délai démarre à la date de livraison ; </w:t>
      </w:r>
      <w:r>
        <w:lastRenderedPageBreak/>
        <w:t>pour les réalisations de travaux, ce délai démarre à la date d’acceptation (</w:t>
      </w:r>
      <w:proofErr w:type="spellStart"/>
      <w:r>
        <w:t>Abnahme</w:t>
      </w:r>
      <w:proofErr w:type="spellEnd"/>
      <w:r>
        <w:t xml:space="preserve">). Les présentes dispositions n’ont pas pour effet de modifier l’article 438, paragraphe 1 Nr. 1 a) du Code civil allemand. </w:t>
      </w:r>
    </w:p>
    <w:p w14:paraId="27950DF7" w14:textId="305C4DBA" w:rsidR="00374E8C" w:rsidRPr="004D7362" w:rsidRDefault="00374E8C" w:rsidP="00374E8C">
      <w:pPr>
        <w:ind w:left="1080"/>
      </w:pPr>
      <w:r>
        <w:t>Toute autre action ou réclamation en demande de dommages et intérêts ou en remboursement de frais engagée à l’encontre de Microsoft doit être engagée dans un délai de deux (2) ans à compter de la date de survenance de la demande.</w:t>
      </w:r>
    </w:p>
    <w:p w14:paraId="1C4580B1" w14:textId="49C4A2E7" w:rsidR="00374E8C" w:rsidRPr="004D7362" w:rsidRDefault="00374E8C" w:rsidP="00374E8C">
      <w:pPr>
        <w:ind w:left="1080"/>
      </w:pPr>
      <w:r>
        <w:t xml:space="preserve">Les stipulations du présent paragraphe ne s’appliquent pas à la non-divulgation malveillante d’un Défaut, aux actes intentionnels ni en cas de faute lourde de la part de Microsoft, aux réclamations dans le cadre de Loi allemande sur la Responsabilité du Fait des Produits (« Product </w:t>
      </w:r>
      <w:proofErr w:type="spellStart"/>
      <w:r>
        <w:t>Liability</w:t>
      </w:r>
      <w:proofErr w:type="spellEnd"/>
      <w:r>
        <w:t xml:space="preserve"> </w:t>
      </w:r>
      <w:proofErr w:type="spellStart"/>
      <w:r>
        <w:t>Act</w:t>
      </w:r>
      <w:proofErr w:type="spellEnd"/>
      <w:r>
        <w:t> »), ou d’atteintes à la vie de la personne, de préjudices corporels ou d’atteintes à la santé.</w:t>
      </w:r>
      <w:r w:rsidR="00AE26A9">
        <w:t xml:space="preserve"> </w:t>
      </w:r>
      <w:r>
        <w:t>Dans ces cas, les dispositions légales en vigueur s’appliquent.</w:t>
      </w:r>
    </w:p>
    <w:p w14:paraId="3166D67A" w14:textId="77777777" w:rsidR="00374E8C" w:rsidRPr="004D7362" w:rsidRDefault="00374E8C" w:rsidP="00374E8C">
      <w:pPr>
        <w:keepNext/>
        <w:shd w:val="clear" w:color="auto" w:fill="000000"/>
        <w:spacing w:before="360" w:after="120"/>
      </w:pPr>
      <w:r>
        <w:rPr>
          <w:b/>
          <w:bCs/>
          <w:color w:val="FFFFFF"/>
        </w:rPr>
        <w:t>Hongrie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L’article intitulé « Limitation de responsabilité » est complété par ce qui suit :</w:t>
            </w:r>
          </w:p>
        </w:tc>
      </w:tr>
    </w:tbl>
    <w:p w14:paraId="70835225" w14:textId="549A4C2B" w:rsidR="00374E8C" w:rsidRPr="004D7362" w:rsidRDefault="00D92D70" w:rsidP="00374E8C">
      <w:pPr>
        <w:ind w:left="1080" w:hanging="360"/>
      </w:pPr>
      <w:r>
        <w:rPr>
          <w:b/>
          <w:bCs/>
        </w:rPr>
        <w:t>e.</w:t>
      </w:r>
      <w:r>
        <w:rPr>
          <w:b/>
          <w:bCs/>
        </w:rPr>
        <w:tab/>
        <w:t>Termes négociés.</w:t>
      </w:r>
      <w:r w:rsidR="00AE26A9">
        <w:t xml:space="preserve"> </w:t>
      </w:r>
      <w:r>
        <w:t>Les parties reconnaissent que le présent contrat a été conclu après négociation individuelle de ses termes entre les parties et qu’elles ont eu l’occasion de faire des propositions d’avenants aux projets de contrat.</w:t>
      </w:r>
      <w:r w:rsidR="00AE26A9">
        <w:t xml:space="preserve"> </w:t>
      </w:r>
      <w:r>
        <w:t>Le Client reconnaît que Microsoft a expressément attiré son attention sur les conditions définies aux articles « Garanties », « Défense en cas de réclamation de tiers » et « Limitation de responsabilité » du présent contrat et le Client reconnaît expressément accepter ces conditions.</w:t>
      </w:r>
    </w:p>
    <w:p w14:paraId="36437FFE" w14:textId="742B90D9" w:rsidR="00374E8C" w:rsidRPr="004D7362" w:rsidRDefault="00374E8C" w:rsidP="00374E8C">
      <w:pPr>
        <w:keepNext/>
        <w:shd w:val="clear" w:color="auto" w:fill="000000"/>
        <w:spacing w:before="360" w:after="120"/>
      </w:pPr>
      <w:r>
        <w:rPr>
          <w:b/>
          <w:bCs/>
          <w:color w:val="FFFFFF"/>
        </w:rPr>
        <w:t>Pologne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L’article intitulé « Limitation de responsabilité » est complété par ce qui suit :</w:t>
            </w:r>
          </w:p>
        </w:tc>
      </w:tr>
    </w:tbl>
    <w:p w14:paraId="7E4D65C8" w14:textId="734F2BA0" w:rsidR="00374E8C" w:rsidRPr="004D7362" w:rsidRDefault="00BC390A" w:rsidP="00374E8C">
      <w:pPr>
        <w:ind w:left="1080" w:hanging="360"/>
      </w:pPr>
      <w:r>
        <w:rPr>
          <w:b/>
        </w:rPr>
        <w:t>e.</w:t>
      </w:r>
      <w:r>
        <w:tab/>
        <w:t>Si le fait ou l’omission à l’origine des dommages est lié à la non-exécution ou à une exécution incorrecte par Microsoft du présent contrat ou d’une quelconque Déclaration de Services, et constitue simultanément une base pour la responsabilité de Microsoft en cas de délit, le Client a le droit d’engager une action pour réparation desdits dommages exclusivement sur la base de ce paragraphe du contrat et uniquement pour l’étendue définie dans le paragraphe « Limitation de responsabilité ».</w:t>
      </w:r>
    </w:p>
    <w:p w14:paraId="3AB3D944" w14:textId="77777777" w:rsidR="00374E8C" w:rsidRPr="004D7362" w:rsidRDefault="00374E8C" w:rsidP="00374E8C">
      <w:pPr>
        <w:keepNext/>
        <w:shd w:val="clear" w:color="auto" w:fill="000000"/>
        <w:spacing w:before="360" w:after="120"/>
      </w:pPr>
      <w:r>
        <w:rPr>
          <w:b/>
          <w:bCs/>
          <w:color w:val="FFFFFF"/>
        </w:rPr>
        <w:t>Roumanie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L’article intitulé « Stipulations diverses » est complété par ce qui suit :</w:t>
            </w:r>
          </w:p>
        </w:tc>
      </w:tr>
    </w:tbl>
    <w:p w14:paraId="53FAF6FE" w14:textId="5B6475F1" w:rsidR="00374E8C" w:rsidRPr="004D7362" w:rsidRDefault="00D95884" w:rsidP="00122A75">
      <w:pPr>
        <w:pStyle w:val="ListParagraph"/>
        <w:adjustRightInd w:val="0"/>
        <w:snapToGrid w:val="0"/>
        <w:ind w:left="1080" w:hanging="360"/>
        <w:contextualSpacing w:val="0"/>
      </w:pPr>
      <w:r>
        <w:rPr>
          <w:b/>
          <w:bCs/>
        </w:rPr>
        <w:t>o.</w:t>
      </w:r>
      <w:r>
        <w:rPr>
          <w:bCs/>
        </w:rPr>
        <w:tab/>
        <w:t>Les parties reconnaissent que le présent contrat a été conclu après négociation individuelle de ses termes entre les parties et qu’elles ont eu l’occasion de faire des propositions d’avenants aux projets de contrat.</w:t>
      </w:r>
      <w:r w:rsidR="00AE26A9">
        <w:rPr>
          <w:bCs/>
        </w:rPr>
        <w:t xml:space="preserve"> </w:t>
      </w:r>
      <w:r>
        <w:rPr>
          <w:bCs/>
        </w:rPr>
        <w:t>Le Client certifie par les présentes qu’en signant le formulaire de signature joint au présent contrat il en accepte expressément l’ensemble des dispositions, y compris celles formulées par Microsoft dans le présent contrat qui peuvent être considérées comme inhabituelles (tel que le définit l’article 1203 du Code Civil Roumain), notamment, sans limitation, les suivantes : Article intitulé « Droits et restrictions relatifs à l’utilisation et la propriété » ; Article intitulé « Garanties » ; Article intitulé « Défense en cas de réclamations de tiers » ; Article intitulé « Limitation de responsabilité » ; Article intitulé « Durée et résiliation » ; Paragraphe intitulé « Cession » ; Paragraphe intitulé « Règlement des litiges » ; Paragraphe intitulé « Droit applicable » ; Paragraphe intitulé « Modalités de paiement des Services Professionnels » ; Paragraphe intitulé « Réglementation américaine en matière d’exportation ».</w:t>
      </w:r>
    </w:p>
    <w:p w14:paraId="384CF72A" w14:textId="77777777" w:rsidR="00374E8C" w:rsidRPr="004D7362" w:rsidRDefault="00374E8C" w:rsidP="00374E8C">
      <w:pPr>
        <w:keepNext/>
        <w:shd w:val="clear" w:color="auto" w:fill="000000"/>
        <w:spacing w:before="360" w:after="120"/>
      </w:pPr>
      <w:r>
        <w:rPr>
          <w:b/>
          <w:bCs/>
          <w:color w:val="FFFFFF"/>
        </w:rPr>
        <w:lastRenderedPageBreak/>
        <w:t>République Slovaque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L’article intitulé « Garanties » est complété par ce qui suit :</w:t>
            </w:r>
          </w:p>
        </w:tc>
      </w:tr>
    </w:tbl>
    <w:p w14:paraId="362036B6" w14:textId="315E8AA0" w:rsidR="00374E8C" w:rsidRPr="004D7362" w:rsidRDefault="00374E8C" w:rsidP="00374E8C">
      <w:pPr>
        <w:spacing w:after="240"/>
        <w:ind w:left="1080"/>
      </w:pPr>
      <w:r>
        <w:t>Les Livrables de Microsoft sont développés selon les connaissances scientifiques et techniques les plus récentes.</w:t>
      </w:r>
      <w:r w:rsidR="00AE26A9">
        <w:t xml:space="preserve"> </w:t>
      </w:r>
      <w:r>
        <w:t>Microsoft notifie expressément au Client que, étant donné l’état actuel des technologies, il n’est pas possible de développer des produits logiciels complexes qui soient totalement dénués de défauts techniques, lesquels peuvent survenir à l’avenir.</w:t>
      </w:r>
      <w:r w:rsidR="00AE26A9">
        <w:t xml:space="preserve"> </w:t>
      </w:r>
      <w:r>
        <w:t>Le produit logiciel fourni par Microsoft n’a pas besoin d’être totalement dénué d’erreurs de programmation mais fonctionnera pour l’essentiel conformément à sa documentation utilisateur ou si aucune documentation utilisateur n’existe, conformément à la Déclaration de Services appropriée.</w:t>
      </w:r>
    </w:p>
    <w:p w14:paraId="4A7CFFDB" w14:textId="338AA534" w:rsidR="00374E8C" w:rsidRPr="004D7362" w:rsidRDefault="00374E8C" w:rsidP="00374E8C">
      <w:pPr>
        <w:keepNext/>
        <w:shd w:val="clear" w:color="auto" w:fill="000000"/>
        <w:spacing w:before="360" w:after="120"/>
      </w:pPr>
      <w:r>
        <w:rPr>
          <w:b/>
          <w:bCs/>
          <w:color w:val="FFFFFF"/>
        </w:rPr>
        <w:t>Suisse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L’article intitulé « Stipulations diverses » est complété par ce qui suit :</w:t>
            </w:r>
          </w:p>
        </w:tc>
      </w:tr>
    </w:tbl>
    <w:p w14:paraId="25AFE6A6" w14:textId="70201EF1" w:rsidR="00374E8C" w:rsidRPr="004D7362" w:rsidRDefault="0089029D" w:rsidP="00122A75">
      <w:pPr>
        <w:ind w:left="1080" w:hanging="360"/>
      </w:pPr>
      <w:r>
        <w:rPr>
          <w:b/>
        </w:rPr>
        <w:t>o.</w:t>
      </w:r>
      <w:r>
        <w:tab/>
        <w:t>Tous les Services Professionnels sont fournis conformément à un contrat de mandat au sens de l’article 394 et suivants du Code suisse des obligations.</w:t>
      </w:r>
    </w:p>
    <w:p w14:paraId="30D23F7D" w14:textId="77777777" w:rsidR="00374E8C" w:rsidRPr="004D7362" w:rsidRDefault="00374E8C" w:rsidP="00374E8C">
      <w:pPr>
        <w:keepNext/>
        <w:shd w:val="clear" w:color="auto" w:fill="000000"/>
        <w:spacing w:before="360" w:after="120"/>
      </w:pPr>
      <w:r>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L’article intitulé « Limitation de responsabilité » est complété par ce qui suit :</w:t>
            </w:r>
          </w:p>
        </w:tc>
      </w:tr>
    </w:tbl>
    <w:p w14:paraId="443F5FF0" w14:textId="7032623E" w:rsidR="00374E8C" w:rsidRPr="004D7362" w:rsidRDefault="002237A3" w:rsidP="00122A75">
      <w:pPr>
        <w:ind w:left="1080" w:hanging="360"/>
      </w:pPr>
      <w:r>
        <w:rPr>
          <w:b/>
          <w:bCs/>
        </w:rPr>
        <w:t>e.</w:t>
      </w:r>
      <w:r>
        <w:rPr>
          <w:b/>
          <w:bCs/>
        </w:rPr>
        <w:tab/>
        <w:t>Application.</w:t>
      </w:r>
      <w:r w:rsidR="00AE26A9">
        <w:t xml:space="preserve"> </w:t>
      </w:r>
      <w:r>
        <w:t>Sauf stipulation expresse dans le présent article, les limitations et exclusions de responsabilité pour dommages prévues dans le présent contrat (y compris tout Contrat Supplémentaire) s’appliquent quel que soit le fondement de responsabilité invoqué (manquement aux termes du contrat, délit, violation de garantie, ou autre fondement juridique).</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4D1FD4" w14:textId="77777777" w:rsidR="00681196" w:rsidRDefault="00681196" w:rsidP="00135BAF">
      <w:pPr>
        <w:spacing w:before="0"/>
      </w:pPr>
      <w:r>
        <w:separator/>
      </w:r>
    </w:p>
  </w:endnote>
  <w:endnote w:type="continuationSeparator" w:id="0">
    <w:p w14:paraId="5A2A7603" w14:textId="77777777" w:rsidR="00681196" w:rsidRDefault="00681196"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7"/>
      <w:gridCol w:w="4485"/>
    </w:tblGrid>
    <w:tr w:rsidR="00B57DF5" w:rsidRPr="00B57DF5" w14:paraId="1C150DB3" w14:textId="77777777" w:rsidTr="005A0A47">
      <w:trPr>
        <w:jc w:val="center"/>
      </w:trPr>
      <w:tc>
        <w:tcPr>
          <w:tcW w:w="4547" w:type="dxa"/>
        </w:tcPr>
        <w:p w14:paraId="5684C6C4" w14:textId="77777777" w:rsidR="00B57DF5" w:rsidRPr="00B57DF5" w:rsidRDefault="00B57DF5" w:rsidP="00B57DF5">
          <w:pPr>
            <w:pStyle w:val="Footer"/>
            <w:rPr>
              <w:rStyle w:val="LogoportDoNotTranslate"/>
              <w:rFonts w:ascii="Arial" w:hAnsi="Arial" w:cs="Arial"/>
              <w:color w:val="000000" w:themeColor="text1"/>
              <w:sz w:val="16"/>
              <w:szCs w:val="16"/>
              <w:lang w:val="en-US"/>
            </w:rPr>
          </w:pPr>
          <w:r w:rsidRPr="00B57DF5">
            <w:rPr>
              <w:rStyle w:val="LogoportDoNotTranslate"/>
              <w:rFonts w:ascii="Arial" w:hAnsi="Arial" w:cs="Arial"/>
              <w:color w:val="000000" w:themeColor="text1"/>
              <w:sz w:val="16"/>
              <w:szCs w:val="16"/>
              <w:lang w:val="en-US"/>
            </w:rPr>
            <w:t>MBSA20201Agr(</w:t>
          </w:r>
          <w:proofErr w:type="spellStart"/>
          <w:r w:rsidRPr="00B57DF5">
            <w:rPr>
              <w:rStyle w:val="LogoportDoNotTranslate"/>
              <w:rFonts w:ascii="Arial" w:hAnsi="Arial" w:cs="Arial"/>
              <w:color w:val="000000" w:themeColor="text1"/>
              <w:sz w:val="16"/>
              <w:szCs w:val="16"/>
              <w:lang w:val="en-US"/>
            </w:rPr>
            <w:t>CountrySpecificProv</w:t>
          </w:r>
          <w:proofErr w:type="spellEnd"/>
          <w:r w:rsidRPr="00B57DF5">
            <w:rPr>
              <w:rStyle w:val="LogoportDoNotTranslate"/>
              <w:rFonts w:ascii="Arial" w:hAnsi="Arial" w:cs="Arial"/>
              <w:color w:val="000000" w:themeColor="text1"/>
              <w:sz w:val="16"/>
              <w:szCs w:val="16"/>
              <w:lang w:val="en-US"/>
            </w:rPr>
            <w:t>)(WW)(FRE)(Oct2019)</w:t>
          </w:r>
        </w:p>
      </w:tc>
      <w:tc>
        <w:tcPr>
          <w:tcW w:w="4485" w:type="dxa"/>
        </w:tcPr>
        <w:p w14:paraId="3ECA258B" w14:textId="77777777" w:rsidR="00B57DF5" w:rsidRPr="00B57DF5" w:rsidRDefault="00B57DF5" w:rsidP="00B57DF5">
          <w:pPr>
            <w:pStyle w:val="Footer"/>
            <w:jc w:val="right"/>
            <w:rPr>
              <w:rStyle w:val="LogoportDoNotTranslate"/>
              <w:rFonts w:ascii="Arial" w:hAnsi="Arial" w:cs="Arial"/>
              <w:color w:val="000000" w:themeColor="text1"/>
              <w:sz w:val="16"/>
              <w:szCs w:val="16"/>
            </w:rPr>
          </w:pPr>
          <w:r w:rsidRPr="00B57DF5">
            <w:rPr>
              <w:rStyle w:val="LogoportDoNotTranslate"/>
              <w:rFonts w:ascii="Arial" w:hAnsi="Arial" w:cs="Arial"/>
              <w:color w:val="000000" w:themeColor="text1"/>
              <w:sz w:val="16"/>
              <w:szCs w:val="16"/>
            </w:rPr>
            <w:t xml:space="preserve">Page </w:t>
          </w:r>
          <w:r w:rsidRPr="00B57DF5">
            <w:rPr>
              <w:rStyle w:val="LogoportDoNotTranslate"/>
              <w:rFonts w:ascii="Arial" w:hAnsi="Arial" w:cs="Arial"/>
              <w:color w:val="000000" w:themeColor="text1"/>
              <w:sz w:val="16"/>
              <w:szCs w:val="16"/>
            </w:rPr>
            <w:fldChar w:fldCharType="begin"/>
          </w:r>
          <w:r w:rsidRPr="00B57DF5">
            <w:rPr>
              <w:rStyle w:val="LogoportDoNotTranslate"/>
              <w:rFonts w:ascii="Arial" w:hAnsi="Arial" w:cs="Arial"/>
              <w:color w:val="000000" w:themeColor="text1"/>
              <w:sz w:val="16"/>
              <w:szCs w:val="16"/>
            </w:rPr>
            <w:instrText xml:space="preserve"> PAGE  \* Arabic  \* MERGEFORMAT </w:instrText>
          </w:r>
          <w:r w:rsidRPr="00B57DF5">
            <w:rPr>
              <w:rStyle w:val="LogoportDoNotTranslate"/>
              <w:rFonts w:ascii="Arial" w:hAnsi="Arial" w:cs="Arial"/>
              <w:color w:val="000000" w:themeColor="text1"/>
              <w:sz w:val="16"/>
              <w:szCs w:val="16"/>
            </w:rPr>
            <w:fldChar w:fldCharType="separate"/>
          </w:r>
          <w:r w:rsidRPr="00B57DF5">
            <w:rPr>
              <w:rStyle w:val="LogoportDoNotTranslate"/>
              <w:rFonts w:ascii="Arial" w:hAnsi="Arial" w:cs="Arial"/>
              <w:noProof/>
              <w:color w:val="000000" w:themeColor="text1"/>
              <w:sz w:val="16"/>
              <w:szCs w:val="16"/>
            </w:rPr>
            <w:t>1</w:t>
          </w:r>
          <w:r w:rsidRPr="00B57DF5">
            <w:rPr>
              <w:color w:val="000000" w:themeColor="text1"/>
              <w:sz w:val="16"/>
              <w:szCs w:val="16"/>
            </w:rPr>
            <w:fldChar w:fldCharType="end"/>
          </w:r>
          <w:r w:rsidRPr="00B57DF5">
            <w:rPr>
              <w:rStyle w:val="LogoportDoNotTranslate"/>
              <w:rFonts w:ascii="Arial" w:hAnsi="Arial" w:cs="Arial"/>
              <w:color w:val="000000" w:themeColor="text1"/>
              <w:sz w:val="16"/>
              <w:szCs w:val="16"/>
            </w:rPr>
            <w:t xml:space="preserve"> of </w:t>
          </w:r>
          <w:r w:rsidRPr="00B57DF5">
            <w:rPr>
              <w:rStyle w:val="LogoportDoNotTranslate"/>
              <w:rFonts w:ascii="Arial" w:hAnsi="Arial" w:cs="Arial"/>
              <w:color w:val="000000" w:themeColor="text1"/>
              <w:sz w:val="16"/>
              <w:szCs w:val="16"/>
            </w:rPr>
            <w:fldChar w:fldCharType="begin"/>
          </w:r>
          <w:r w:rsidRPr="00B57DF5">
            <w:rPr>
              <w:rStyle w:val="LogoportDoNotTranslate"/>
              <w:rFonts w:ascii="Arial" w:hAnsi="Arial" w:cs="Arial"/>
              <w:color w:val="000000" w:themeColor="text1"/>
              <w:sz w:val="16"/>
              <w:szCs w:val="16"/>
            </w:rPr>
            <w:instrText xml:space="preserve"> NUMPAGES  \* Arabic  \* MERGEFORMAT </w:instrText>
          </w:r>
          <w:r w:rsidRPr="00B57DF5">
            <w:rPr>
              <w:rStyle w:val="LogoportDoNotTranslate"/>
              <w:rFonts w:ascii="Arial" w:hAnsi="Arial" w:cs="Arial"/>
              <w:color w:val="000000" w:themeColor="text1"/>
              <w:sz w:val="16"/>
              <w:szCs w:val="16"/>
            </w:rPr>
            <w:fldChar w:fldCharType="separate"/>
          </w:r>
          <w:r w:rsidRPr="00B57DF5">
            <w:rPr>
              <w:rStyle w:val="LogoportDoNotTranslate"/>
              <w:rFonts w:ascii="Arial" w:hAnsi="Arial" w:cs="Arial"/>
              <w:noProof/>
              <w:color w:val="000000" w:themeColor="text1"/>
              <w:sz w:val="16"/>
              <w:szCs w:val="16"/>
            </w:rPr>
            <w:t>10</w:t>
          </w:r>
          <w:r w:rsidRPr="00B57DF5">
            <w:rPr>
              <w:color w:val="000000" w:themeColor="text1"/>
              <w:sz w:val="16"/>
              <w:szCs w:val="16"/>
            </w:rPr>
            <w:fldChar w:fldCharType="end"/>
          </w:r>
        </w:p>
        <w:p w14:paraId="6C0F2541" w14:textId="77777777" w:rsidR="00B57DF5" w:rsidRPr="00B57DF5" w:rsidRDefault="00B57DF5" w:rsidP="00B57DF5">
          <w:pPr>
            <w:pStyle w:val="Footer"/>
            <w:jc w:val="right"/>
            <w:rPr>
              <w:rStyle w:val="LogoportDoNotTranslate"/>
              <w:rFonts w:ascii="Arial" w:hAnsi="Arial" w:cs="Arial"/>
              <w:color w:val="000000" w:themeColor="text1"/>
              <w:sz w:val="16"/>
              <w:szCs w:val="16"/>
            </w:rPr>
          </w:pPr>
          <w:r w:rsidRPr="00B57DF5">
            <w:rPr>
              <w:rStyle w:val="LogoportDoNotTranslate"/>
              <w:rFonts w:ascii="Arial" w:hAnsi="Arial" w:cs="Arial"/>
              <w:color w:val="000000" w:themeColor="text1"/>
              <w:sz w:val="16"/>
              <w:szCs w:val="16"/>
            </w:rPr>
            <w:t>Document X20-10010</w:t>
          </w:r>
        </w:p>
      </w:tc>
    </w:tr>
  </w:tbl>
  <w:p w14:paraId="3E301AE6" w14:textId="77777777" w:rsidR="00B57DF5" w:rsidRPr="00747682" w:rsidRDefault="00B57DF5">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7"/>
      <w:gridCol w:w="4485"/>
    </w:tblGrid>
    <w:tr w:rsidR="00B57DF5" w:rsidRPr="00B57DF5" w14:paraId="4F7FD861" w14:textId="77777777" w:rsidTr="00424516">
      <w:trPr>
        <w:jc w:val="center"/>
      </w:trPr>
      <w:tc>
        <w:tcPr>
          <w:tcW w:w="4547" w:type="dxa"/>
        </w:tcPr>
        <w:p w14:paraId="74C6F23B" w14:textId="7655B1EE" w:rsidR="00E16604" w:rsidRPr="00B57DF5" w:rsidRDefault="00E16604" w:rsidP="00424516">
          <w:pPr>
            <w:pStyle w:val="Footer"/>
            <w:rPr>
              <w:rStyle w:val="LogoportDoNotTranslate"/>
              <w:rFonts w:ascii="Arial" w:hAnsi="Arial" w:cs="Arial"/>
              <w:color w:val="000000" w:themeColor="text1"/>
              <w:sz w:val="16"/>
              <w:szCs w:val="16"/>
              <w:lang w:val="en-US"/>
            </w:rPr>
          </w:pPr>
          <w:r w:rsidRPr="00B57DF5">
            <w:rPr>
              <w:rStyle w:val="LogoportDoNotTranslate"/>
              <w:rFonts w:ascii="Arial" w:hAnsi="Arial" w:cs="Arial"/>
              <w:color w:val="000000" w:themeColor="text1"/>
              <w:sz w:val="16"/>
              <w:szCs w:val="16"/>
              <w:lang w:val="en-US"/>
            </w:rPr>
            <w:t>MBSA20</w:t>
          </w:r>
          <w:r w:rsidR="00B57DF5" w:rsidRPr="00B57DF5">
            <w:rPr>
              <w:rStyle w:val="LogoportDoNotTranslate"/>
              <w:rFonts w:ascii="Arial" w:hAnsi="Arial" w:cs="Arial"/>
              <w:color w:val="000000" w:themeColor="text1"/>
              <w:sz w:val="16"/>
              <w:szCs w:val="16"/>
              <w:lang w:val="en-US"/>
            </w:rPr>
            <w:t>201</w:t>
          </w:r>
          <w:r w:rsidRPr="00B57DF5">
            <w:rPr>
              <w:rStyle w:val="LogoportDoNotTranslate"/>
              <w:rFonts w:ascii="Arial" w:hAnsi="Arial" w:cs="Arial"/>
              <w:color w:val="000000" w:themeColor="text1"/>
              <w:sz w:val="16"/>
              <w:szCs w:val="16"/>
              <w:lang w:val="en-US"/>
            </w:rPr>
            <w:t>Agr(</w:t>
          </w:r>
          <w:proofErr w:type="spellStart"/>
          <w:r w:rsidRPr="00B57DF5">
            <w:rPr>
              <w:rStyle w:val="LogoportDoNotTranslate"/>
              <w:rFonts w:ascii="Arial" w:hAnsi="Arial" w:cs="Arial"/>
              <w:color w:val="000000" w:themeColor="text1"/>
              <w:sz w:val="16"/>
              <w:szCs w:val="16"/>
              <w:lang w:val="en-US"/>
            </w:rPr>
            <w:t>CountrySpecificProv</w:t>
          </w:r>
          <w:proofErr w:type="spellEnd"/>
          <w:r w:rsidRPr="00B57DF5">
            <w:rPr>
              <w:rStyle w:val="LogoportDoNotTranslate"/>
              <w:rFonts w:ascii="Arial" w:hAnsi="Arial" w:cs="Arial"/>
              <w:color w:val="000000" w:themeColor="text1"/>
              <w:sz w:val="16"/>
              <w:szCs w:val="16"/>
              <w:lang w:val="en-US"/>
            </w:rPr>
            <w:t>)(WW)(FRE)(</w:t>
          </w:r>
          <w:r w:rsidR="00B57DF5" w:rsidRPr="00B57DF5">
            <w:rPr>
              <w:rStyle w:val="LogoportDoNotTranslate"/>
              <w:rFonts w:ascii="Arial" w:hAnsi="Arial" w:cs="Arial"/>
              <w:color w:val="000000" w:themeColor="text1"/>
              <w:sz w:val="16"/>
              <w:szCs w:val="16"/>
              <w:lang w:val="en-US"/>
            </w:rPr>
            <w:t>Oct2019</w:t>
          </w:r>
          <w:r w:rsidRPr="00B57DF5">
            <w:rPr>
              <w:rStyle w:val="LogoportDoNotTranslate"/>
              <w:rFonts w:ascii="Arial" w:hAnsi="Arial" w:cs="Arial"/>
              <w:color w:val="000000" w:themeColor="text1"/>
              <w:sz w:val="16"/>
              <w:szCs w:val="16"/>
              <w:lang w:val="en-US"/>
            </w:rPr>
            <w:t>)</w:t>
          </w:r>
        </w:p>
      </w:tc>
      <w:tc>
        <w:tcPr>
          <w:tcW w:w="4485" w:type="dxa"/>
        </w:tcPr>
        <w:p w14:paraId="0F47BC65" w14:textId="77777777" w:rsidR="00E16604" w:rsidRPr="00B57DF5" w:rsidRDefault="00E16604" w:rsidP="00424516">
          <w:pPr>
            <w:pStyle w:val="Footer"/>
            <w:jc w:val="right"/>
            <w:rPr>
              <w:rStyle w:val="LogoportDoNotTranslate"/>
              <w:rFonts w:ascii="Arial" w:hAnsi="Arial" w:cs="Arial"/>
              <w:color w:val="000000" w:themeColor="text1"/>
              <w:sz w:val="16"/>
              <w:szCs w:val="16"/>
            </w:rPr>
          </w:pPr>
          <w:r w:rsidRPr="00B57DF5">
            <w:rPr>
              <w:rStyle w:val="LogoportDoNotTranslate"/>
              <w:rFonts w:ascii="Arial" w:hAnsi="Arial" w:cs="Arial"/>
              <w:color w:val="000000" w:themeColor="text1"/>
              <w:sz w:val="16"/>
              <w:szCs w:val="16"/>
            </w:rPr>
            <w:t xml:space="preserve">Page </w:t>
          </w:r>
          <w:r w:rsidRPr="00B57DF5">
            <w:rPr>
              <w:rStyle w:val="LogoportDoNotTranslate"/>
              <w:rFonts w:ascii="Arial" w:hAnsi="Arial" w:cs="Arial"/>
              <w:color w:val="000000" w:themeColor="text1"/>
              <w:sz w:val="16"/>
              <w:szCs w:val="16"/>
            </w:rPr>
            <w:fldChar w:fldCharType="begin"/>
          </w:r>
          <w:r w:rsidRPr="00B57DF5">
            <w:rPr>
              <w:rStyle w:val="LogoportDoNotTranslate"/>
              <w:rFonts w:ascii="Arial" w:hAnsi="Arial" w:cs="Arial"/>
              <w:color w:val="000000" w:themeColor="text1"/>
              <w:sz w:val="16"/>
              <w:szCs w:val="16"/>
            </w:rPr>
            <w:instrText xml:space="preserve"> PAGE  \* Arabic  \* MERGEFORMAT </w:instrText>
          </w:r>
          <w:r w:rsidRPr="00B57DF5">
            <w:rPr>
              <w:rStyle w:val="LogoportDoNotTranslate"/>
              <w:rFonts w:ascii="Arial" w:hAnsi="Arial" w:cs="Arial"/>
              <w:color w:val="000000" w:themeColor="text1"/>
              <w:sz w:val="16"/>
              <w:szCs w:val="16"/>
            </w:rPr>
            <w:fldChar w:fldCharType="separate"/>
          </w:r>
          <w:r w:rsidR="00DC2AEA" w:rsidRPr="00B57DF5">
            <w:rPr>
              <w:rStyle w:val="LogoportDoNotTranslate"/>
              <w:rFonts w:ascii="Arial" w:hAnsi="Arial" w:cs="Arial"/>
              <w:noProof/>
              <w:color w:val="000000" w:themeColor="text1"/>
              <w:sz w:val="16"/>
              <w:szCs w:val="16"/>
            </w:rPr>
            <w:t>1</w:t>
          </w:r>
          <w:r w:rsidRPr="00B57DF5">
            <w:rPr>
              <w:color w:val="000000" w:themeColor="text1"/>
              <w:sz w:val="16"/>
              <w:szCs w:val="16"/>
            </w:rPr>
            <w:fldChar w:fldCharType="end"/>
          </w:r>
          <w:r w:rsidRPr="00B57DF5">
            <w:rPr>
              <w:rStyle w:val="LogoportDoNotTranslate"/>
              <w:rFonts w:ascii="Arial" w:hAnsi="Arial" w:cs="Arial"/>
              <w:color w:val="000000" w:themeColor="text1"/>
              <w:sz w:val="16"/>
              <w:szCs w:val="16"/>
            </w:rPr>
            <w:t xml:space="preserve"> of </w:t>
          </w:r>
          <w:r w:rsidRPr="00B57DF5">
            <w:rPr>
              <w:rStyle w:val="LogoportDoNotTranslate"/>
              <w:rFonts w:ascii="Arial" w:hAnsi="Arial" w:cs="Arial"/>
              <w:color w:val="000000" w:themeColor="text1"/>
              <w:sz w:val="16"/>
              <w:szCs w:val="16"/>
            </w:rPr>
            <w:fldChar w:fldCharType="begin"/>
          </w:r>
          <w:r w:rsidRPr="00B57DF5">
            <w:rPr>
              <w:rStyle w:val="LogoportDoNotTranslate"/>
              <w:rFonts w:ascii="Arial" w:hAnsi="Arial" w:cs="Arial"/>
              <w:color w:val="000000" w:themeColor="text1"/>
              <w:sz w:val="16"/>
              <w:szCs w:val="16"/>
            </w:rPr>
            <w:instrText xml:space="preserve"> NUMPAGES  \* Arabic  \* MERGEFORMAT </w:instrText>
          </w:r>
          <w:r w:rsidRPr="00B57DF5">
            <w:rPr>
              <w:rStyle w:val="LogoportDoNotTranslate"/>
              <w:rFonts w:ascii="Arial" w:hAnsi="Arial" w:cs="Arial"/>
              <w:color w:val="000000" w:themeColor="text1"/>
              <w:sz w:val="16"/>
              <w:szCs w:val="16"/>
            </w:rPr>
            <w:fldChar w:fldCharType="separate"/>
          </w:r>
          <w:r w:rsidR="00DC2AEA" w:rsidRPr="00B57DF5">
            <w:rPr>
              <w:rStyle w:val="LogoportDoNotTranslate"/>
              <w:rFonts w:ascii="Arial" w:hAnsi="Arial" w:cs="Arial"/>
              <w:noProof/>
              <w:color w:val="000000" w:themeColor="text1"/>
              <w:sz w:val="16"/>
              <w:szCs w:val="16"/>
            </w:rPr>
            <w:t>10</w:t>
          </w:r>
          <w:r w:rsidRPr="00B57DF5">
            <w:rPr>
              <w:color w:val="000000" w:themeColor="text1"/>
              <w:sz w:val="16"/>
              <w:szCs w:val="16"/>
            </w:rPr>
            <w:fldChar w:fldCharType="end"/>
          </w:r>
        </w:p>
        <w:p w14:paraId="4E132504" w14:textId="0CAAC6A2" w:rsidR="00E16604" w:rsidRPr="00B57DF5" w:rsidRDefault="00E16604" w:rsidP="00424516">
          <w:pPr>
            <w:pStyle w:val="Footer"/>
            <w:jc w:val="right"/>
            <w:rPr>
              <w:rStyle w:val="LogoportDoNotTranslate"/>
              <w:rFonts w:ascii="Arial" w:hAnsi="Arial" w:cs="Arial"/>
              <w:color w:val="000000" w:themeColor="text1"/>
              <w:sz w:val="16"/>
              <w:szCs w:val="16"/>
            </w:rPr>
          </w:pPr>
          <w:r w:rsidRPr="00B57DF5">
            <w:rPr>
              <w:rStyle w:val="LogoportDoNotTranslate"/>
              <w:rFonts w:ascii="Arial" w:hAnsi="Arial" w:cs="Arial"/>
              <w:color w:val="000000" w:themeColor="text1"/>
              <w:sz w:val="16"/>
              <w:szCs w:val="16"/>
            </w:rPr>
            <w:t>Document X20-100</w:t>
          </w:r>
          <w:r w:rsidR="00B57DF5" w:rsidRPr="00B57DF5">
            <w:rPr>
              <w:rStyle w:val="LogoportDoNotTranslate"/>
              <w:rFonts w:ascii="Arial" w:hAnsi="Arial" w:cs="Arial"/>
              <w:color w:val="000000" w:themeColor="text1"/>
              <w:sz w:val="16"/>
              <w:szCs w:val="16"/>
            </w:rPr>
            <w:t>10</w:t>
          </w:r>
        </w:p>
      </w:tc>
    </w:tr>
  </w:tbl>
  <w:p w14:paraId="769CD77A" w14:textId="77777777" w:rsidR="00E16604" w:rsidRPr="00747682" w:rsidRDefault="00E16604" w:rsidP="00E16604">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22BEAD" w14:textId="77777777" w:rsidR="00681196" w:rsidRDefault="00681196" w:rsidP="00135BAF">
      <w:pPr>
        <w:spacing w:before="0"/>
      </w:pPr>
      <w:r>
        <w:separator/>
      </w:r>
    </w:p>
  </w:footnote>
  <w:footnote w:type="continuationSeparator" w:id="0">
    <w:p w14:paraId="44F1C4D1" w14:textId="77777777" w:rsidR="00681196" w:rsidRDefault="00681196"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681196">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681196">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681196"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5BAF"/>
    <w:rsid w:val="001660A7"/>
    <w:rsid w:val="001858E7"/>
    <w:rsid w:val="002052C3"/>
    <w:rsid w:val="002237A3"/>
    <w:rsid w:val="0024259A"/>
    <w:rsid w:val="002B614E"/>
    <w:rsid w:val="002D193A"/>
    <w:rsid w:val="002F4512"/>
    <w:rsid w:val="00305E25"/>
    <w:rsid w:val="00312FCA"/>
    <w:rsid w:val="00340791"/>
    <w:rsid w:val="00346127"/>
    <w:rsid w:val="00374E8C"/>
    <w:rsid w:val="0038410A"/>
    <w:rsid w:val="003A2FC8"/>
    <w:rsid w:val="003D11D6"/>
    <w:rsid w:val="00404D8A"/>
    <w:rsid w:val="0045633F"/>
    <w:rsid w:val="004D438E"/>
    <w:rsid w:val="004D7362"/>
    <w:rsid w:val="005073A7"/>
    <w:rsid w:val="00512626"/>
    <w:rsid w:val="00512CB6"/>
    <w:rsid w:val="00515B2A"/>
    <w:rsid w:val="005534D9"/>
    <w:rsid w:val="00556312"/>
    <w:rsid w:val="005634F2"/>
    <w:rsid w:val="005A0CAB"/>
    <w:rsid w:val="005E272E"/>
    <w:rsid w:val="00640CCA"/>
    <w:rsid w:val="00641E1F"/>
    <w:rsid w:val="00665288"/>
    <w:rsid w:val="006738DF"/>
    <w:rsid w:val="00681196"/>
    <w:rsid w:val="006852BF"/>
    <w:rsid w:val="00691A1E"/>
    <w:rsid w:val="006D4245"/>
    <w:rsid w:val="007165DD"/>
    <w:rsid w:val="00747682"/>
    <w:rsid w:val="00792A9C"/>
    <w:rsid w:val="007C458C"/>
    <w:rsid w:val="007E13EA"/>
    <w:rsid w:val="007E5E82"/>
    <w:rsid w:val="00835503"/>
    <w:rsid w:val="0085590C"/>
    <w:rsid w:val="00873C81"/>
    <w:rsid w:val="0088333F"/>
    <w:rsid w:val="00885A8A"/>
    <w:rsid w:val="00887D20"/>
    <w:rsid w:val="0089029D"/>
    <w:rsid w:val="008B4B9A"/>
    <w:rsid w:val="008C225D"/>
    <w:rsid w:val="008E1EF9"/>
    <w:rsid w:val="008F1A68"/>
    <w:rsid w:val="008F2782"/>
    <w:rsid w:val="00924DE4"/>
    <w:rsid w:val="00960906"/>
    <w:rsid w:val="009649F1"/>
    <w:rsid w:val="00967E5E"/>
    <w:rsid w:val="00997BDF"/>
    <w:rsid w:val="009A26C4"/>
    <w:rsid w:val="009C38C5"/>
    <w:rsid w:val="00A00EDE"/>
    <w:rsid w:val="00A12BB1"/>
    <w:rsid w:val="00A25F2E"/>
    <w:rsid w:val="00A356F2"/>
    <w:rsid w:val="00A94F40"/>
    <w:rsid w:val="00AA6021"/>
    <w:rsid w:val="00AB5317"/>
    <w:rsid w:val="00AB7196"/>
    <w:rsid w:val="00AE26A9"/>
    <w:rsid w:val="00AF0E20"/>
    <w:rsid w:val="00B1406A"/>
    <w:rsid w:val="00B471C1"/>
    <w:rsid w:val="00B57DF5"/>
    <w:rsid w:val="00B74597"/>
    <w:rsid w:val="00BC2241"/>
    <w:rsid w:val="00BC390A"/>
    <w:rsid w:val="00BE678E"/>
    <w:rsid w:val="00C36C80"/>
    <w:rsid w:val="00C7130E"/>
    <w:rsid w:val="00D16A2D"/>
    <w:rsid w:val="00D5280E"/>
    <w:rsid w:val="00D92D70"/>
    <w:rsid w:val="00D95884"/>
    <w:rsid w:val="00DA3105"/>
    <w:rsid w:val="00DC2AEA"/>
    <w:rsid w:val="00E16604"/>
    <w:rsid w:val="00E70A23"/>
    <w:rsid w:val="00E74A34"/>
    <w:rsid w:val="00ED5580"/>
    <w:rsid w:val="00EF3013"/>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D2F30F3-B460-4932-B853-F8658DBA24E2}"/>
  <w:documentProtection w:edit="forms" w:enforcement="true" w:cryptProviderType="rsaFull" w:cryptAlgorithmClass="hash" w:cryptAlgorithmType="typeAny" w:cryptAlgorithmSid="4" w:cryptSpinCount="50000" w:hash="eBy8kO0Ej+TUowszRnmUOm197w0=" w:salt="Odn1HOQnl6O0meSyQlv9p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2.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6A1ACB-D97F-4937-A86C-7F259A868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10</Pages>
  <Words>5073</Words>
  <Characters>28917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32</cp:revision>
  <cp:lastPrinted>2016-07-15T15:00:00Z</cp:lastPrinted>
  <dcterms:created xsi:type="dcterms:W3CDTF">2015-05-15T21:45:00Z</dcterms:created>
  <dcterms:modified xsi:type="dcterms:W3CDTF">2019-10-01T22:17:00Z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