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166421" w:rsidRDefault="00374E8C" w:rsidP="001B353A">
      <w:pPr>
        <w:spacing w:before="240"/>
        <w:jc w:val="left"/>
        <w:rPr>
          <w:sz w:val="32"/>
          <w:szCs w:val="32"/>
        </w:rPr>
      </w:pPr>
      <w:bookmarkStart w:id="0" w:name="_Toc261346423"/>
      <w:r w:rsidRPr="00166421">
        <w:rPr>
          <w:sz w:val="32"/>
          <w:szCs w:val="32"/>
        </w:rPr>
        <w:t>Postanowienia dotyczące poszczególnych krajów</w:t>
      </w:r>
    </w:p>
    <w:p w14:paraId="576679B2" w14:textId="106BD5E2" w:rsidR="00374E8C" w:rsidRPr="004D7362" w:rsidRDefault="00374E8C" w:rsidP="00374E8C">
      <w:pPr>
        <w:spacing w:before="360"/>
      </w:pPr>
      <w:r>
        <w:t>Poniższe postanowienia dotyczące poszczególnych krajów zastępują lub uzupełniają odpowiednie postanowienia zawarte w Microsoft Business and Services Agreement w następujący sposób:</w:t>
      </w:r>
    </w:p>
    <w:p w14:paraId="115790C9" w14:textId="567FA0AD" w:rsidR="00374E8C" w:rsidRPr="004D7362" w:rsidRDefault="00374E8C" w:rsidP="00404D8A">
      <w:pPr>
        <w:pStyle w:val="Heading1"/>
        <w:numPr>
          <w:ilvl w:val="0"/>
          <w:numId w:val="30"/>
        </w:numPr>
        <w:spacing w:after="0"/>
        <w:ind w:hanging="720"/>
      </w:pPr>
      <w:r>
        <w:rPr>
          <w:rFonts w:cs="Arial"/>
        </w:rPr>
        <w:t>Postanowienia dotyczące poszczególnych krajów zależne od miejsca.</w:t>
      </w:r>
      <w:bookmarkEnd w:id="0"/>
    </w:p>
    <w:p w14:paraId="675A30CE" w14:textId="491FB839" w:rsidR="00374E8C" w:rsidRPr="004D7362" w:rsidRDefault="00374E8C" w:rsidP="00374E8C">
      <w:r>
        <w:t>W przypadku Klientów z siedzibą w kraju określonym w niniejszym punkcie 1 następujące postanowienia dotyczące danego kraju zastępują lub uzupełniają odpowiednie postanowienia zgodnie z podanym opisem:</w:t>
      </w:r>
    </w:p>
    <w:p w14:paraId="0A0F3B1C" w14:textId="77777777" w:rsidR="00374E8C" w:rsidRPr="004D7362" w:rsidRDefault="00374E8C" w:rsidP="00374E8C">
      <w:pPr>
        <w:keepNext/>
        <w:shd w:val="clear" w:color="auto" w:fill="000000"/>
        <w:spacing w:after="120"/>
      </w:pPr>
      <w:r>
        <w:rPr>
          <w:b/>
          <w:bCs/>
          <w:color w:val="FFFFFF"/>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3B31061D" w:rsidR="00374E8C" w:rsidRPr="00B471C1" w:rsidRDefault="00374E8C" w:rsidP="00374E8C">
            <w:pPr>
              <w:spacing w:after="120"/>
              <w:ind w:left="86" w:right="86"/>
              <w:rPr>
                <w:b/>
                <w:bCs/>
              </w:rPr>
            </w:pPr>
            <w:r>
              <w:rPr>
                <w:b/>
                <w:bCs/>
              </w:rPr>
              <w:t>Punkt zatytułowany „Rękojmie i gwarancje” uzupełnia się o następujące postanowienie:</w:t>
            </w:r>
          </w:p>
        </w:tc>
      </w:tr>
    </w:tbl>
    <w:p w14:paraId="2E2C40DC" w14:textId="67CD8380" w:rsidR="00374E8C" w:rsidRPr="004D7362" w:rsidRDefault="00374E8C" w:rsidP="00374E8C">
      <w:pPr>
        <w:spacing w:after="240"/>
        <w:ind w:left="1080" w:hanging="360"/>
      </w:pPr>
      <w:r>
        <w:rPr>
          <w:b/>
          <w:bCs/>
        </w:rPr>
        <w:t>d.</w:t>
      </w:r>
      <w:r>
        <w:rPr>
          <w:b/>
          <w:bCs/>
        </w:rPr>
        <w:tab/>
        <w:t>Uprawnienia konsumentów.</w:t>
      </w:r>
      <w:r w:rsidR="002463A8">
        <w:t xml:space="preserve"> </w:t>
      </w:r>
      <w:r>
        <w:t>Niezależnie od postanowień niniejszej umowy (lub Umowy Uzupełniającej), na podstawie ustawy z 2010 roku o konsumentach i konkurencji (Competition and Consumer Act 2010, Cth) oraz innych podobnych krajowych i lokalnych przepisów obowiązujących w Australii konsumentom mogą przysługiwać określone uprawnienia, w odniesieniu do których nie można wyłączyć odpowiedzialności. W takim przypadku w maksymalnym zakresie dozwolonym przez prawo właściwe odpowiedzialność Microsoft będzie ograniczona, według uznania Microsoft, w odniesieniu do towarów do: (1) ich wymiany albo (2) usunięcia z nich wad, a w odniesieniu do Usług Profesjonalnych do: (1) ponownego ich wykonania albo (2) zwrotu kosztów ponownego ich wykonania.</w:t>
      </w:r>
      <w:r w:rsidR="002463A8">
        <w:t xml:space="preserve"> </w:t>
      </w:r>
      <w:r>
        <w:t>Obowiązujące w Australii przepisy prawa wymagają, aby Microsoft poinformował konsumentów nabywających produkty Microsoft o tym, że: produkty te są objęte gwarancją, której zgodnie z obowiązującym w Australii prawem o konsumentach nie można wyłączyć. W przypadku poważnej usterki konsument jest uprawniony do dokonania wymiany albo uzyskania zwrotu pieniędzy, natomiast w przypadku innych dających się w uzasadniony sposób przewidzieć strat lub szkód — do uzyskania odpowiedniego odszkodowania. Jeśli produkty nie są należytej jakości, jednakże usterka nie stanowi „poważnej usterki”, konsument jest wówczas również uprawniony do tego, aby produkty te zostały naprawione albo wymienione.</w:t>
      </w:r>
    </w:p>
    <w:p w14:paraId="074C11C2" w14:textId="0BA5FBA6" w:rsidR="00374E8C" w:rsidRPr="004D7362" w:rsidRDefault="00374E8C" w:rsidP="00374E8C">
      <w:pPr>
        <w:keepNext/>
        <w:shd w:val="clear" w:color="auto" w:fill="000000"/>
        <w:spacing w:before="360" w:after="120"/>
      </w:pPr>
      <w:r>
        <w:rPr>
          <w:b/>
          <w:bCs/>
          <w:color w:val="FFFFFF"/>
        </w:rPr>
        <w:t>Bangladesz, Indie, Indonezja, Mjanma, Republika Ludowa Chin, Filipiny, Sri Lanka, Tajlandia oraz Wietnam.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5C8D8BC0" w:rsidR="00374E8C" w:rsidRPr="00B471C1" w:rsidRDefault="00374E8C" w:rsidP="00305E25">
            <w:pPr>
              <w:keepNext/>
              <w:spacing w:after="120"/>
              <w:ind w:left="86" w:right="86"/>
              <w:rPr>
                <w:b/>
                <w:bCs/>
              </w:rPr>
            </w:pPr>
            <w:r>
              <w:rPr>
                <w:b/>
                <w:bCs/>
              </w:rPr>
              <w:t>Podpunkt zatytułowany „Rozstrzyganie sporów” zastępuje się następującym postanowieniem:</w:t>
            </w:r>
          </w:p>
        </w:tc>
      </w:tr>
    </w:tbl>
    <w:p w14:paraId="60D30881" w14:textId="2A021B55" w:rsidR="00374E8C" w:rsidRPr="004D7362" w:rsidRDefault="00374E8C" w:rsidP="00B471C1">
      <w:pPr>
        <w:ind w:left="1080"/>
      </w:pPr>
      <w:r>
        <w:rPr>
          <w:b/>
          <w:bCs/>
        </w:rPr>
        <w:t>Rozstrzyganie sporów.</w:t>
      </w:r>
      <w:r w:rsidR="002463A8">
        <w:rPr>
          <w:b/>
          <w:bCs/>
        </w:rPr>
        <w:t xml:space="preserve"> </w:t>
      </w:r>
      <w:r>
        <w:rPr>
          <w:bCs/>
        </w:rPr>
        <w:t>W przypadku wytoczenia powództwa wynikającego z niniejszej umowy w wymienionych powyżej krajach (w tym postanowień umów, których integralną część stanowią postanowienia niniejszej umowy) strony zgadzają się, że powództwo takie zostanie ostatecznie rozstrzygnięte przed sądem polubownym zgodnie z postanowieniami niniejszego punktu.</w:t>
      </w:r>
      <w:r w:rsidR="002463A8">
        <w:rPr>
          <w:b/>
          <w:bCs/>
        </w:rPr>
        <w:t xml:space="preserve"> </w:t>
      </w:r>
      <w:r>
        <w:t>Decyzja podjęta przez arbitra ma charakter ostateczny i wiążący i nie podlega zaskarżeniu. Decyzja ta może stanowić podstawę prawną orzeczeń wydawanych przez sądy w wyżej wymienionych lub innych krajach.</w:t>
      </w:r>
      <w:r w:rsidR="002463A8">
        <w:t xml:space="preserve"> </w:t>
      </w:r>
      <w:r>
        <w:t>W najszerszym zakresie dozwolonym przez prawo właściwe strony zrzekają się prawa do odwołania się od tej decyzji lub do korzystania z innych środków prawnych o podobnym charakterze.</w:t>
      </w:r>
      <w:r w:rsidR="002463A8">
        <w:t xml:space="preserve"> </w:t>
      </w:r>
      <w:r>
        <w:t>Powyższy wybór właściwości miejscowej nie uniemożliwia stronom ubiegania się przed sądem w jakiejkolwiek właściwej jurysdykcji o udzielenie zabezpieczenia sądowego z tytułu naruszenia praw własności intelektualnej lub zobowiązania do zachowania poufności.</w:t>
      </w:r>
      <w:r w:rsidR="002463A8">
        <w:t xml:space="preserve"> </w:t>
      </w:r>
      <w:r>
        <w:t>Postępowanie przed sądem arbitrażowym będzie prowadzone w języku angielskim.</w:t>
      </w:r>
      <w:r w:rsidR="002463A8">
        <w:t xml:space="preserve"> </w:t>
      </w:r>
      <w:r>
        <w:t>Ponadto w odniesieniu do wymienionych poniżej krajów obowiązują poniższe postanowienia.</w:t>
      </w:r>
    </w:p>
    <w:p w14:paraId="1AFA36C6" w14:textId="604189A6" w:rsidR="00374E8C" w:rsidRPr="004D7362" w:rsidRDefault="00374E8C" w:rsidP="00374E8C">
      <w:pPr>
        <w:ind w:left="1080"/>
      </w:pPr>
      <w:r>
        <w:rPr>
          <w:b/>
          <w:bCs/>
        </w:rPr>
        <w:lastRenderedPageBreak/>
        <w:t>Bangladesz, Indonezja, Sri Lanka, Tajlandia i Wietnam.</w:t>
      </w:r>
      <w:r w:rsidR="002463A8">
        <w:t xml:space="preserve"> </w:t>
      </w:r>
      <w:r>
        <w:t>Spory bezpośrednio lub pośrednio wynikające z niniejszej umowy (w tym Umowy Uzupełniającej), w tym wszelkie wątpliwości dotyczące jej istnienia, ważności lub wypowiedzenia będą przekazywane do sądu arbitrażowego w Singapurze i ostatecznie rozstrzygane zgodnie z Regulaminem Arbitrażu Międzynarodowego obowiązującym w Międzynarodowym Centrum Arbitrażu w Singapurze (ang. Singapore International Arbitration Centre, SIAC). Uznaje się, że postanowienia tego Regulaminu stanowią integralną część postanowień zawartych w niniejszym punkcie umowy.</w:t>
      </w:r>
      <w:r w:rsidR="002463A8">
        <w:t xml:space="preserve"> </w:t>
      </w:r>
      <w:r>
        <w:t>W skład sądu wchodzić będzie jeden arbiter wyznaczony przez przewodniczącego SIAC.</w:t>
      </w:r>
      <w:r w:rsidR="002463A8">
        <w:t xml:space="preserve"> </w:t>
      </w:r>
      <w:r>
        <w:rPr>
          <w:bCs/>
        </w:rPr>
        <w:t>Postępowanie arbitrażow</w:t>
      </w:r>
      <w:r>
        <w:t>e będzie prowadzone w języku angielskim.</w:t>
      </w:r>
    </w:p>
    <w:p w14:paraId="0C1411B7" w14:textId="1115811A" w:rsidR="00374E8C" w:rsidRPr="004D7362" w:rsidRDefault="00374E8C" w:rsidP="00374E8C">
      <w:pPr>
        <w:ind w:left="1080"/>
      </w:pPr>
      <w:r>
        <w:rPr>
          <w:b/>
        </w:rPr>
        <w:t>Indie.</w:t>
      </w:r>
      <w:r w:rsidR="002463A8">
        <w:t xml:space="preserve"> </w:t>
      </w:r>
      <w:r>
        <w:t>Postępowanie przed sądem arbitrażowym będzie prowadzone zgodnie z regulaminem arbitrażu Międzynarodowego Centrum Arbitrażu w Singapurze (ang. Singapore International Arbitration Centre, SIAC), a postanowienia tego regulaminu są uznawane za integralną część niniejszego podpunktu. W skład sądu wchodzić będzie jeden arbiter wyznaczony przez przewodniczącego SIAC. Postępowanie przed sądem arbitrażowym będzie się toczyło w języku angielskim przed sądem w Singapurze.</w:t>
      </w:r>
      <w:r w:rsidR="002463A8">
        <w:t xml:space="preserve"> </w:t>
      </w:r>
      <w:r>
        <w:t>Wyrok sądu arbitrażowego będzie ostateczny i wiążący.</w:t>
      </w:r>
      <w:r w:rsidR="002463A8">
        <w:t xml:space="preserve"> </w:t>
      </w:r>
      <w:r>
        <w:t>Sądy w Nowym Delhi mają wyłączną jurysdykcję w rozpatrywaniu wniosków związanych z wykonaniem wyroku sądu arbitrażowego lub wniosków o przyznanie środków tymczasowych i zabezpieczających.</w:t>
      </w:r>
    </w:p>
    <w:p w14:paraId="78F84D67" w14:textId="6F3A382A" w:rsidR="00374E8C" w:rsidRPr="004D7362" w:rsidRDefault="00374E8C" w:rsidP="00374E8C">
      <w:pPr>
        <w:ind w:left="1080"/>
      </w:pPr>
      <w:r>
        <w:rPr>
          <w:b/>
        </w:rPr>
        <w:t>Chińska Republika Ludowa („ChRL”).</w:t>
      </w:r>
      <w:r w:rsidR="002463A8">
        <w:rPr>
          <w:b/>
        </w:rPr>
        <w:t xml:space="preserve"> </w:t>
      </w:r>
      <w:r>
        <w:t>Jakikolwiek spór bezpośrednio lub pośrednio wynikający z niniejszej Umowy (w tym Umowy Uzupełniającej), w tym wszelkie wątpliwości dotyczące jej istnienia, ważności lub wypowiedzenia, będą przekazywane do ostatecznego rozstrzygnięcia przez sąd arbitrażowy przy Chińskiej Międzynarodowej Komisji Arbitrażowej ds. Gospodarczych i Handlowych w Pekinie (China International Economic and Trade Arbitration Commission, „CIETAC”) zgodnie z obowiązującym wówczas regulaminem tej Komisji.</w:t>
      </w:r>
    </w:p>
    <w:p w14:paraId="68BE63E6" w14:textId="11760B61" w:rsidR="00374E8C" w:rsidRPr="004D7362" w:rsidRDefault="00374E8C" w:rsidP="00374E8C">
      <w:pPr>
        <w:ind w:left="1080"/>
      </w:pPr>
      <w:r>
        <w:rPr>
          <w:b/>
        </w:rPr>
        <w:t>Filipiny.</w:t>
      </w:r>
      <w:r w:rsidR="002463A8">
        <w:t xml:space="preserve"> </w:t>
      </w:r>
      <w:r>
        <w:t>Spory bezpośrednio lub pośrednio wynikające z niniejszej Umowy lub Umowy Uzupełniającej, w tym wszelkie wątpliwości dotyczące jej istnienia, ważności lub wypowiedzenia, będą przekazywane do sądu arbitrażowego w Singapurze i ostatecznie rozstrzygane zgodnie z Regulaminem Arbitrażu Międzynarodowego obowiązującym w Międzynarodowym Centrum Arbitrażu w Singapurze (ang. Singapore International Arbitration Centre, „SIAC”). Uznaje się, że postanowienia tego Regulaminu stanowią integralną część postanowień zawartych w niniejszym punkcie Umowy.</w:t>
      </w:r>
      <w:r w:rsidR="002463A8">
        <w:t xml:space="preserve"> </w:t>
      </w:r>
      <w:r>
        <w:t>W skład sądu wchodzić będzie jeden arbiter wyznaczony przez przewodniczącego SIAC.</w:t>
      </w:r>
    </w:p>
    <w:p w14:paraId="6B0B5594" w14:textId="3A53D3E4" w:rsidR="00374E8C" w:rsidRPr="004D7362" w:rsidRDefault="00374E8C" w:rsidP="00374E8C">
      <w:pPr>
        <w:ind w:left="1080"/>
      </w:pPr>
      <w:r>
        <w:t>Spory bezpośrednio lub pośrednio wynikające ze Specyfikacji Usług, w tym wszelkie wątpliwości dotyczące jej istnienia, ważności lub wypowiedzenia, będą przekazywane do sądu polubownego przy Komisji ONZ ds. Międzynarodowego Prawa Handlowego (ang. United Nations Commission on International Trade Law, UNCITRAL) i rozstrzygane zgodnie Regulaminem Arbitrażu UNCITRAL obowiązującym w dacie wniesienia sporu.</w:t>
      </w:r>
      <w:r w:rsidR="002463A8">
        <w:t xml:space="preserve"> </w:t>
      </w:r>
      <w:r>
        <w:t>Postępowanie przed sądem polubownym toczyć się będzie w Singapurze</w:t>
      </w:r>
      <w:r w:rsidR="002463A8">
        <w:t xml:space="preserve"> </w:t>
      </w:r>
      <w:r>
        <w:rPr>
          <w:bCs/>
        </w:rPr>
        <w:t>Postępowanie arbitrażow</w:t>
      </w:r>
      <w:r>
        <w:t>e będzie prowadzone w języku angielskim.</w:t>
      </w:r>
    </w:p>
    <w:p w14:paraId="2CDF059A" w14:textId="77777777" w:rsidR="00374E8C" w:rsidRPr="004D7362" w:rsidRDefault="00374E8C" w:rsidP="00374E8C">
      <w:pPr>
        <w:keepNext/>
        <w:shd w:val="clear" w:color="auto" w:fill="000000"/>
        <w:spacing w:before="360" w:after="120"/>
      </w:pPr>
      <w:r>
        <w:rPr>
          <w:b/>
          <w:bCs/>
          <w:color w:val="FFFFFF"/>
        </w:rPr>
        <w:t>Bangladesz, Indonezja i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37AF5646" w:rsidR="00374E8C" w:rsidRPr="00B471C1" w:rsidRDefault="00374E8C" w:rsidP="000C754A">
            <w:pPr>
              <w:keepNext/>
              <w:spacing w:after="120"/>
              <w:ind w:left="86" w:right="86"/>
              <w:rPr>
                <w:b/>
                <w:bCs/>
              </w:rPr>
            </w:pPr>
            <w:r>
              <w:rPr>
                <w:b/>
                <w:bCs/>
              </w:rPr>
              <w:t>Trzecie zdanie podpunktu zatytułowanego „Prawo właściwe” zastępuje się następującym postanowieniem:</w:t>
            </w:r>
          </w:p>
        </w:tc>
      </w:tr>
    </w:tbl>
    <w:p w14:paraId="30EBF0E2" w14:textId="7E118FF0" w:rsidR="00374E8C" w:rsidRPr="004D7362" w:rsidRDefault="000C754A" w:rsidP="00374E8C">
      <w:r>
        <w:t>Wszelkie spory wynikające z Usług Profesjonalnych lub z nimi związane podlegają prawu singapurskiemu.</w:t>
      </w:r>
    </w:p>
    <w:p w14:paraId="6684DD73" w14:textId="77777777" w:rsidR="00374E8C" w:rsidRPr="004D7362" w:rsidRDefault="00374E8C" w:rsidP="00374E8C">
      <w:pPr>
        <w:keepNext/>
        <w:shd w:val="clear" w:color="auto" w:fill="000000"/>
        <w:spacing w:before="360" w:after="120"/>
      </w:pPr>
      <w:r>
        <w:rPr>
          <w:b/>
          <w:bCs/>
          <w:color w:val="FFFFFF"/>
        </w:rPr>
        <w:t>Indie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0E88F86E" w:rsidR="00374E8C" w:rsidRPr="00B471C1" w:rsidRDefault="00374E8C" w:rsidP="008F1A68">
            <w:pPr>
              <w:keepNext/>
              <w:spacing w:after="120"/>
              <w:ind w:left="86" w:right="86"/>
              <w:rPr>
                <w:b/>
                <w:bCs/>
              </w:rPr>
            </w:pPr>
            <w:r>
              <w:rPr>
                <w:b/>
                <w:bCs/>
              </w:rPr>
              <w:t>Pierwsze zdanie podpunktu zatytułowanego „Prawo właściwe” zastępuje się następującym postanowieniem:</w:t>
            </w:r>
          </w:p>
        </w:tc>
      </w:tr>
    </w:tbl>
    <w:p w14:paraId="55E12EEB" w14:textId="5FA1D9B9" w:rsidR="00374E8C" w:rsidRPr="004D7362" w:rsidRDefault="00374E8C" w:rsidP="00374E8C">
      <w:r>
        <w:t>Postanowienia każdej Umowy Uzupełniającej zawartej z jakimkolwiek Podmiotem Stowarzyszonym Microsoft zlokalizowanym w Indiach będą podlegać prawu Indii i zgodnie z nim będą interpretowane.</w:t>
      </w:r>
    </w:p>
    <w:p w14:paraId="3AD1D9CB" w14:textId="77777777" w:rsidR="00374E8C" w:rsidRPr="004D7362" w:rsidRDefault="00374E8C" w:rsidP="00374E8C">
      <w:pPr>
        <w:keepNext/>
        <w:shd w:val="clear" w:color="auto" w:fill="000000"/>
        <w:spacing w:before="360" w:after="120"/>
      </w:pPr>
      <w:r>
        <w:rPr>
          <w:b/>
          <w:bCs/>
          <w:color w:val="FFFFFF"/>
        </w:rPr>
        <w:lastRenderedPageBreak/>
        <w:t>Japonia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21EBBD79" w:rsidR="00374E8C" w:rsidRPr="00B471C1" w:rsidRDefault="00374E8C" w:rsidP="00BE678E">
            <w:pPr>
              <w:spacing w:after="120"/>
              <w:ind w:left="86" w:right="86"/>
              <w:rPr>
                <w:b/>
                <w:bCs/>
              </w:rPr>
            </w:pPr>
            <w:r>
              <w:rPr>
                <w:b/>
                <w:bCs/>
              </w:rPr>
              <w:t>Adres URL podany w punkcie zatytułowanym „Definicje” w definicji Witryny Licencjonowania Zbiorowego zastępuje się następującym adresem:</w:t>
            </w:r>
          </w:p>
        </w:tc>
      </w:tr>
    </w:tbl>
    <w:p w14:paraId="1F5382D4" w14:textId="7C72D245" w:rsidR="00374E8C" w:rsidRPr="004D7362" w:rsidRDefault="009D3121"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77777777" w:rsidR="00D5280E" w:rsidRPr="00B471C1" w:rsidRDefault="00D5280E" w:rsidP="00360ABF">
            <w:pPr>
              <w:spacing w:after="120"/>
              <w:ind w:left="86" w:right="86"/>
              <w:rPr>
                <w:b/>
                <w:bCs/>
              </w:rPr>
            </w:pPr>
            <w:r>
              <w:rPr>
                <w:b/>
                <w:bCs/>
              </w:rPr>
              <w:t>Podpunkt zatytułowany „Prawo właściwe” zastępuje się następującym postanowieniem:</w:t>
            </w:r>
          </w:p>
        </w:tc>
      </w:tr>
    </w:tbl>
    <w:p w14:paraId="1AC9C3B2" w14:textId="31FE1CE7" w:rsidR="00D5280E" w:rsidRPr="004D7362" w:rsidRDefault="00D5280E" w:rsidP="00D5280E">
      <w:pPr>
        <w:spacing w:after="240"/>
      </w:pPr>
      <w:r>
        <w:t>Prawem właściwym dla wykładni postanowień każdej Umowy Uzupełniającej lub Specyfikacji Usług jest prawo japońskie. Do niniejszej umowy nie ma zastosowania Konwencja Narodów Zjednoczonych z 1980 r. o umowach międzynarodowej sprzedaży towarów ani związane z nią instrumenty.</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4C3D6386" w:rsidR="00374E8C" w:rsidRPr="00B471C1" w:rsidRDefault="00374E8C" w:rsidP="00374E8C">
            <w:pPr>
              <w:spacing w:after="120"/>
              <w:ind w:left="86" w:right="86"/>
              <w:rPr>
                <w:b/>
                <w:bCs/>
              </w:rPr>
            </w:pPr>
            <w:r>
              <w:rPr>
                <w:b/>
                <w:bCs/>
              </w:rPr>
              <w:t>Podpunkt zatytułowany „Rozstrzyganie sporów” zastępuje się następującym postanowieniem:</w:t>
            </w:r>
          </w:p>
        </w:tc>
      </w:tr>
    </w:tbl>
    <w:p w14:paraId="2F94BFF2" w14:textId="0DC73AB3" w:rsidR="00374E8C" w:rsidRPr="004D7362" w:rsidRDefault="00374E8C" w:rsidP="00374E8C">
      <w:pPr>
        <w:spacing w:after="240"/>
      </w:pPr>
      <w:r>
        <w:rPr>
          <w:color w:val="auto"/>
        </w:rPr>
        <w:t>Spory bezpośrednio lub pośrednio wynikające z niniejszej umowy (w tym z jakiejkolwiek Umowy Uzupełniającej lub Specyfikacji Usług, której integralną część stanowią postanowienia niniejszej umowy), w tym wszelkie wątpliwości dotyczące jej istnienia, ważności lub wypowiedzenia, będą rozstrzygane przez sąd okręgowy (ang. District Court) w Tokio.</w:t>
      </w:r>
      <w:r w:rsidR="002463A8">
        <w:rPr>
          <w:color w:val="auto"/>
        </w:rPr>
        <w:t xml:space="preserve"> </w:t>
      </w:r>
      <w:r>
        <w:t>Powyższy wybór jurysdykcji nie uniemożliwia stronom ubiegania się przed sądem w jakiejkolwiek właściwej jurysdykcji o zabezpieczenie roszczeń w drodze nakazu lub zakazu sądowego z tytułu naruszenia praw własności intelektualnej lub zobowiązania do zachowania poufności.</w:t>
      </w:r>
    </w:p>
    <w:p w14:paraId="26DAF03A" w14:textId="2D3B96D9" w:rsidR="00374E8C" w:rsidRPr="004D7362" w:rsidRDefault="00374E8C" w:rsidP="00D5280E">
      <w:pPr>
        <w:keepNext/>
        <w:shd w:val="clear" w:color="auto" w:fill="000000"/>
        <w:spacing w:before="360" w:after="120"/>
      </w:pPr>
      <w:r>
        <w:rPr>
          <w:b/>
          <w:bCs/>
          <w:color w:val="FFFFFF"/>
        </w:rPr>
        <w:t>Nowa Zelandia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7090E591" w:rsidR="00374E8C" w:rsidRPr="00B471C1" w:rsidRDefault="00374E8C" w:rsidP="00374E8C">
            <w:pPr>
              <w:keepNext/>
              <w:spacing w:after="120"/>
              <w:ind w:left="86" w:right="86"/>
              <w:rPr>
                <w:b/>
                <w:bCs/>
              </w:rPr>
            </w:pPr>
            <w:r>
              <w:rPr>
                <w:b/>
                <w:bCs/>
              </w:rPr>
              <w:t>Punkt zatytułowany „Postanowienia różne” uzupełnia się o następujące postanowienie:</w:t>
            </w:r>
          </w:p>
        </w:tc>
      </w:tr>
    </w:tbl>
    <w:p w14:paraId="075B5088" w14:textId="2B038510" w:rsidR="00374E8C" w:rsidRPr="004D7362" w:rsidRDefault="0089029D" w:rsidP="00374E8C">
      <w:pPr>
        <w:ind w:left="1080" w:hanging="360"/>
      </w:pPr>
      <w:r>
        <w:rPr>
          <w:b/>
          <w:bCs/>
        </w:rPr>
        <w:t>o.</w:t>
      </w:r>
      <w:r>
        <w:rPr>
          <w:b/>
          <w:bCs/>
        </w:rPr>
        <w:tab/>
        <w:t>Odpowiedzialność ustawowa.</w:t>
      </w:r>
    </w:p>
    <w:p w14:paraId="552D294D" w14:textId="026DAC3F" w:rsidR="00374E8C" w:rsidRPr="004D7362" w:rsidRDefault="00374E8C" w:rsidP="00374E8C">
      <w:pPr>
        <w:pStyle w:val="ListParagraph"/>
        <w:numPr>
          <w:ilvl w:val="0"/>
          <w:numId w:val="27"/>
        </w:numPr>
        <w:ind w:left="1440"/>
        <w:contextualSpacing w:val="0"/>
      </w:pPr>
      <w:r>
        <w:rPr>
          <w:b/>
          <w:bCs/>
        </w:rPr>
        <w:t>Działalność handlowa.</w:t>
      </w:r>
      <w:r w:rsidR="002463A8">
        <w:rPr>
          <w:b/>
          <w:bCs/>
        </w:rPr>
        <w:t xml:space="preserve"> </w:t>
      </w:r>
      <w:r>
        <w:rPr>
          <w:bCs/>
        </w:rPr>
        <w:t>W zakresie, w jakim Microsoft jest dostawcą (zgodnie z rozumieniem tego terminu w ustawie z 1993 r. o gwarancji praw konsumenta (ang. Consumer Guarantees Act, CGA)) Produktów lub Usług Profesjonalnych, Klient potwierdza, że Produkty lub Usługi Profesjonalne dostarczane przez Microsoft na podstawie Umowy Uzupełniającej lub Specyfikacji Usług są przez niego nabywane dla celów handlowych (zgodnie z rozumieniem tego terminu w ustawie CGA) oraz wyraża zgodę na to, że postanowienia ustawy CGA nie mają zastosowania do Produktów lub Usług Profesjonalnych dostarczanych przez Microsoft.</w:t>
      </w:r>
    </w:p>
    <w:p w14:paraId="40965C25" w14:textId="71BDC8A0" w:rsidR="00374E8C" w:rsidRPr="004D7362" w:rsidRDefault="00374E8C" w:rsidP="00374E8C">
      <w:pPr>
        <w:pStyle w:val="ListParagraph"/>
        <w:numPr>
          <w:ilvl w:val="0"/>
          <w:numId w:val="27"/>
        </w:numPr>
        <w:ind w:left="1440"/>
        <w:contextualSpacing w:val="0"/>
      </w:pPr>
      <w:r>
        <w:rPr>
          <w:b/>
          <w:bCs/>
        </w:rPr>
        <w:t>Konsumenci.</w:t>
      </w:r>
      <w:r w:rsidR="002463A8">
        <w:rPr>
          <w:b/>
          <w:bCs/>
        </w:rPr>
        <w:t xml:space="preserve"> </w:t>
      </w:r>
      <w:r>
        <w:rPr>
          <w:bCs/>
        </w:rPr>
        <w:t>Żadne postanowienie niniejszej umowy (ani jakiejkolwiek Umowy Uzupełniającej lub Specyfikacji Usług, której integralną część stanowią postanowienia niniejszej umowy) nie ma na celu ograniczenia praw, jakie przysługują „konsumentowi” na mocy ustawy CGA (chyba że w przypadku i w takim zakresie, w jakim ustawa CGA na to zezwala), a postanowienia niniejszej umowy mogą być modyfikowane w zakresie niezbędnym dla skuteczności niniejszego zapisu.</w:t>
      </w:r>
    </w:p>
    <w:p w14:paraId="3D5A0F35" w14:textId="49345239" w:rsidR="00374E8C" w:rsidRPr="004D7362" w:rsidRDefault="00374E8C" w:rsidP="00404D8A">
      <w:pPr>
        <w:pStyle w:val="Heading1"/>
        <w:numPr>
          <w:ilvl w:val="0"/>
          <w:numId w:val="30"/>
        </w:numPr>
        <w:spacing w:after="0"/>
        <w:ind w:hanging="720"/>
      </w:pPr>
      <w:bookmarkStart w:id="1" w:name="_Toc261346424"/>
      <w:r>
        <w:rPr>
          <w:rFonts w:cs="Arial"/>
        </w:rPr>
        <w:t>Postanowienia dotyczące poszczególnych krajów zależne od prawa właściwego.</w:t>
      </w:r>
      <w:bookmarkEnd w:id="1"/>
    </w:p>
    <w:p w14:paraId="3E12C8B3" w14:textId="66E2E9C8" w:rsidR="00374E8C" w:rsidRPr="004D7362" w:rsidRDefault="00374E8C" w:rsidP="00CA4254">
      <w:r>
        <w:t>Jeśli przepisy obowiązujące w którejkolwiek z wymienionych poniżej jurysdykcji obowiązują zgodnie z postanowieniami umowy lub orzeczeniem sądu, następujące postanowienia zastępują lub uzupełniają odpowiednie postanowienia zgodnie z podanym opisem:</w:t>
      </w:r>
    </w:p>
    <w:p w14:paraId="61910AFA" w14:textId="77777777" w:rsidR="00374E8C" w:rsidRPr="004D7362" w:rsidRDefault="00374E8C" w:rsidP="00CA4254">
      <w:pPr>
        <w:keepNext/>
        <w:shd w:val="clear" w:color="auto" w:fill="000000"/>
        <w:spacing w:after="120"/>
      </w:pPr>
      <w:r>
        <w:rPr>
          <w:b/>
          <w:bCs/>
          <w:color w:val="FFFFFF"/>
        </w:rPr>
        <w:t>Austria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7F805B84" w:rsidR="00374E8C" w:rsidRPr="00B471C1" w:rsidRDefault="00374E8C" w:rsidP="00BC2241">
            <w:pPr>
              <w:keepNext/>
              <w:spacing w:after="120"/>
              <w:ind w:left="86" w:right="86"/>
              <w:rPr>
                <w:b/>
                <w:bCs/>
              </w:rPr>
            </w:pPr>
            <w:r>
              <w:rPr>
                <w:b/>
                <w:bCs/>
              </w:rPr>
              <w:t>Punkt zatytułowany „Rękojmie i gwarancje” uzupełnia się o następujące postanowienie:</w:t>
            </w:r>
          </w:p>
        </w:tc>
      </w:tr>
    </w:tbl>
    <w:p w14:paraId="67ECE681" w14:textId="1717A4A6" w:rsidR="00374E8C" w:rsidRPr="004D7362" w:rsidRDefault="00374E8C" w:rsidP="00CA4254">
      <w:pPr>
        <w:pStyle w:val="ListParagraph"/>
        <w:widowControl w:val="0"/>
        <w:numPr>
          <w:ilvl w:val="0"/>
          <w:numId w:val="53"/>
        </w:numPr>
        <w:ind w:left="1080"/>
      </w:pPr>
      <w:r>
        <w:rPr>
          <w:b/>
          <w:bCs/>
        </w:rPr>
        <w:t>Uzgodniona charakterystyka; roszczenia z tytułu wad fizycznych i prawnych.</w:t>
      </w:r>
      <w:r w:rsidR="002463A8">
        <w:t xml:space="preserve"> </w:t>
      </w:r>
      <w:r>
        <w:lastRenderedPageBreak/>
        <w:t>W zakresie, w którym Microsoft miałby być zobowiązany do dostarczenia jeszcze nieoddanej do produkcji rzeczy ruchomej (herzustellende, bewegliche Sache) lub w zakresie, w którym Usługi Profesjonalne Microsoft są wyjątkowo uznawane za wykonane dzieła (Werkleistungen), postanowienia zawarte w podpunktach od „d” do „i” niniejszego punktu mają zastosowanie do roszczeń z tytułu Wad fizycznych lub prawnych (łącznie „Wady”), nie mają jednak zastosowania do roszczeń o odszkodowanie lub zwrot wydatków. Do roszczeń o odszkodowanie lub zwrot wydatków wynikłych z Wad mają zastosowanie postanowienia zawarte w punkcie zatytułowanym „Ograniczenie odpowiedzialności”.</w:t>
      </w:r>
    </w:p>
    <w:p w14:paraId="0653D38F" w14:textId="7D721363" w:rsidR="00374E8C" w:rsidRPr="004D7362" w:rsidRDefault="00374E8C" w:rsidP="002052C3">
      <w:pPr>
        <w:pStyle w:val="ListParagraph"/>
        <w:numPr>
          <w:ilvl w:val="0"/>
          <w:numId w:val="53"/>
        </w:numPr>
        <w:ind w:left="1080"/>
        <w:contextualSpacing w:val="0"/>
      </w:pPr>
      <w:r>
        <w:rPr>
          <w:b/>
          <w:bCs/>
        </w:rPr>
        <w:t>Rękojmia w przypadku rozmyślnego zatajenia Wady.</w:t>
      </w:r>
      <w:r w:rsidR="002463A8">
        <w:t xml:space="preserve"> </w:t>
      </w:r>
      <w:r>
        <w:t>W przypadku podstępnego zatajenia Wady (arglistiges Verschweigen) prawa Klienta i okres ich obowiązywania zostaną określone wyłącznie na podstawie bezwzględnie obowiązujących przepisów.</w:t>
      </w:r>
    </w:p>
    <w:p w14:paraId="58E7CF9E" w14:textId="75F70115" w:rsidR="00374E8C" w:rsidRPr="004D7362" w:rsidRDefault="00374E8C" w:rsidP="002052C3">
      <w:pPr>
        <w:pStyle w:val="ListParagraph"/>
        <w:numPr>
          <w:ilvl w:val="0"/>
          <w:numId w:val="53"/>
        </w:numPr>
        <w:ind w:left="1080"/>
        <w:contextualSpacing w:val="0"/>
      </w:pPr>
      <w:r>
        <w:rPr>
          <w:b/>
          <w:bCs/>
        </w:rPr>
        <w:t>Określona charakterystyka oprogramowania.</w:t>
      </w:r>
      <w:r w:rsidR="002463A8">
        <w:t xml:space="preserve"> </w:t>
      </w:r>
      <w:r>
        <w:t>Microsoft wyraźnie oświadcza Klientowi, że obecnie dostępne technologie nie pozwalają na opracowanie zaawansowanego oprogramowania, które byłoby całkowicie wolne od wad technicznych. Zgodnie z określoną w umowie charakterystyką (vertragliche Beschaffenheit) oprogramowanie udostępniane przez Microsoft nie musi być całkowicie wolne od błędów programistycznych. Nie może jedynie zawierać błędów, które istotnie zakłócałyby możliwość korzystania z niego.</w:t>
      </w:r>
    </w:p>
    <w:p w14:paraId="5014C2DB" w14:textId="778AD97B" w:rsidR="00374E8C" w:rsidRPr="004D7362" w:rsidRDefault="00374E8C" w:rsidP="002052C3">
      <w:pPr>
        <w:pStyle w:val="ListParagraph"/>
        <w:numPr>
          <w:ilvl w:val="0"/>
          <w:numId w:val="53"/>
        </w:numPr>
        <w:ind w:left="1080"/>
        <w:contextualSpacing w:val="0"/>
      </w:pPr>
      <w:r>
        <w:rPr>
          <w:b/>
          <w:bCs/>
        </w:rPr>
        <w:t>Obowiązek pisemnego powiadomienia o Wadzie.</w:t>
      </w:r>
      <w:r w:rsidR="002463A8">
        <w:t xml:space="preserve"> </w:t>
      </w:r>
      <w:r>
        <w:t>W zakresie, w którym Microsoft jest zobowiązany do dostarczenia nieoddanej jeszcze do produkcji rzeczy ruchomej, zgodnie z art. 377 austriackiego Kodeksu handlowego (UGB) Klient może wnieść roszczenie przeciwko Microsoft, pod warunkiem że we właściwy sposób wywiązał się ze zobowiązania do powiadomienia Microsoft o Wadach.</w:t>
      </w:r>
      <w:r w:rsidR="002463A8">
        <w:t xml:space="preserve"> </w:t>
      </w:r>
      <w:r>
        <w:t>Zgodnie z art. 377 austriackiego kodeksu handlowego (UGB) Klient musi niezwłocznie przekazać Microsoft pisemne powiadomienie o każdej wykrytej przez siebie oczywistej Wadzie, nie później jednak niż w ciągu dwóch tygodni od odebrania dostawy. Klient musi dostarczyć Microsoft pisemne powiadomienie o wszelkich Wadach ukrytych niezwłocznie po ich wykryciu.</w:t>
      </w:r>
    </w:p>
    <w:p w14:paraId="478418F6" w14:textId="6489143F" w:rsidR="00374E8C" w:rsidRPr="004D7362" w:rsidRDefault="00374E8C" w:rsidP="002052C3">
      <w:pPr>
        <w:pStyle w:val="ListParagraph"/>
        <w:numPr>
          <w:ilvl w:val="0"/>
          <w:numId w:val="53"/>
        </w:numPr>
        <w:ind w:left="1080"/>
        <w:contextualSpacing w:val="0"/>
      </w:pPr>
      <w:r>
        <w:rPr>
          <w:b/>
          <w:bCs/>
        </w:rPr>
        <w:t>Zwrot wydatków z tytułu Wad nieobjętych ograniczoną gwarancją.</w:t>
      </w:r>
      <w:r w:rsidR="002463A8">
        <w:t xml:space="preserve"> </w:t>
      </w:r>
      <w:r>
        <w:t>W przypadku gdy Microsoft udowodni, że jego odpowiedzialność wynikająca z postanowień zawartych w tym punkcie Umowy nie obejmuje zgłoszonej przez Klienta Wady, Microsoft będzie miał prawo do żądania od Klienta zwrotu kosztów poniesionych w związku z podjętą próbą usunięcia takiej Wady w wysokości ustalonej na podstawie standardowych stawek Microsoft.</w:t>
      </w:r>
    </w:p>
    <w:p w14:paraId="31BE6132" w14:textId="55C9ABE1" w:rsidR="00374E8C" w:rsidRPr="004D7362" w:rsidRDefault="00374E8C" w:rsidP="002052C3">
      <w:pPr>
        <w:pStyle w:val="ListParagraph"/>
        <w:numPr>
          <w:ilvl w:val="0"/>
          <w:numId w:val="53"/>
        </w:numPr>
        <w:spacing w:after="240"/>
        <w:ind w:left="1080"/>
        <w:contextualSpacing w:val="0"/>
      </w:pPr>
      <w:r>
        <w:rPr>
          <w:b/>
          <w:bCs/>
        </w:rPr>
        <w:t>Brak gwarancji z tytułu Wad spowodowanych wprowadzeniem zmian.</w:t>
      </w:r>
      <w:r w:rsidR="002463A8">
        <w:t xml:space="preserve"> </w:t>
      </w:r>
      <w:r>
        <w:t>Klient nie może na mocy niniejszego punktu Umowy wnieść roszczenia przeciwko Microsoft, jeśli Klient lub osoba trzecia dokonali zmian dostarczonej, lecz jeszcze niewyprodukowanej rzeczy ruchomej lub wykonanego utworu bez zgody Microsoft, chyba że Klient może udowodnić, że przedmiotowa Wada nie została spowodowana tymi zmianami.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000EA1A9" w:rsidR="00374E8C" w:rsidRPr="00B471C1" w:rsidRDefault="00374E8C" w:rsidP="00BC2241">
            <w:pPr>
              <w:spacing w:after="120"/>
              <w:ind w:left="86" w:right="86"/>
              <w:rPr>
                <w:b/>
                <w:bCs/>
              </w:rPr>
            </w:pPr>
            <w:r>
              <w:rPr>
                <w:b/>
                <w:bCs/>
              </w:rPr>
              <w:t>W odniesieniu do Usług Profesjonalnych punkt zatytułowany „Ograniczenie odpowiedzialności” zastępuje się następującym zapisem:</w:t>
            </w:r>
          </w:p>
        </w:tc>
      </w:tr>
    </w:tbl>
    <w:p w14:paraId="51B739DE" w14:textId="140B66F1" w:rsidR="00374E8C" w:rsidRPr="004D7362" w:rsidRDefault="00404D8A" w:rsidP="00CA4254">
      <w:pPr>
        <w:keepNext/>
        <w:ind w:left="720" w:hanging="720"/>
      </w:pPr>
      <w:r>
        <w:rPr>
          <w:b/>
          <w:bCs/>
          <w:i/>
          <w:iCs/>
          <w:sz w:val="26"/>
          <w:szCs w:val="26"/>
        </w:rPr>
        <w:t>7.</w:t>
      </w:r>
      <w:r>
        <w:rPr>
          <w:b/>
          <w:bCs/>
          <w:i/>
          <w:iCs/>
          <w:sz w:val="26"/>
          <w:szCs w:val="26"/>
        </w:rPr>
        <w:tab/>
        <w:t>Ograniczenie odpowiedzialności</w:t>
      </w:r>
      <w:r w:rsidR="004A24C7">
        <w:rPr>
          <w:b/>
          <w:bCs/>
          <w:i/>
          <w:iCs/>
          <w:sz w:val="26"/>
          <w:szCs w:val="26"/>
        </w:rPr>
        <w:t>.</w:t>
      </w:r>
    </w:p>
    <w:p w14:paraId="7D33D9C7" w14:textId="77777777" w:rsidR="00374E8C" w:rsidRPr="004D7362" w:rsidRDefault="00374E8C" w:rsidP="00374E8C">
      <w:r>
        <w:t>Odpowiedzialność Microsoft za wszelkie szkody powstałe w związku ze świadczeniem Usług Profesjonalnych bez względu na to, czy wynikają one z Wad, czynów niedozwolonych lub naruszenia umowy, będzie ograniczona w następujący sposób:</w:t>
      </w:r>
    </w:p>
    <w:p w14:paraId="4936A938" w14:textId="3C94F576" w:rsidR="00374E8C" w:rsidRPr="004D7362" w:rsidRDefault="00374E8C" w:rsidP="00374E8C">
      <w:pPr>
        <w:ind w:left="1080" w:hanging="360"/>
      </w:pPr>
      <w:r>
        <w:rPr>
          <w:b/>
          <w:bCs/>
        </w:rPr>
        <w:t>a.</w:t>
      </w:r>
      <w:r>
        <w:rPr>
          <w:b/>
          <w:bCs/>
        </w:rPr>
        <w:tab/>
        <w:t>Odpowiedzialność za produkt, „poważny”</w:t>
      </w:r>
      <w:r w:rsidR="002463A8">
        <w:rPr>
          <w:b/>
          <w:bCs/>
        </w:rPr>
        <w:t xml:space="preserve"> </w:t>
      </w:r>
      <w:r>
        <w:rPr>
          <w:b/>
          <w:bCs/>
        </w:rPr>
        <w:t>przypadek rażącego niedbalstwa, odpowiedzialność z tytułu winy umyślnej, podstępnego zatajenia wad oraz roszczeń dochodzonych w związku ze śmiercią, uszkodzeniem ciała lub utratą zdrowia.</w:t>
      </w:r>
      <w:r w:rsidR="002463A8">
        <w:t xml:space="preserve"> </w:t>
      </w:r>
      <w:r>
        <w:t xml:space="preserve">W przypadku czynów umyślnych lub </w:t>
      </w:r>
      <w:r>
        <w:rPr>
          <w:bCs/>
        </w:rPr>
        <w:t>„poważnego” przypadku rażącego niedbalstwa</w:t>
      </w:r>
      <w:r>
        <w:t>, roszczeń wnoszonych w oparciu o ustawę o odpowiedzialności za produkt (ang. Product Liability Act), podstępnego zatajania Wad, jak również roszczeń dochodzonych w związku ze śmiercią, uszkodzeniem ciała lub utratą zdrowia, odpowiedzialność Microsoft będzie określana wyłącznie zgodnie z bezwzględnie obowiązującymi przepisami.</w:t>
      </w:r>
    </w:p>
    <w:p w14:paraId="5106A1FC" w14:textId="064908BD" w:rsidR="00374E8C" w:rsidRPr="004D7362" w:rsidRDefault="00374E8C" w:rsidP="00374E8C">
      <w:pPr>
        <w:ind w:left="1080" w:hanging="360"/>
      </w:pPr>
      <w:r>
        <w:rPr>
          <w:b/>
          <w:bCs/>
        </w:rPr>
        <w:lastRenderedPageBreak/>
        <w:t>b.</w:t>
      </w:r>
      <w:r>
        <w:rPr>
          <w:b/>
          <w:bCs/>
        </w:rPr>
        <w:tab/>
        <w:t>Ograniczenie dotyczące „zwykłego” przypadku rażącego niedbalstwa.</w:t>
      </w:r>
      <w:r w:rsidR="002463A8">
        <w:t xml:space="preserve"> </w:t>
      </w:r>
      <w:r>
        <w:t>W przypadku „zwykłego” przypadku rażącego niedbalstwa, odpowiedzialność Microsoft będzie ograniczona do obowiązku odszkodowania za typowe szkody, które można przewidzieć, ale tylko do wysokości kwoty uiszczonej przez Klienta za Usługi Profesjonalne, które nie zostały właściwie wykonane, lub jeśli dotyczy to wielu Usług Profesjonalnych, do łącznej wysokości uiszczonych kwot.</w:t>
      </w:r>
      <w:r w:rsidR="002463A8">
        <w:t xml:space="preserve"> </w:t>
      </w:r>
      <w:r>
        <w:t>W przypadku Usług Profesjonalnych świadczonych na rzecz Klienta bezpłatnie łączna odpowiedzialność Microsoft wobec Klienta jest ograniczona do kwoty 5 tys. USD lub jej równowartości w walucie krajowej.</w:t>
      </w:r>
    </w:p>
    <w:p w14:paraId="068115D2" w14:textId="77777777" w:rsidR="00374E8C" w:rsidRPr="004D7362" w:rsidRDefault="00374E8C" w:rsidP="00374E8C">
      <w:pPr>
        <w:ind w:left="1080"/>
      </w:pPr>
      <w:r>
        <w:t>W razie „zwykłego” rażącego niedbalstwa Microsoft w żadnym razie nie ponosi odpowiedzialności za straty uboczne ani szkody wtórne (w tym w szczególności za utratę przewidywanych zysków, renomy bądź danych lub straty spowodowane przerwami w działalności gospodarczej lub podobne straty) bezpośrednio lub pośrednio związane ze Specyfikacją Usług, Materiałami Przedstawionymi do Odbioru, Poprawkami, Produktami lub innymi materiałami lub informacjami.</w:t>
      </w:r>
    </w:p>
    <w:p w14:paraId="212EC187" w14:textId="608A187E" w:rsidR="00374E8C" w:rsidRPr="004D7362" w:rsidRDefault="00374E8C" w:rsidP="00374E8C">
      <w:pPr>
        <w:ind w:left="1080" w:hanging="360"/>
      </w:pPr>
      <w:r>
        <w:rPr>
          <w:b/>
          <w:bCs/>
        </w:rPr>
        <w:t>c.</w:t>
      </w:r>
      <w:r>
        <w:rPr>
          <w:b/>
          <w:bCs/>
        </w:rPr>
        <w:tab/>
        <w:t>Dowód winy umyślnej lub rażącego niedbalstwa.</w:t>
      </w:r>
      <w:r w:rsidR="002463A8">
        <w:t xml:space="preserve"> </w:t>
      </w:r>
      <w:r>
        <w:t>Obowiązek przedstawienia dowodu na winę umyślną lub na dopuszczenie się rażącego niedbalstwa spoczywać będzie na Kliencie.</w:t>
      </w:r>
    </w:p>
    <w:p w14:paraId="19C32047" w14:textId="53BA5DE5" w:rsidR="00374E8C" w:rsidRPr="004D7362" w:rsidRDefault="00374E8C" w:rsidP="00374E8C">
      <w:pPr>
        <w:ind w:left="1080" w:hanging="360"/>
      </w:pPr>
      <w:r>
        <w:rPr>
          <w:b/>
          <w:bCs/>
        </w:rPr>
        <w:t>d.</w:t>
      </w:r>
      <w:r>
        <w:rPr>
          <w:b/>
          <w:bCs/>
        </w:rPr>
        <w:tab/>
        <w:t>Ograniczenie dotyczące drobnego niedbalstwa.</w:t>
      </w:r>
      <w:r w:rsidR="002463A8">
        <w:t xml:space="preserve"> </w:t>
      </w:r>
      <w:r>
        <w:t>Microsoft wyłącza swoją odpowiedzialność za szkody powstałe wskutek drobnego niedbalstwa.</w:t>
      </w:r>
    </w:p>
    <w:p w14:paraId="6DB9FB2A" w14:textId="35578882" w:rsidR="00374E8C" w:rsidRPr="004D7362" w:rsidRDefault="00374E8C" w:rsidP="00374E8C">
      <w:pPr>
        <w:ind w:left="1080" w:hanging="360"/>
      </w:pPr>
      <w:r>
        <w:rPr>
          <w:b/>
          <w:bCs/>
        </w:rPr>
        <w:t>e.</w:t>
      </w:r>
      <w:r>
        <w:rPr>
          <w:b/>
          <w:bCs/>
        </w:rPr>
        <w:tab/>
        <w:t>Odpowiedzialność za utratę danych i koszty ich odzyskania.</w:t>
      </w:r>
      <w:r w:rsidR="002463A8">
        <w:t xml:space="preserve"> </w:t>
      </w:r>
      <w:r>
        <w:t>Przed skorzystaniem z usług Microsoft Klient zobowiązany jest zabezpieczyć wszelkie swoje dane i programy. Microsoft w żadnych okolicznościach nie ponosi odpowiedzialności za utratę przez Klienta danych lub programów ani za koszty odzyskania takich danych lub programów wynikające z niedopełnienia przez Klienta powyższego zobowiązania. Ponadto Microsoft zakłada, że Klient nie dokonał zmian ani modyfikacji w standardowym oprogramowaniu, jeśli przed skorzystaniem z usług świadczonych przez Microsoft nie przekazał Microsoft na piśmie szczegółowych informacji dotyczących takich zmian lub modyfikacji.</w:t>
      </w:r>
    </w:p>
    <w:p w14:paraId="12E55D04" w14:textId="7FE49134" w:rsidR="00374E8C" w:rsidRPr="004D7362" w:rsidRDefault="00374E8C" w:rsidP="00374E8C">
      <w:pPr>
        <w:ind w:left="1080" w:hanging="360"/>
      </w:pPr>
      <w:r>
        <w:rPr>
          <w:b/>
          <w:bCs/>
        </w:rPr>
        <w:t>f.</w:t>
      </w:r>
      <w:r>
        <w:rPr>
          <w:b/>
          <w:bCs/>
        </w:rPr>
        <w:tab/>
        <w:t>Przedawnienie roszczeń z tytułu odpowiedzialności.</w:t>
      </w:r>
      <w:r w:rsidR="002463A8">
        <w:t xml:space="preserve"> </w:t>
      </w:r>
      <w:r>
        <w:t>Wszelkie roszczenia o odszkodowanie za Wady wygasają po upływie jednego roku.</w:t>
      </w:r>
      <w:r w:rsidR="002463A8">
        <w:t xml:space="preserve"> </w:t>
      </w:r>
      <w:r>
        <w:t>W przypadku wykonanego dzieła bieg przedawnienia rozpoczyna się w dniu przyjęcia dzieła (Abnahme).</w:t>
      </w:r>
    </w:p>
    <w:p w14:paraId="042E2585" w14:textId="77777777" w:rsidR="00374E8C" w:rsidRPr="004D7362" w:rsidRDefault="00374E8C" w:rsidP="00374E8C">
      <w:pPr>
        <w:ind w:left="1080"/>
      </w:pPr>
      <w:r>
        <w:t>Wszelkie inne roszczenia przeciwko Microsoft o odszkodowanie wygasają po dwóch latach od dnia powstania przyczyny wnoszonego roszczenia.</w:t>
      </w:r>
    </w:p>
    <w:p w14:paraId="7962023B" w14:textId="77777777" w:rsidR="00374E8C" w:rsidRPr="004D7362" w:rsidRDefault="00374E8C" w:rsidP="00374E8C">
      <w:pPr>
        <w:ind w:left="1080"/>
      </w:pPr>
      <w:r>
        <w:t>Postanowienia zawarte w niniejszym podpunkcie zatytułowanym „Przedawnienie roszczeń z tytułu odpowiedzialności” nie mają zastosowania do przypadków podlegających postanowieniom podpunktu zatytułowanego „Odpowiedzialność za produkt, odpowiedzialność z tytułu winy umyślnej, umyślnego zatajenia wad oraz roszczeń dochodzonych w związku ze śmiercią, uszkodzeniem ciała lub utratą zdrowia”. W takich przypadkach mają zastosowanie obowiązujące przepisy prawa.</w:t>
      </w:r>
    </w:p>
    <w:p w14:paraId="7D5D4BDC" w14:textId="77777777" w:rsidR="0088333F" w:rsidRPr="004D7362" w:rsidRDefault="0088333F" w:rsidP="006738DF">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53D3481E" w:rsidR="0088333F" w:rsidRPr="00A13DC6" w:rsidRDefault="0088333F" w:rsidP="00A13DC6">
            <w:pPr>
              <w:keepNext/>
              <w:spacing w:after="120"/>
              <w:ind w:left="86" w:right="86"/>
              <w:rPr>
                <w:b/>
                <w:bCs/>
              </w:rPr>
            </w:pPr>
            <w:r>
              <w:rPr>
                <w:b/>
                <w:bCs/>
              </w:rPr>
              <w:t>Podpunkt zatytułowany „Wyłączenie odpowiedzialności” w punkcie „Rękojmie i gwarancje” zastępuje się następującym postanowieniem:</w:t>
            </w:r>
          </w:p>
        </w:tc>
      </w:tr>
    </w:tbl>
    <w:p w14:paraId="2AC68687" w14:textId="61F22F11" w:rsidR="0088333F" w:rsidRPr="004D7362" w:rsidRDefault="00404D8A" w:rsidP="00404D8A">
      <w:pPr>
        <w:pStyle w:val="ListParagraph"/>
        <w:ind w:left="1080" w:hanging="360"/>
      </w:pPr>
      <w:r>
        <w:rPr>
          <w:b/>
          <w:iCs/>
        </w:rPr>
        <w:t>c.</w:t>
      </w:r>
      <w:r>
        <w:rPr>
          <w:b/>
          <w:iCs/>
        </w:rPr>
        <w:tab/>
        <w:t>Wyłączenie odpowiedzialności.</w:t>
      </w:r>
      <w:r w:rsidR="002463A8">
        <w:rPr>
          <w:b/>
          <w:iCs/>
        </w:rPr>
        <w:t xml:space="preserve"> </w:t>
      </w:r>
      <w:r>
        <w:rPr>
          <w:b/>
          <w:iCs/>
        </w:rPr>
        <w:t>Poza ograniczoną gwarancją powyżej Microsoft nie udziela żadnych innych gwarancji i wyłącza wszystkie wyraźne, dorozumiane lub ustawowe gwarancje, rękojmie lub zapewnienia, w tym dotyczące jakości, prawa własności, nienaruszania praw osób trzecich, wartości handlowej oraz przydatności do</w:t>
      </w:r>
      <w:bookmarkStart w:id="2" w:name="_GoBack"/>
      <w:bookmarkEnd w:id="2"/>
      <w:r>
        <w:rPr>
          <w:b/>
          <w:iCs/>
        </w:rPr>
        <w:t xml:space="preserve"> określonego celu.</w:t>
      </w:r>
    </w:p>
    <w:p w14:paraId="5560C37F" w14:textId="72FF7B79" w:rsidR="00374E8C" w:rsidRPr="004D7362" w:rsidRDefault="00374E8C" w:rsidP="00374E8C">
      <w:pPr>
        <w:keepNext/>
        <w:shd w:val="clear" w:color="auto" w:fill="000000"/>
        <w:spacing w:before="360" w:after="120"/>
      </w:pPr>
      <w:r>
        <w:rPr>
          <w:b/>
          <w:bCs/>
          <w:color w:val="FFFFFF"/>
        </w:rPr>
        <w:lastRenderedPageBreak/>
        <w:t>Republika Czeska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6B8289A7" w:rsidR="00374E8C" w:rsidRPr="00B471C1" w:rsidRDefault="00374E8C" w:rsidP="009E0B19">
            <w:pPr>
              <w:keepNext/>
              <w:spacing w:after="120"/>
              <w:ind w:left="86" w:right="86"/>
              <w:rPr>
                <w:b/>
                <w:bCs/>
              </w:rPr>
            </w:pPr>
            <w:r>
              <w:rPr>
                <w:b/>
                <w:bCs/>
              </w:rPr>
              <w:t>Punkt zatytułowany „Rękojmie i gwarancje” uzupełnia się o następujące postanowienie:</w:t>
            </w:r>
          </w:p>
        </w:tc>
      </w:tr>
    </w:tbl>
    <w:p w14:paraId="562101A3" w14:textId="405C0EAA" w:rsidR="00374E8C" w:rsidRPr="004D7362" w:rsidRDefault="00404D8A" w:rsidP="00122A75">
      <w:pPr>
        <w:spacing w:after="240"/>
        <w:ind w:left="1080" w:hanging="360"/>
      </w:pPr>
      <w:r>
        <w:rPr>
          <w:b/>
        </w:rPr>
        <w:t>d.</w:t>
      </w:r>
      <w:r>
        <w:rPr>
          <w:b/>
        </w:rPr>
        <w:tab/>
        <w:t>Materiały Przedstawione do Odbioru.</w:t>
      </w:r>
      <w:r w:rsidR="002463A8">
        <w:rPr>
          <w:b/>
        </w:rPr>
        <w:t xml:space="preserve"> </w:t>
      </w:r>
      <w:r>
        <w:t>Materiały Przedstawione do Odbioru udostępniane przez Microsoft opracowywane są zgodnie z aktualną wiedzą naukową i technologiczną.</w:t>
      </w:r>
      <w:r w:rsidR="002463A8">
        <w:t xml:space="preserve"> </w:t>
      </w:r>
      <w:r>
        <w:t>Microsoft wyraźnie oświadcza Klientowi, że obecnie dostępne technologie nie pozwalają na opracowanie zaawansowanego oprogramowania, które byłoby całkowicie wolne od wad technicznych, które mogą w przyszłości się pojawić.</w:t>
      </w:r>
      <w:r w:rsidR="002463A8">
        <w:t xml:space="preserve"> </w:t>
      </w:r>
      <w:r>
        <w:t>Oprogramowanie udostępniane przez Microsoft nie musi być całkowicie wolne od błędów programistycznych, natomiast będzie funkcjonować zasadniczo zgodnie z opisem zawartym w dokumentacji dla użytkownika produktów Microsoft lub, jeśli nie istnieje taka dokumentacja, zgodnie z odpowiednią Specyfikacją Usług lub stosownymi standardami branżowymi.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09E7B4F2" w:rsidR="00374E8C" w:rsidRPr="00B471C1" w:rsidRDefault="00374E8C" w:rsidP="00A00EDE">
            <w:pPr>
              <w:spacing w:after="120"/>
              <w:ind w:left="86" w:right="86"/>
              <w:rPr>
                <w:b/>
                <w:bCs/>
              </w:rPr>
            </w:pPr>
            <w:r>
              <w:rPr>
                <w:b/>
                <w:bCs/>
              </w:rPr>
              <w:t>Pierwszy akapit punktu zatytułowanego „Ograniczenie odpowiedzialności” uzupełnia się o następujące postanowienie:</w:t>
            </w:r>
          </w:p>
        </w:tc>
      </w:tr>
    </w:tbl>
    <w:p w14:paraId="0922865E" w14:textId="77777777" w:rsidR="00924DE4" w:rsidRPr="004D7362" w:rsidRDefault="00924DE4" w:rsidP="002052C3">
      <w:pPr>
        <w:ind w:left="1080"/>
      </w:pPr>
      <w:r>
        <w:t>Ograniczenia przedstawione w tym akapicie dotyczą szkód, co do których strony wyraźnie zgadzają się, że można je przewidzieć przy zawieraniu niniejszej umowy, biorąc pod uwagę wszystkie okoliczności, które dzięki zachowaniu należytej staranności strony znają lub powinny znać, a które to szkody mogą wystąpić wskutek niewykonania lub nienależytego wykonania przez Microsoft zobowiązań wynikających z niniejszej umowy. Ograniczenie odpowiedzialności nie dotyczy przypadków umyślnego działania lub rażącego niedbalstwa jednej ze stron.</w:t>
      </w:r>
    </w:p>
    <w:p w14:paraId="0C8980C5" w14:textId="39817C94" w:rsidR="00924DE4" w:rsidRPr="004D7362" w:rsidRDefault="008E1EF9" w:rsidP="00924DE4">
      <w:pPr>
        <w:spacing w:after="240"/>
        <w:ind w:left="1080"/>
      </w:pPr>
      <w:r>
        <w:t>Odszkodowanie za szkody poniesione w ramach Umowy dla którejkolwiek ze stron zostanie wypłacone w formie pieniężnej. Nie ma zastosowania punkt 2951 (1) Kodeksu Cywilnego (Ustawa nr 89/2012 Coll.), z późniejszymi zmianami.</w:t>
      </w:r>
    </w:p>
    <w:p w14:paraId="4B0C429B" w14:textId="77777777" w:rsidR="008E1EF9" w:rsidRPr="004D7362" w:rsidRDefault="008E1EF9" w:rsidP="008E1EF9">
      <w:pPr>
        <w:keepNext/>
        <w:shd w:val="clear" w:color="auto" w:fill="000000"/>
        <w:spacing w:before="360" w:after="120"/>
      </w:pPr>
      <w:r>
        <w:rPr>
          <w:b/>
          <w:bCs/>
          <w:color w:val="FFFFFF"/>
        </w:rPr>
        <w:t xml:space="preserve">Anglia i Walia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77777777" w:rsidR="008E1EF9" w:rsidRPr="00B471C1" w:rsidRDefault="008E1EF9" w:rsidP="00A13DC6">
            <w:pPr>
              <w:spacing w:after="120"/>
              <w:ind w:left="86" w:right="86"/>
              <w:rPr>
                <w:b/>
                <w:bCs/>
              </w:rPr>
            </w:pPr>
            <w:r>
              <w:rPr>
                <w:b/>
                <w:bCs/>
              </w:rPr>
              <w:t>Podpunkt zatytułowany „Wyłączenia” w „Ograniczenie odpowiedzialności” zastępuje się następującym postanowieniem:</w:t>
            </w:r>
          </w:p>
        </w:tc>
      </w:tr>
    </w:tbl>
    <w:p w14:paraId="0AB82C34" w14:textId="1669C200" w:rsidR="008E1EF9" w:rsidRPr="004D7362" w:rsidRDefault="008E1EF9" w:rsidP="002052C3">
      <w:pPr>
        <w:pStyle w:val="ListParagraph"/>
        <w:numPr>
          <w:ilvl w:val="0"/>
          <w:numId w:val="50"/>
        </w:numPr>
        <w:spacing w:after="240"/>
        <w:ind w:left="1080"/>
        <w:contextualSpacing w:val="0"/>
      </w:pPr>
      <w:r>
        <w:rPr>
          <w:b/>
        </w:rPr>
        <w:t>Wyłączenia</w:t>
      </w:r>
      <w:r w:rsidRPr="00166421">
        <w:rPr>
          <w:b/>
          <w:bCs/>
        </w:rPr>
        <w:t>.</w:t>
      </w:r>
      <w:r w:rsidR="002463A8">
        <w:t xml:space="preserve"> </w:t>
      </w:r>
      <w:r>
        <w:t xml:space="preserve">W żadnym razie żadna ze stron nie ponosi odpowiedzialności za </w:t>
      </w:r>
      <w:r>
        <w:rPr>
          <w:iCs/>
        </w:rPr>
        <w:t>utracone przychody lub utracone przewidywane oszczędności (niezależnie od tego, czy bezpośrednie, czy pośrednie) ani za szkody pośrednie</w:t>
      </w:r>
      <w:r>
        <w:t>, uboczne, szczególne lub sankcyjne, ani szkody wtórne, w tym utratę możliwości używania, utratę informacji biznesowych lub za przerwy w prowadzeniu działalności, bez względu na sposób ich powstania lub przyjętą teorię odpowiedzialności.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77777777" w:rsidR="008E1EF9" w:rsidRPr="00B471C1" w:rsidRDefault="008E1EF9" w:rsidP="00A13DC6">
            <w:pPr>
              <w:spacing w:after="120"/>
              <w:ind w:left="86" w:right="86"/>
              <w:rPr>
                <w:b/>
                <w:bCs/>
              </w:rPr>
            </w:pPr>
            <w:r>
              <w:rPr>
                <w:b/>
                <w:bCs/>
              </w:rPr>
              <w:t>Punkt zatytułowany „Ograniczenie odpowiedzialności” uzupełnia się o następujący podpunkt:</w:t>
            </w:r>
          </w:p>
        </w:tc>
      </w:tr>
    </w:tbl>
    <w:p w14:paraId="6C12A147" w14:textId="4090C4F4" w:rsidR="008E1EF9" w:rsidRPr="004D7362" w:rsidRDefault="008E1EF9" w:rsidP="002052C3">
      <w:pPr>
        <w:pStyle w:val="ListParagraph"/>
        <w:numPr>
          <w:ilvl w:val="0"/>
          <w:numId w:val="49"/>
        </w:numPr>
        <w:spacing w:after="240"/>
        <w:jc w:val="left"/>
      </w:pPr>
      <w:r>
        <w:rPr>
          <w:b/>
        </w:rPr>
        <w:t>Odpowiedzialność za śmierć lub szkodę na osobie.</w:t>
      </w:r>
      <w:r w:rsidR="002463A8">
        <w:t xml:space="preserve"> </w:t>
      </w:r>
      <w:r>
        <w:t>Żadne z postanowień niniejszej umowy nie wyłącza odpowiedzialności za śmierć lub uszkodzenie ciała spowodowane niedbalstwem, ani odpowiedzialności za rozmyślne wprowadzenie w błąd.</w:t>
      </w:r>
    </w:p>
    <w:p w14:paraId="647549B6" w14:textId="77777777" w:rsidR="00374E8C" w:rsidRPr="004D7362" w:rsidRDefault="00374E8C" w:rsidP="00374E8C">
      <w:pPr>
        <w:keepNext/>
        <w:shd w:val="clear" w:color="auto" w:fill="000000"/>
        <w:spacing w:before="360" w:after="120"/>
      </w:pPr>
      <w:r>
        <w:rPr>
          <w:b/>
          <w:bCs/>
          <w:color w:val="FFFFFF"/>
        </w:rPr>
        <w:t>Niemcy</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6FA25473" w:rsidR="00374E8C" w:rsidRPr="00B471C1" w:rsidRDefault="00512CB6" w:rsidP="00A00EDE">
            <w:pPr>
              <w:keepNext/>
              <w:spacing w:after="120"/>
              <w:ind w:left="86" w:right="86"/>
              <w:rPr>
                <w:b/>
                <w:bCs/>
              </w:rPr>
            </w:pPr>
            <w:r>
              <w:rPr>
                <w:b/>
                <w:bCs/>
              </w:rPr>
              <w:t>Punkt zatytułowany „Rękojmie i gwarancje” zastępuje się następującym postanowieniem:</w:t>
            </w:r>
          </w:p>
        </w:tc>
      </w:tr>
    </w:tbl>
    <w:p w14:paraId="39CD23C0" w14:textId="14EC361E" w:rsidR="008C225D" w:rsidRPr="004D7362" w:rsidRDefault="008C225D" w:rsidP="00CA4254">
      <w:pPr>
        <w:keepNext/>
        <w:ind w:left="720" w:hanging="720"/>
      </w:pPr>
      <w:r>
        <w:rPr>
          <w:b/>
          <w:bCs/>
          <w:i/>
          <w:iCs/>
          <w:sz w:val="26"/>
          <w:szCs w:val="26"/>
        </w:rPr>
        <w:t>5.</w:t>
      </w:r>
      <w:r>
        <w:rPr>
          <w:b/>
          <w:bCs/>
          <w:i/>
          <w:iCs/>
          <w:sz w:val="26"/>
          <w:szCs w:val="26"/>
        </w:rPr>
        <w:tab/>
        <w:t>Rękojmie i gwarancje</w:t>
      </w:r>
      <w:r w:rsidR="00AB47E6">
        <w:rPr>
          <w:b/>
          <w:bCs/>
          <w:i/>
          <w:iCs/>
          <w:sz w:val="26"/>
          <w:szCs w:val="26"/>
        </w:rPr>
        <w:t>.</w:t>
      </w:r>
    </w:p>
    <w:p w14:paraId="130ABD38" w14:textId="1EB6F72C" w:rsidR="00374E8C" w:rsidRPr="004D7362" w:rsidRDefault="008C225D" w:rsidP="00D5280E">
      <w:pPr>
        <w:pStyle w:val="ListParagraph"/>
        <w:numPr>
          <w:ilvl w:val="1"/>
          <w:numId w:val="56"/>
        </w:numPr>
        <w:ind w:left="1080"/>
      </w:pPr>
      <w:r>
        <w:t>Zgodnie z punktem 5(b) niżej podane postanowienia mają zastosowanie do roszczeń z tytułu wad fizycznych lub prawnych (zwanych łącznie „Wadami”). Postanowienia te nie będą jednak mieć zastosowania do roszczeń o odszkodowanie lub zwrot wydatków.</w:t>
      </w:r>
      <w:r w:rsidR="002463A8">
        <w:t xml:space="preserve"> </w:t>
      </w:r>
      <w:r>
        <w:t xml:space="preserve">Do </w:t>
      </w:r>
      <w:r>
        <w:lastRenderedPageBreak/>
        <w:t>roszczeń o odszkodowanie lub zwrot wydatków wynikłych z Wad mają natomiast zastosowanie postanowienia zawarte w punkcie zatytułowanym „Ograniczenie odpowiedzialności”.</w:t>
      </w:r>
    </w:p>
    <w:p w14:paraId="75B01B8C" w14:textId="7750342C" w:rsidR="00374E8C" w:rsidRPr="004D7362" w:rsidRDefault="00374E8C" w:rsidP="002052C3">
      <w:pPr>
        <w:pStyle w:val="ListParagraph"/>
        <w:numPr>
          <w:ilvl w:val="0"/>
          <w:numId w:val="45"/>
        </w:numPr>
        <w:contextualSpacing w:val="0"/>
      </w:pPr>
      <w:r>
        <w:t>W przypadku rozmyślnego zatajenia Wady (arglistiges Verschweigen) prawa Klienta i okres ich obowiązywania zostaną określone wyłącznie na podstawie bezwzględnie obowiązujących przepisów.</w:t>
      </w:r>
    </w:p>
    <w:p w14:paraId="7C0F8D4C" w14:textId="77777777" w:rsidR="008C225D" w:rsidRPr="004D7362" w:rsidRDefault="008C225D" w:rsidP="002052C3">
      <w:pPr>
        <w:pStyle w:val="ListParagraph"/>
        <w:numPr>
          <w:ilvl w:val="0"/>
          <w:numId w:val="45"/>
        </w:numPr>
        <w:contextualSpacing w:val="0"/>
      </w:pPr>
      <w:r>
        <w:t>Microsoft gwarantuje, że każda Usługa Online będzie w okresie korzystania z niej przez Klienta działać zgodnie z postanowieniami właściwej Umowy dotyczącej Poziomu Usług. Środki ochrony prawnej przysługujące Klientowi w związku z naruszeniem niniejszej gwarancji opisano w Umowie dotyczącej Poziomu Usług. Ustawowe prawa Klienta dotyczące rękojmi pozostają nienaruszone.</w:t>
      </w:r>
    </w:p>
    <w:p w14:paraId="5AEE7D02" w14:textId="44CB5CE6" w:rsidR="008C225D" w:rsidRPr="004D7362" w:rsidRDefault="008C225D" w:rsidP="002052C3">
      <w:pPr>
        <w:pStyle w:val="ListParagraph"/>
        <w:numPr>
          <w:ilvl w:val="0"/>
          <w:numId w:val="45"/>
        </w:numPr>
        <w:contextualSpacing w:val="0"/>
      </w:pPr>
      <w:r>
        <w:t>Microsoft usunie Wady, o których Klient powiadomił przed wygaśnięciem okresu przedawnienia określonego w tym punkcie umowy. W zakresie, w którym Klient wniósł przeciwko Microsoft roszczenie o wykonanie uzupełniające (Nacherfüllung), Microsoft ma prawo, według własnego uznania, albo usunąć Wadę, albo dostarczyć nową rzecz ruchomą, albo, jeśli Wada dotyczy wykonanego dzieła, wykonać nowe dzieło wolne od Wad. Klient zgadza się współpracować z Microsoft przy wykonaniu uzupełniającym, dostarczając wszelkie wymagane informacje i dokumentację oraz udzielając wymaganej i zasadnej pomocy.</w:t>
      </w:r>
    </w:p>
    <w:p w14:paraId="001DBAA1" w14:textId="1D70354A" w:rsidR="00374E8C" w:rsidRPr="004D7362" w:rsidRDefault="00374E8C" w:rsidP="002052C3">
      <w:pPr>
        <w:pStyle w:val="ListParagraph"/>
        <w:numPr>
          <w:ilvl w:val="0"/>
          <w:numId w:val="45"/>
        </w:numPr>
        <w:contextualSpacing w:val="0"/>
      </w:pPr>
      <w:r>
        <w:t>Zobowiązania Microsoft nie będą mieć zastosowania, jeśli roszczenie dotyczy: (1) dostarczonych przez Klienta specyfikacji, kodów lub materiałów; (2) użycia przez Klienta Produktów lub Materiałów Przedstawionych do Odbioru po powiadomieniu przez Microsoft o konieczności zaprzestania takich działań w związku z takim roszczeniem; (3) łączenia przez Klienta Produktów lub Materiałów Przedstawionych do Odbioru z produktami, danymi lub procesami biznesowymi niepochodzącymi od Microsoft; (4) zmiany wprowadzonej przez Klienta lub osobę trzecią w Produktach lub Usługach Profesjonalnych bez zgody Microsoft, chyba że Klient potrafi udowodnić, że przedmiotowa Wada nie została spowodowana tą zmianą.</w:t>
      </w:r>
    </w:p>
    <w:p w14:paraId="4EE71440" w14:textId="4900B1A5" w:rsidR="00374E8C" w:rsidRPr="004D7362" w:rsidRDefault="00374E8C" w:rsidP="002052C3">
      <w:pPr>
        <w:pStyle w:val="ListParagraph"/>
        <w:numPr>
          <w:ilvl w:val="0"/>
          <w:numId w:val="45"/>
        </w:numPr>
        <w:contextualSpacing w:val="0"/>
      </w:pPr>
      <w:r>
        <w:t>Wszelkie roszczenia, do których wniesienia Klient ma prawo na mocy tego punktu umowy, wygasają po upływie jednego roku.</w:t>
      </w:r>
      <w:r w:rsidR="002463A8">
        <w:t xml:space="preserve"> </w:t>
      </w:r>
      <w:r>
        <w:t>W przypadku wykonanego dzieła bieg przedawnienia rozpoczyna się w dniu przyjęcia dzieła (Abnahme). We wszystkich innych przypadkach bieg przedawnienia rozpoczyna się w dniu dostarczenia dzieła.</w:t>
      </w:r>
    </w:p>
    <w:p w14:paraId="55B904F4" w14:textId="351A61F9" w:rsidR="008C225D" w:rsidRPr="004D7362" w:rsidRDefault="008C225D" w:rsidP="002052C3">
      <w:pPr>
        <w:pStyle w:val="ListParagraph"/>
        <w:numPr>
          <w:ilvl w:val="0"/>
          <w:numId w:val="45"/>
        </w:numPr>
        <w:contextualSpacing w:val="0"/>
      </w:pPr>
      <w:r>
        <w:t>Klient oświadcza i gwarantuje, że będzie przestrzegać postanowień niniejszej Rejestracji oraz chronić firmę Microsoft przed wszelkimi roszczeniami, które nie są zgodne z tymi postanowieniami, wysuwanymi przez niestowarzyszone osoby trzecie, pod warunkiem że Klient ponosi odpowiedzialność za roszczenie wysunięte przez takie niestowarzyszone osoby trzecie. Klient zapłaci kwotę określoną na podstawie niekorzystnego prawomocnego orzeczenia sądu lub zaakceptowanej ugody wynikających z takich roszczeń oraz zwróci Microsoft uzasadnione wydatki bieżące poniesione przez Microsoft w ramach reagowania na takie roszczenia.</w:t>
      </w:r>
    </w:p>
    <w:p w14:paraId="502D4D5F" w14:textId="62869B75" w:rsidR="008C225D" w:rsidRPr="004D7362" w:rsidRDefault="008C225D" w:rsidP="00D5280E">
      <w:pPr>
        <w:pStyle w:val="ListParagraph"/>
        <w:numPr>
          <w:ilvl w:val="1"/>
          <w:numId w:val="56"/>
        </w:numPr>
        <w:ind w:left="1080"/>
        <w:contextualSpacing w:val="0"/>
      </w:pPr>
      <w:r>
        <w:t>W zakresie, w jakim Usługi Online świadczone przez Microsoft są uznawane za wynajem (mietweise Überlassung) i podlegają obowiązującym w Niemczech ustawowym przepisom dotyczącym najmu (mietrechtliche Regelungen), wymienione powyżej postanowienia dotyczące ograniczonej rękojmi nie wykluczają ani nie ograniczają ustawowych praw Klienta dotyczących rękojmi. Odpowiednie ustawowe przepisy dotyczące rękojmi mają zastosowanie do roszczeń z tytułu Wad, z zastrzeżeniem poniższych postanowień, które nie mają jednak zastosowania do roszczeń o odszkodowanie lub zwrot wydatków. Wszelkie dodatkowe uprawnienia dotyczące rękojmi przysługujące Klientowi na podstawie niniejszej umowy oraz dostarczonych wraz z nią dokumentów pozostają nienaruszone.</w:t>
      </w:r>
    </w:p>
    <w:p w14:paraId="3A7739C9" w14:textId="77777777" w:rsidR="008C225D" w:rsidRPr="004D7362" w:rsidRDefault="008C225D" w:rsidP="002052C3">
      <w:pPr>
        <w:pStyle w:val="ListParagraph"/>
        <w:numPr>
          <w:ilvl w:val="0"/>
          <w:numId w:val="57"/>
        </w:numPr>
        <w:contextualSpacing w:val="0"/>
      </w:pPr>
      <w:r>
        <w:t xml:space="preserve">Klient zrzeka się (1) prawa do kompensaty (Recht zur Aufrechnung), (2) prawa do obniżenia ceny (Minderungsrecht) oraz (3) prawa do przechowywania (Zurückbehaltungsrecht) w najszerszym zakresie dozwolonym przez właściwe przepisy bezwzględne obowiązujące, pod warunkiem, że roszczenie użyte w odniesieniu do jakichkolwiek wspomnianych wyżej praw nie będzie niekwestionowane (unbestritten) ani uznane na mocy wyroku deklaratoryjnego </w:t>
      </w:r>
      <w:r>
        <w:lastRenderedPageBreak/>
        <w:t>(rechtskräftig festgestellt). W celu uniknięcia wątpliwości wszelkie roszczenia Klienta dotyczące bezpodstawnego wzbogacenia (ungerechtfertigte Bereicherung) przeciwko Microsoft nie są wykluczone.</w:t>
      </w:r>
    </w:p>
    <w:p w14:paraId="30A63F66" w14:textId="7906F2B6" w:rsidR="008C225D" w:rsidRPr="004D7362" w:rsidRDefault="008C225D" w:rsidP="002052C3">
      <w:pPr>
        <w:pStyle w:val="ListParagraph"/>
        <w:numPr>
          <w:ilvl w:val="0"/>
          <w:numId w:val="57"/>
        </w:numPr>
        <w:spacing w:after="240"/>
        <w:contextualSpacing w:val="0"/>
      </w:pPr>
      <w:r>
        <w:t>Wszelkie Zniżki określone w Umowach dotyczących Poziomu Usług i kompensowane właściwymi Miesięcznymi Opłatami za Usługę obowiązującymi Klienta w odniesieniu do jakichkolwiek problemów w zakresie jakości lub dostępności zgodnie z niniejszym punktem 5 oraz właściwą Umową dotyczącą Poziomu Usług będą automatycznie kompensowane (verrechnet) ewentualnym roszczeniem Klienta dotyczącym bezpodstawnego wzbogacenia lub roszczeniem o odszkodowanie albo zwrot wydatków wynikającym z Wad, na podstawie tego samego zdarzenia, które spowodowało takie problemy w zakresie jakości lub dostępności.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0EDB59E1" w:rsidR="008C225D" w:rsidRPr="00B471C1" w:rsidRDefault="008C225D" w:rsidP="008C225D">
            <w:pPr>
              <w:spacing w:after="120"/>
              <w:ind w:left="86" w:right="86"/>
              <w:rPr>
                <w:b/>
                <w:bCs/>
              </w:rPr>
            </w:pPr>
            <w:r>
              <w:rPr>
                <w:b/>
                <w:bCs/>
              </w:rPr>
              <w:t>W odniesieniu do Usług Online punkt zatytułowany „Obrona przed roszczeniami osób trzecich” uzupełnia się następującym postanowieniem:</w:t>
            </w:r>
          </w:p>
        </w:tc>
      </w:tr>
    </w:tbl>
    <w:p w14:paraId="42065145" w14:textId="41AC5C96" w:rsidR="008C225D" w:rsidRPr="004D7362" w:rsidRDefault="00D5280E" w:rsidP="008C225D">
      <w:pPr>
        <w:spacing w:after="240"/>
        <w:ind w:left="1077" w:hanging="357"/>
      </w:pPr>
      <w:r>
        <w:rPr>
          <w:b/>
          <w:bCs/>
        </w:rPr>
        <w:t>c.</w:t>
      </w:r>
      <w:r>
        <w:rPr>
          <w:b/>
          <w:bCs/>
        </w:rPr>
        <w:tab/>
      </w:r>
      <w:r>
        <w:t>W zakresie zamówień Usług Online złożonych przez Klienta w ramach niniejszej Rejestracji zobowiązanie Klienta do ochrony Microsoft przed roszczeniami niestowarzyszonych osób trzecich zgodnie z postanowieniami punktu 6(b) ma zastosowanie tylko w zakresie, w jakim Klient ponosi odpowiedzialność za odpowiednie naruszenie Zasad Dozwolonego Użytku. Ponadto Microsoft może tylko zawiesić lub wypowiedzieć Usługę Online zgodnie z postanowieniami punktu 6(c), pod warunkiem że Microsoft ma uzasadnione podstawy, aby podejrzewać, że Dane Klienta lub oprogramowanie bądź technologie niepochodzące od Microsoft używane przez Klienta z Usługą Online, którą Microsoft chce wypowiedzieć, rzeczywiście naruszają prawa własności intelektualnej należące do osób trzecich.</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49DD4FD6" w:rsidR="00374E8C" w:rsidRPr="00B471C1" w:rsidRDefault="00512CB6" w:rsidP="00924DE4">
            <w:pPr>
              <w:spacing w:after="120"/>
              <w:ind w:left="86" w:right="86"/>
              <w:rPr>
                <w:b/>
                <w:bCs/>
              </w:rPr>
            </w:pPr>
            <w:r>
              <w:rPr>
                <w:b/>
                <w:bCs/>
              </w:rPr>
              <w:t>Punkt zatytułowany „Ograniczenie odpowiedzialności” zastępuje się następującym postanowieniem:</w:t>
            </w:r>
          </w:p>
        </w:tc>
      </w:tr>
    </w:tbl>
    <w:p w14:paraId="29757EA8" w14:textId="75BD940E" w:rsidR="00374E8C" w:rsidRPr="004D7362" w:rsidRDefault="00404D8A" w:rsidP="00CA4254">
      <w:pPr>
        <w:keepNext/>
        <w:ind w:left="720" w:hanging="720"/>
      </w:pPr>
      <w:r>
        <w:rPr>
          <w:b/>
          <w:bCs/>
          <w:i/>
          <w:iCs/>
          <w:sz w:val="26"/>
          <w:szCs w:val="26"/>
        </w:rPr>
        <w:t>7.</w:t>
      </w:r>
      <w:r>
        <w:rPr>
          <w:b/>
          <w:bCs/>
          <w:i/>
          <w:iCs/>
          <w:sz w:val="26"/>
          <w:szCs w:val="26"/>
        </w:rPr>
        <w:tab/>
        <w:t>Ograniczenie odpowiedzialności</w:t>
      </w:r>
      <w:r w:rsidR="005D2685">
        <w:rPr>
          <w:b/>
          <w:bCs/>
          <w:i/>
          <w:iCs/>
          <w:sz w:val="26"/>
          <w:szCs w:val="26"/>
        </w:rPr>
        <w:t>.</w:t>
      </w:r>
    </w:p>
    <w:p w14:paraId="1B88AC5B" w14:textId="6C5D0709" w:rsidR="00374E8C" w:rsidRPr="004D7362" w:rsidRDefault="00374E8C" w:rsidP="00374E8C">
      <w:r>
        <w:t>W niektórych przypadkach Klientowi będzie przysługiwać prawo podniesienia przeciwko Microsoft roszczeń o odszkodowanie lub o zwrot poniesionych daremnie (Ersatz vergeblicher Aufwendungen) wydatków.</w:t>
      </w:r>
      <w:r w:rsidR="002463A8">
        <w:t xml:space="preserve"> </w:t>
      </w:r>
      <w:r>
        <w:t>Niezależnie od podstawy prawnej podniesionego przez Klienta roszczenia (m.in. niewykonania lub nienależytego wykonania zobowiązań wynikających z umowy, Wady, czynu niedozwolonego) odpowiedzialność Microsoft za wszelkie szkody będzie ograniczona w następujący sposób:</w:t>
      </w:r>
    </w:p>
    <w:p w14:paraId="6548D0CF" w14:textId="3A923BCD" w:rsidR="00374E8C" w:rsidRPr="004D7362" w:rsidRDefault="00374E8C" w:rsidP="00374E8C">
      <w:pPr>
        <w:ind w:left="1080" w:hanging="360"/>
      </w:pPr>
      <w:r>
        <w:rPr>
          <w:b/>
          <w:bCs/>
        </w:rPr>
        <w:t>a.</w:t>
      </w:r>
      <w:r>
        <w:tab/>
        <w:t xml:space="preserve">W przypadkach czynów umyślnych, roszczeń wnoszonych w oparciu o niemiecką ustawę o odpowiedzialności za produkt (Product Liability Act; </w:t>
      </w:r>
      <w:r>
        <w:rPr>
          <w:i/>
        </w:rPr>
        <w:t>Produkthaftungsgesetz</w:t>
      </w:r>
      <w:r>
        <w:t>), umyślnego zatajenia Wad, jak również roszczeń dochodzonych w związku ze śmiercią, uszkodzeniem ciała lub utratą zdrowia odpowiedzialność Microsoft będzie określana wyłącznie na podstawie przepisów bezwzględnych obowiązujących.</w:t>
      </w:r>
    </w:p>
    <w:p w14:paraId="357F866B" w14:textId="2A323E08" w:rsidR="00374E8C" w:rsidRPr="004D7362" w:rsidRDefault="00374E8C" w:rsidP="00374E8C">
      <w:pPr>
        <w:ind w:left="1080" w:hanging="360"/>
      </w:pPr>
      <w:r>
        <w:rPr>
          <w:b/>
          <w:bCs/>
        </w:rPr>
        <w:t>b.</w:t>
      </w:r>
      <w:r>
        <w:rPr>
          <w:b/>
          <w:bCs/>
        </w:rPr>
        <w:tab/>
      </w:r>
      <w:r>
        <w:t>W przypadku rażącego niedbalstwa odpowiedzialność Microsoft będzie ograniczona do odszkodowania za typowe szkody, które można przewidzieć. Ograniczenie to nie ma zastosowania w zakresie, w którym szkody zostały spowodowane przez kadrę kierowniczą lub przedstawicieli prawnych Microsoft.</w:t>
      </w:r>
    </w:p>
    <w:p w14:paraId="78547BF4" w14:textId="1D1652D3" w:rsidR="00374E8C" w:rsidRPr="004D7362" w:rsidRDefault="00374E8C" w:rsidP="00374E8C">
      <w:pPr>
        <w:ind w:left="1080" w:hanging="360"/>
      </w:pPr>
      <w:r>
        <w:rPr>
          <w:b/>
          <w:bCs/>
        </w:rPr>
        <w:t>c.</w:t>
      </w:r>
      <w:r>
        <w:rPr>
          <w:b/>
          <w:bCs/>
        </w:rPr>
        <w:tab/>
      </w:r>
      <w:r>
        <w:t>Microsoft będzie ponosić odpowiedzialność z tytułu drobnego niedbalstwa wyłącznie w razie niewykonania lub nienależytego wykonania takich zobowiązań umownych, od których spełnienia zależy właściwe wykonanie niniejszej umowy, a których niewykonanie lub nienależyte wykonanie zagraża celowi niniejszej umowy i co do których przestrzegania Klient może mieć stałe zaufanie (tak zwane „zobowiązania główne” (</w:t>
      </w:r>
      <w:r>
        <w:rPr>
          <w:i/>
        </w:rPr>
        <w:t>Kardinalpflichten</w:t>
      </w:r>
      <w:r>
        <w:t>)).</w:t>
      </w:r>
      <w:r w:rsidR="002463A8">
        <w:t xml:space="preserve"> </w:t>
      </w:r>
      <w:r>
        <w:t>W takim przypadku odpowiedzialność Microsoft będzie ograniczona do obowiązku odszkodowania za typowe szkody, które można przewidzieć.</w:t>
      </w:r>
      <w:r w:rsidR="002463A8">
        <w:t xml:space="preserve"> </w:t>
      </w:r>
      <w:r>
        <w:t>W innych przypadkach Microsoft nie będzie ponosić odpowiedzialności z tytułu drobnego niedbalstwa.</w:t>
      </w:r>
    </w:p>
    <w:p w14:paraId="5C242B9C" w14:textId="429FEEBA" w:rsidR="00374E8C" w:rsidRPr="004D7362" w:rsidRDefault="00374E8C" w:rsidP="00374E8C">
      <w:pPr>
        <w:ind w:left="1080" w:hanging="360"/>
      </w:pPr>
      <w:r>
        <w:rPr>
          <w:b/>
          <w:bCs/>
        </w:rPr>
        <w:lastRenderedPageBreak/>
        <w:t>d.</w:t>
      </w:r>
      <w:r>
        <w:rPr>
          <w:b/>
          <w:bCs/>
        </w:rPr>
        <w:tab/>
      </w:r>
      <w:r>
        <w:t>W przypadku zwłoki w realizacji świadczeń odpowiedzialność Microsoft z tytułu niezawinionej niemożności wywiązania się ze zobowiązań również będzie ograniczona do obowiązku odszkodowania za typowe szkody, które można przewidzieć.</w:t>
      </w:r>
    </w:p>
    <w:p w14:paraId="72A9F621" w14:textId="7B002F35" w:rsidR="00374E8C" w:rsidRPr="004D7362" w:rsidRDefault="00374E8C" w:rsidP="00374E8C">
      <w:pPr>
        <w:ind w:left="1080" w:hanging="360"/>
      </w:pPr>
      <w:r>
        <w:rPr>
          <w:b/>
          <w:bCs/>
        </w:rPr>
        <w:t>e.</w:t>
      </w:r>
      <w:r>
        <w:tab/>
        <w:t>W przypadkach, w których Microsoft jest zobowiązany do dostarczenia nieoddanej jeszcze do produkcji rzeczy ruchomej, każde roszczenie o odszkodowanie lub zwrot wydatków z tytułu Wad jest uwarunkowane wywiązaniem się przez Klienta z obowiązku powiadomienia Microsoft o Wadach.</w:t>
      </w:r>
    </w:p>
    <w:p w14:paraId="511FF9AA" w14:textId="120BFD65" w:rsidR="008C225D" w:rsidRPr="004D7362" w:rsidRDefault="008C225D" w:rsidP="00374E8C">
      <w:pPr>
        <w:ind w:left="1080" w:hanging="360"/>
      </w:pPr>
      <w:r>
        <w:rPr>
          <w:rFonts w:eastAsia="Calibri"/>
          <w:b/>
          <w:color w:val="auto"/>
        </w:rPr>
        <w:t>f.</w:t>
      </w:r>
      <w:r>
        <w:rPr>
          <w:rFonts w:eastAsia="Calibri"/>
          <w:color w:val="auto"/>
        </w:rPr>
        <w:tab/>
        <w:t>W przypadkach, w których Usługi Online świadczone przez Microsoft są uznawane za wynajem (</w:t>
      </w:r>
      <w:r>
        <w:rPr>
          <w:rFonts w:eastAsia="Calibri"/>
          <w:i/>
          <w:color w:val="auto"/>
        </w:rPr>
        <w:t>mietweise Überlassung</w:t>
      </w:r>
      <w:r>
        <w:rPr>
          <w:rFonts w:eastAsia="Calibri"/>
          <w:color w:val="auto"/>
        </w:rPr>
        <w:t>) i podlegają obowiązującym w Niemczech ustawowym przepisom dotyczącym najmu (</w:t>
      </w:r>
      <w:r>
        <w:rPr>
          <w:rFonts w:eastAsia="Calibri"/>
          <w:i/>
          <w:color w:val="auto"/>
        </w:rPr>
        <w:t>mietrechtliche Regelungen</w:t>
      </w:r>
      <w:r>
        <w:rPr>
          <w:rFonts w:eastAsia="Calibri"/>
          <w:color w:val="auto"/>
        </w:rPr>
        <w:t>), Microsoft nie ponosi odpowiedzialności za szkody związane z Wadami w rozumieniu postanowień art. 536 niemieckiego kodeksu cywilnego (</w:t>
      </w:r>
      <w:r>
        <w:rPr>
          <w:rFonts w:eastAsia="Calibri"/>
          <w:i/>
          <w:color w:val="auto"/>
        </w:rPr>
        <w:t>Bürgerliches Gesetzbuch</w:t>
      </w:r>
      <w:r>
        <w:rPr>
          <w:rFonts w:eastAsia="Calibri"/>
          <w:color w:val="auto"/>
        </w:rPr>
        <w:t>), które istniały w momencie zawarcia umowy wynajmu. Nie ma zastosowania art. 536.1, Alt. 1 niemieckiego kodeksu cywilnego.</w:t>
      </w:r>
    </w:p>
    <w:p w14:paraId="7D5456DB" w14:textId="0F703841" w:rsidR="00374E8C" w:rsidRPr="004D7362" w:rsidRDefault="008C225D" w:rsidP="00374E8C">
      <w:pPr>
        <w:ind w:left="1080" w:hanging="360"/>
      </w:pPr>
      <w:r>
        <w:rPr>
          <w:b/>
          <w:bCs/>
        </w:rPr>
        <w:t>g.</w:t>
      </w:r>
      <w:r>
        <w:tab/>
        <w:t>Wszelkie roszczenia o odszkodowanie lub zwrot wydatków wynikające z Wad wygasają po upływie jednego roku.</w:t>
      </w:r>
      <w:r w:rsidR="002463A8">
        <w:t xml:space="preserve"> </w:t>
      </w:r>
      <w:r>
        <w:t xml:space="preserve">W przypadku dostarczonej, lecz jeszcze nie oddanej do produkcji rzeczy ruchomej bieg przedawnienia rozpoczyna się w dniu jej dostarczenia. W przypadku wykonanego dzieła bieg przedawnienia rozpoczyna się w dniu przyjęcia dzieła (Abnahme). Postanowienie to nie narusza § 438 akapit 1 nr 1 a) niemieckiego kodeksu cywilnego. </w:t>
      </w:r>
    </w:p>
    <w:p w14:paraId="27950DF7" w14:textId="305C4DBA" w:rsidR="00374E8C" w:rsidRPr="004D7362" w:rsidRDefault="00374E8C" w:rsidP="00374E8C">
      <w:pPr>
        <w:ind w:left="1080"/>
      </w:pPr>
      <w:r>
        <w:t>Wszelkie inne roszczenia przeciwko Microsoft o odszkodowanie lub zwrot kosztów wygasają po dwóch latach od dnia powstania przyczyny wnoszonego roszczenia.</w:t>
      </w:r>
    </w:p>
    <w:p w14:paraId="1C4580B1" w14:textId="0A9624D2" w:rsidR="00374E8C" w:rsidRPr="004D7362" w:rsidRDefault="00374E8C" w:rsidP="00374E8C">
      <w:pPr>
        <w:ind w:left="1080"/>
      </w:pPr>
      <w:r>
        <w:t>Postanowienia zawarte w niniejszym podpunkcie nie mają zastosowania do rozmyślnego zatajenia Wady, czynów umyślnych ani przypadków rażącego niedbalstwa ze strony Microsoft, roszczeń wnoszonych w oparciu o niemiecką ustawę o odpowiedzialności za produkt (ang. Product Liability Act) lub roszczeń dochodzonych w związku ze śmiercią, uszkodzeniem ciała lub utratą zdrowia.</w:t>
      </w:r>
      <w:r w:rsidR="002463A8">
        <w:t xml:space="preserve"> </w:t>
      </w:r>
      <w:r>
        <w:t>W takich przypadkach mają bowiem zastosowanie bezwzględnie obowiązujące przepisy.</w:t>
      </w:r>
    </w:p>
    <w:p w14:paraId="3166D67A" w14:textId="77777777" w:rsidR="00374E8C" w:rsidRPr="004D7362" w:rsidRDefault="00374E8C" w:rsidP="00374E8C">
      <w:pPr>
        <w:keepNext/>
        <w:shd w:val="clear" w:color="auto" w:fill="000000"/>
        <w:spacing w:before="360" w:after="120"/>
      </w:pPr>
      <w:r>
        <w:rPr>
          <w:b/>
          <w:bCs/>
          <w:color w:val="FFFFFF"/>
        </w:rPr>
        <w:t>Węgry</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332C7EC0" w:rsidR="00374E8C" w:rsidRPr="00B471C1" w:rsidRDefault="00374E8C" w:rsidP="00924DE4">
            <w:pPr>
              <w:keepNext/>
              <w:spacing w:after="120"/>
              <w:ind w:left="86" w:right="86"/>
              <w:rPr>
                <w:b/>
                <w:bCs/>
              </w:rPr>
            </w:pPr>
            <w:r>
              <w:rPr>
                <w:b/>
                <w:bCs/>
              </w:rPr>
              <w:t>Punkt zatytułowany „Ograniczenie odpowiedzialności” uzupełnia się o następujące postanowienie:</w:t>
            </w:r>
          </w:p>
        </w:tc>
      </w:tr>
    </w:tbl>
    <w:p w14:paraId="70835225" w14:textId="1820311B" w:rsidR="00374E8C" w:rsidRPr="004D7362" w:rsidRDefault="00D92D70" w:rsidP="00374E8C">
      <w:pPr>
        <w:ind w:left="1080" w:hanging="360"/>
      </w:pPr>
      <w:r>
        <w:rPr>
          <w:b/>
          <w:bCs/>
        </w:rPr>
        <w:t>e.</w:t>
      </w:r>
      <w:r>
        <w:rPr>
          <w:b/>
          <w:bCs/>
        </w:rPr>
        <w:tab/>
        <w:t>Wynegocjowane postanowienia.</w:t>
      </w:r>
      <w:r w:rsidR="002463A8">
        <w:t xml:space="preserve"> </w:t>
      </w:r>
      <w:r>
        <w:t>Strony potwierdzają, że przed zawarciem tej umowy jej postanowienia były indywidualnie negocjowane a strony mogły przedstawić poprawki do wersji roboczych tej umowy.</w:t>
      </w:r>
      <w:r w:rsidR="002463A8">
        <w:t xml:space="preserve"> </w:t>
      </w:r>
      <w:r>
        <w:t>Klient potwierdza, że Microsoft zwrócił uwagę na postanowienia zawarte w punktach zatytułowanych „Rękojmie i gwarancje”, „Ochrona przed roszczeniami osób trzecich” oraz „Ograniczenie odpowiedzialności” niniejszej umowy. Ponadto Klient wyraźnie potwierdza, iż akceptuje te postanowienia.</w:t>
      </w:r>
    </w:p>
    <w:p w14:paraId="36437FFE" w14:textId="742B90D9" w:rsidR="00374E8C" w:rsidRPr="004D7362" w:rsidRDefault="00374E8C" w:rsidP="00374E8C">
      <w:pPr>
        <w:keepNext/>
        <w:shd w:val="clear" w:color="auto" w:fill="000000"/>
        <w:spacing w:before="360" w:after="120"/>
      </w:pPr>
      <w:r>
        <w:rPr>
          <w:b/>
          <w:bCs/>
          <w:color w:val="FFFFFF"/>
        </w:rPr>
        <w:t>Polska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78586CB4" w:rsidR="00374E8C" w:rsidRPr="00B471C1" w:rsidRDefault="00374E8C" w:rsidP="00BC390A">
            <w:pPr>
              <w:spacing w:after="120"/>
              <w:ind w:left="86" w:right="86"/>
              <w:rPr>
                <w:b/>
                <w:bCs/>
              </w:rPr>
            </w:pPr>
            <w:r>
              <w:rPr>
                <w:b/>
                <w:bCs/>
              </w:rPr>
              <w:t>Punkt zatytułowany „Ograniczenie odpowiedzialności” uzupełnia się o następujące postanowienie:</w:t>
            </w:r>
          </w:p>
        </w:tc>
      </w:tr>
    </w:tbl>
    <w:p w14:paraId="7E4D65C8" w14:textId="734F2BA0" w:rsidR="00374E8C" w:rsidRPr="004D7362" w:rsidRDefault="00BC390A" w:rsidP="00374E8C">
      <w:pPr>
        <w:ind w:left="1080" w:hanging="360"/>
      </w:pPr>
      <w:r>
        <w:rPr>
          <w:b/>
        </w:rPr>
        <w:t>e.</w:t>
      </w:r>
      <w:r>
        <w:tab/>
        <w:t>Jeśli działanie lub zaniechanie, które spowodowało szkodę, polegało na niewykonaniu lub nienależytym wykonaniu przez Microsoft postanowień niniejszej umowy lub Specyfikacji Usług i jednocześnie stanowiło podstawę odpowiedzialności Microsoft z tytułu czynów niedozwolonych, Klient jest upoważniony do żądania naprawienia takiej szkody wyłącznie na podstawie tego punktu umowy i tylko w zakresie określonym w podpunkcie „Ograniczenie odpowiedzialności” powyżej.</w:t>
      </w:r>
    </w:p>
    <w:p w14:paraId="3AB3D944" w14:textId="77777777" w:rsidR="00374E8C" w:rsidRPr="004D7362" w:rsidRDefault="00374E8C" w:rsidP="00374E8C">
      <w:pPr>
        <w:keepNext/>
        <w:shd w:val="clear" w:color="auto" w:fill="000000"/>
        <w:spacing w:before="360" w:after="120"/>
      </w:pPr>
      <w:r>
        <w:rPr>
          <w:b/>
          <w:bCs/>
          <w:color w:val="FFFFFF"/>
        </w:rPr>
        <w:lastRenderedPageBreak/>
        <w:t>Rumunia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9D991DB" w:rsidR="00374E8C" w:rsidRPr="00B471C1" w:rsidRDefault="00374E8C" w:rsidP="00F3569F">
            <w:pPr>
              <w:keepNext/>
              <w:spacing w:after="120"/>
              <w:ind w:left="86" w:right="86"/>
              <w:rPr>
                <w:b/>
                <w:bCs/>
              </w:rPr>
            </w:pPr>
            <w:r>
              <w:rPr>
                <w:b/>
                <w:bCs/>
              </w:rPr>
              <w:t>Punkt zatytułowany „Postanowienia różne” uzupełnia się o następujące postanowienie:</w:t>
            </w:r>
          </w:p>
        </w:tc>
      </w:tr>
    </w:tbl>
    <w:p w14:paraId="53FAF6FE" w14:textId="3025E7C3" w:rsidR="00374E8C" w:rsidRPr="00E12B1A" w:rsidRDefault="00D95884" w:rsidP="00122A75">
      <w:pPr>
        <w:pStyle w:val="ListParagraph"/>
        <w:adjustRightInd w:val="0"/>
        <w:snapToGrid w:val="0"/>
        <w:ind w:left="1080" w:hanging="360"/>
        <w:contextualSpacing w:val="0"/>
        <w:rPr>
          <w:spacing w:val="-2"/>
        </w:rPr>
      </w:pPr>
      <w:r w:rsidRPr="00E12B1A">
        <w:rPr>
          <w:b/>
          <w:bCs/>
          <w:spacing w:val="-2"/>
        </w:rPr>
        <w:t>o.</w:t>
      </w:r>
      <w:r w:rsidRPr="00E12B1A">
        <w:rPr>
          <w:bCs/>
          <w:spacing w:val="-2"/>
        </w:rPr>
        <w:tab/>
        <w:t>Strony potwierdzają, że przed zawarciem tej umowy jej postanowienia były indywidualnie negocjowane a strony mogły przedstawić poprawki do wersji roboczych tej umowy.</w:t>
      </w:r>
      <w:r w:rsidR="002463A8" w:rsidRPr="00E12B1A">
        <w:rPr>
          <w:bCs/>
          <w:spacing w:val="-2"/>
        </w:rPr>
        <w:t xml:space="preserve"> </w:t>
      </w:r>
      <w:r w:rsidRPr="00E12B1A">
        <w:rPr>
          <w:bCs/>
          <w:spacing w:val="-2"/>
        </w:rPr>
        <w:t>Klient niniejszym oświadcza, że przez podpisanie formularza podpisów dołączonego do niniejszej umowy wyraźnie akceptuje i zgadza się na obowiązywanie wszystkich jej postanowień, w tym postanowień określonych w niniejszej umowie przez Microsoft, które mogą zostać uznane, jako nietypowe (zgodnie z definicją art. 1203 Rumuńskiego Kodeksu Cywilnego), w tym między innymi postanowień zawartych w następujących punktach: punkcie zatytułowanym „Prawa i ograniczenia dotyczące używania oraz własności”, punkcie zatytułowanym „Rękojmie i gwarancje”, punkcie zatytułowanym „Obrona przed roszczeniami osób trzecich”, punkcie zatytułowanym „Ograniczenie odpowiedzialności” punkcie zatytułowanym „Okres obowiązywania oraz wypowiedzenie”, podpunkcie zatytułowanym „Przeniesienie praw i zobowiązań”, podpunkcie zatytułowanym „Rozstrzyganie sporów”, podpunkcie zatytułowanym „Prawo właściwe”, podpunkcie zatytułowanym „Warunki płatności za Usługi Profesjonalne”, podpunkcie zatytułowanym „Eksport ze Stanów Zjednoczonych”.</w:t>
      </w:r>
    </w:p>
    <w:p w14:paraId="384CF72A" w14:textId="77777777" w:rsidR="00374E8C" w:rsidRPr="004D7362" w:rsidRDefault="00374E8C" w:rsidP="00374E8C">
      <w:pPr>
        <w:keepNext/>
        <w:shd w:val="clear" w:color="auto" w:fill="000000"/>
        <w:spacing w:before="360" w:after="120"/>
      </w:pPr>
      <w:r>
        <w:rPr>
          <w:b/>
          <w:bCs/>
          <w:color w:val="FFFFFF"/>
        </w:rPr>
        <w:t>Republika Słowacka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4CB509DF" w:rsidR="00374E8C" w:rsidRPr="00B471C1" w:rsidRDefault="00374E8C" w:rsidP="00F3569F">
            <w:pPr>
              <w:spacing w:after="120"/>
              <w:ind w:left="86" w:right="86"/>
              <w:rPr>
                <w:b/>
                <w:bCs/>
              </w:rPr>
            </w:pPr>
            <w:r>
              <w:rPr>
                <w:b/>
                <w:bCs/>
              </w:rPr>
              <w:t>Punkt zatytułowany „Rękojmie i gwarancje” uzupełnia się o następujące postanowienie:</w:t>
            </w:r>
          </w:p>
        </w:tc>
      </w:tr>
    </w:tbl>
    <w:p w14:paraId="362036B6" w14:textId="4F5A1982" w:rsidR="00374E8C" w:rsidRPr="004D7362" w:rsidRDefault="00374E8C" w:rsidP="00374E8C">
      <w:pPr>
        <w:spacing w:after="240"/>
        <w:ind w:left="1080"/>
      </w:pPr>
      <w:r>
        <w:t>Materiały Przedstawione do Odbioru udostępniane przez Microsoft opracowywane są zgodnie z aktualną wiedzą naukową i technologiczną.</w:t>
      </w:r>
      <w:r w:rsidR="002463A8">
        <w:t xml:space="preserve"> </w:t>
      </w:r>
      <w:r>
        <w:t>Microsoft wyraźnie oświadcza Klientowi, że obecnie dostępne technologie nie pozwalają na opracowanie zaawansowanego oprogramowania, które byłoby całkowicie wolne od wad technicznych, które mogą w przyszłości się pojawić.</w:t>
      </w:r>
      <w:r w:rsidR="002463A8">
        <w:t xml:space="preserve"> </w:t>
      </w:r>
      <w:r>
        <w:t>Oprogramowanie udostępniane przez Microsoft nie musi być całkowicie wolne od błędów programistycznych, natomiast będzie funkcjonować zasadniczo zgodnie z opisem zawartym w dokumentacji dla użytkownika produktów Microsoft lub, jeśli nie istnieje taka dokumentacja, zgodnie z odpowiednią Specyfikacją Usług.</w:t>
      </w:r>
    </w:p>
    <w:p w14:paraId="4A7CFFDB" w14:textId="338AA534" w:rsidR="00374E8C" w:rsidRPr="004D7362" w:rsidRDefault="00374E8C" w:rsidP="00374E8C">
      <w:pPr>
        <w:keepNext/>
        <w:shd w:val="clear" w:color="auto" w:fill="000000"/>
        <w:spacing w:before="360" w:after="120"/>
      </w:pPr>
      <w:r>
        <w:rPr>
          <w:b/>
          <w:bCs/>
          <w:color w:val="FFFFFF"/>
        </w:rPr>
        <w:t>Szwajcaria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4455D115" w:rsidR="00374E8C" w:rsidRPr="00B471C1" w:rsidRDefault="00374E8C" w:rsidP="00F3569F">
            <w:pPr>
              <w:keepNext/>
              <w:spacing w:after="120"/>
              <w:ind w:left="86" w:right="86"/>
              <w:rPr>
                <w:b/>
                <w:bCs/>
              </w:rPr>
            </w:pPr>
            <w:r>
              <w:rPr>
                <w:b/>
                <w:bCs/>
              </w:rPr>
              <w:t>Punkt zatytułowany „Postanowienia różne” uzupełnia się o następujące postanowienie:</w:t>
            </w:r>
          </w:p>
        </w:tc>
      </w:tr>
    </w:tbl>
    <w:p w14:paraId="25AFE6A6" w14:textId="70201EF1" w:rsidR="00374E8C" w:rsidRPr="004D7362" w:rsidRDefault="0089029D" w:rsidP="00122A75">
      <w:pPr>
        <w:ind w:left="1080" w:hanging="360"/>
      </w:pPr>
      <w:r>
        <w:rPr>
          <w:b/>
        </w:rPr>
        <w:t>o.</w:t>
      </w:r>
      <w:r>
        <w:tab/>
        <w:t>Wszelkie Usługi Profesjonalne są świadczone na podstawie umowy zlecenia w rozumieniu § 394 i nast. szwajcarskiego kodeksu zobowiązań.</w:t>
      </w:r>
    </w:p>
    <w:p w14:paraId="30D23F7D" w14:textId="77777777" w:rsidR="00374E8C" w:rsidRPr="004D7362" w:rsidRDefault="00374E8C" w:rsidP="00374E8C">
      <w:pPr>
        <w:keepNext/>
        <w:shd w:val="clear" w:color="auto" w:fill="000000"/>
        <w:spacing w:before="360" w:after="120"/>
      </w:pPr>
      <w:r>
        <w:rPr>
          <w:b/>
          <w:bCs/>
          <w:color w:val="FFFFFF"/>
        </w:rPr>
        <w:t>Ukraina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268B8B92" w:rsidR="00374E8C" w:rsidRPr="00B471C1" w:rsidRDefault="00374E8C" w:rsidP="002237A3">
            <w:pPr>
              <w:keepNext/>
              <w:spacing w:after="120"/>
              <w:ind w:left="86" w:right="86"/>
              <w:rPr>
                <w:b/>
                <w:bCs/>
              </w:rPr>
            </w:pPr>
            <w:r>
              <w:rPr>
                <w:b/>
                <w:bCs/>
              </w:rPr>
              <w:t>Punkt zatytułowany „Ograniczenie odpowiedzialności” uzupełnia się o następujące postanowienie:</w:t>
            </w:r>
          </w:p>
        </w:tc>
      </w:tr>
    </w:tbl>
    <w:p w14:paraId="443F5FF0" w14:textId="3EE63A16" w:rsidR="00374E8C" w:rsidRPr="004D7362" w:rsidRDefault="002237A3" w:rsidP="00122A75">
      <w:pPr>
        <w:ind w:left="1080" w:hanging="360"/>
      </w:pPr>
      <w:r>
        <w:rPr>
          <w:b/>
          <w:bCs/>
        </w:rPr>
        <w:t>e.</w:t>
      </w:r>
      <w:r>
        <w:rPr>
          <w:b/>
          <w:bCs/>
        </w:rPr>
        <w:tab/>
        <w:t>Zakres stosowania.</w:t>
      </w:r>
      <w:r w:rsidR="002463A8">
        <w:t xml:space="preserve"> </w:t>
      </w:r>
      <w:r>
        <w:t>O ile postanowienia zawarte w niniejszym punkcie wyraźnie nie stanowią inaczej, ograniczenia i wyłączenia odpowiedzialności z tytułu szkód przewidziane niniejszą umową (w tym jakąkolwiek Umową Uzupełniającą) mają zastosowanie niezależnie od tego, czy odpowiedzialność wynika z naruszenia umowy, czynów niedozwolonych, naruszenia zobowiązań wynikających z gwarancji lub rękojmi bądź innej podstawy prawnej.</w:t>
      </w:r>
    </w:p>
    <w:sectPr w:rsidR="00374E8C" w:rsidRPr="004D7362"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D62DC1" w14:textId="77777777" w:rsidR="009D3121" w:rsidRDefault="009D3121" w:rsidP="00135BAF">
      <w:pPr>
        <w:spacing w:before="0"/>
      </w:pPr>
      <w:r>
        <w:separator/>
      </w:r>
    </w:p>
  </w:endnote>
  <w:endnote w:type="continuationSeparator" w:id="0">
    <w:p w14:paraId="45E9A6B0" w14:textId="77777777" w:rsidR="009D3121" w:rsidRDefault="009D3121"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3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5"/>
      <w:gridCol w:w="4485"/>
    </w:tblGrid>
    <w:tr w:rsidR="001B353A" w:rsidRPr="002463A8" w14:paraId="21050F09" w14:textId="77777777" w:rsidTr="003C20F7">
      <w:trPr>
        <w:jc w:val="center"/>
      </w:trPr>
      <w:tc>
        <w:tcPr>
          <w:tcW w:w="4545" w:type="dxa"/>
        </w:tcPr>
        <w:p w14:paraId="60AE3491" w14:textId="77777777" w:rsidR="001B353A" w:rsidRPr="002463A8" w:rsidRDefault="001B353A" w:rsidP="001B353A">
          <w:pPr>
            <w:pStyle w:val="Footer"/>
            <w:rPr>
              <w:rStyle w:val="LogoportDoNotTranslate"/>
              <w:rFonts w:ascii="Arial" w:hAnsi="Arial" w:cs="Arial"/>
              <w:color w:val="auto"/>
              <w:sz w:val="16"/>
              <w:szCs w:val="16"/>
            </w:rPr>
          </w:pPr>
          <w:r w:rsidRPr="002463A8">
            <w:rPr>
              <w:rStyle w:val="LogoportDoNotTranslate"/>
              <w:rFonts w:ascii="Arial" w:hAnsi="Arial" w:cs="Arial"/>
              <w:color w:val="auto"/>
              <w:sz w:val="16"/>
              <w:szCs w:val="16"/>
            </w:rPr>
            <w:t>MBSA20</w:t>
          </w:r>
          <w:r>
            <w:rPr>
              <w:rStyle w:val="LogoportDoNotTranslate"/>
              <w:rFonts w:ascii="Arial" w:hAnsi="Arial" w:cs="Arial"/>
              <w:color w:val="auto"/>
              <w:sz w:val="16"/>
              <w:szCs w:val="16"/>
            </w:rPr>
            <w:t>201</w:t>
          </w:r>
          <w:r w:rsidRPr="002463A8">
            <w:rPr>
              <w:rStyle w:val="LogoportDoNotTranslate"/>
              <w:rFonts w:ascii="Arial" w:hAnsi="Arial" w:cs="Arial"/>
              <w:color w:val="auto"/>
              <w:sz w:val="16"/>
              <w:szCs w:val="16"/>
            </w:rPr>
            <w:t>Agr(CountrySpecificProv)(WW)(</w:t>
          </w:r>
          <w:r>
            <w:rPr>
              <w:rStyle w:val="LogoportDoNotTranslate"/>
              <w:rFonts w:ascii="Arial" w:hAnsi="Arial" w:cs="Arial"/>
              <w:color w:val="auto"/>
              <w:sz w:val="16"/>
              <w:szCs w:val="16"/>
            </w:rPr>
            <w:t>POL</w:t>
          </w:r>
          <w:r w:rsidRPr="002463A8">
            <w:rPr>
              <w:rStyle w:val="LogoportDoNotTranslate"/>
              <w:rFonts w:ascii="Arial" w:hAnsi="Arial" w:cs="Arial"/>
              <w:color w:val="auto"/>
              <w:sz w:val="16"/>
              <w:szCs w:val="16"/>
            </w:rPr>
            <w:t>)(</w:t>
          </w:r>
          <w:r>
            <w:rPr>
              <w:rStyle w:val="LogoportDoNotTranslate"/>
              <w:rFonts w:ascii="Arial" w:hAnsi="Arial" w:cs="Arial"/>
              <w:color w:val="auto"/>
              <w:sz w:val="16"/>
              <w:szCs w:val="16"/>
            </w:rPr>
            <w:t>Oct2019</w:t>
          </w:r>
          <w:r w:rsidRPr="002463A8">
            <w:rPr>
              <w:rStyle w:val="LogoportDoNotTranslate"/>
              <w:rFonts w:ascii="Arial" w:hAnsi="Arial" w:cs="Arial"/>
              <w:color w:val="auto"/>
              <w:sz w:val="16"/>
              <w:szCs w:val="16"/>
            </w:rPr>
            <w:t>)</w:t>
          </w:r>
        </w:p>
      </w:tc>
      <w:tc>
        <w:tcPr>
          <w:tcW w:w="4485" w:type="dxa"/>
        </w:tcPr>
        <w:p w14:paraId="16238063" w14:textId="77777777" w:rsidR="001B353A" w:rsidRPr="002463A8" w:rsidRDefault="001B353A" w:rsidP="001B353A">
          <w:pPr>
            <w:pStyle w:val="Footer"/>
            <w:jc w:val="right"/>
            <w:rPr>
              <w:rStyle w:val="LogoportDoNotTranslate"/>
              <w:rFonts w:ascii="Arial" w:hAnsi="Arial" w:cs="Arial"/>
              <w:color w:val="auto"/>
              <w:sz w:val="16"/>
              <w:szCs w:val="16"/>
            </w:rPr>
          </w:pPr>
          <w:r w:rsidRPr="002463A8">
            <w:rPr>
              <w:rStyle w:val="LogoportDoNotTranslate"/>
              <w:rFonts w:ascii="Arial" w:hAnsi="Arial" w:cs="Arial"/>
              <w:color w:val="auto"/>
              <w:sz w:val="16"/>
              <w:szCs w:val="16"/>
            </w:rPr>
            <w:t xml:space="preserve">Page </w:t>
          </w:r>
          <w:r w:rsidRPr="002463A8">
            <w:rPr>
              <w:rStyle w:val="LogoportDoNotTranslate"/>
              <w:rFonts w:ascii="Arial" w:hAnsi="Arial" w:cs="Arial"/>
              <w:color w:val="auto"/>
              <w:sz w:val="16"/>
              <w:szCs w:val="16"/>
            </w:rPr>
            <w:fldChar w:fldCharType="begin"/>
          </w:r>
          <w:r w:rsidRPr="002463A8">
            <w:rPr>
              <w:rStyle w:val="LogoportDoNotTranslate"/>
              <w:rFonts w:ascii="Arial" w:hAnsi="Arial" w:cs="Arial"/>
              <w:color w:val="auto"/>
              <w:sz w:val="16"/>
              <w:szCs w:val="16"/>
            </w:rPr>
            <w:instrText xml:space="preserve"> PAGE  \* Arabic  \* MERGEFORMAT </w:instrText>
          </w:r>
          <w:r w:rsidRPr="002463A8">
            <w:rPr>
              <w:rStyle w:val="LogoportDoNotTranslate"/>
              <w:rFonts w:ascii="Arial" w:hAnsi="Arial" w:cs="Arial"/>
              <w:color w:val="auto"/>
              <w:sz w:val="16"/>
              <w:szCs w:val="16"/>
            </w:rPr>
            <w:fldChar w:fldCharType="separate"/>
          </w:r>
          <w:r>
            <w:rPr>
              <w:rStyle w:val="LogoportDoNotTranslate"/>
              <w:rFonts w:ascii="Arial" w:hAnsi="Arial" w:cs="Arial"/>
              <w:noProof/>
              <w:color w:val="auto"/>
              <w:sz w:val="16"/>
              <w:szCs w:val="16"/>
            </w:rPr>
            <w:t>1</w:t>
          </w:r>
          <w:r w:rsidRPr="002463A8">
            <w:rPr>
              <w:color w:val="auto"/>
              <w:sz w:val="16"/>
              <w:szCs w:val="16"/>
            </w:rPr>
            <w:fldChar w:fldCharType="end"/>
          </w:r>
          <w:r w:rsidRPr="002463A8">
            <w:rPr>
              <w:rStyle w:val="LogoportDoNotTranslate"/>
              <w:rFonts w:ascii="Arial" w:hAnsi="Arial" w:cs="Arial"/>
              <w:color w:val="auto"/>
              <w:sz w:val="16"/>
              <w:szCs w:val="16"/>
            </w:rPr>
            <w:t xml:space="preserve"> of </w:t>
          </w:r>
          <w:r w:rsidRPr="002463A8">
            <w:rPr>
              <w:rStyle w:val="LogoportDoNotTranslate"/>
              <w:rFonts w:ascii="Arial" w:hAnsi="Arial" w:cs="Arial"/>
              <w:color w:val="auto"/>
              <w:sz w:val="16"/>
              <w:szCs w:val="16"/>
            </w:rPr>
            <w:fldChar w:fldCharType="begin"/>
          </w:r>
          <w:r w:rsidRPr="002463A8">
            <w:rPr>
              <w:rStyle w:val="LogoportDoNotTranslate"/>
              <w:rFonts w:ascii="Arial" w:hAnsi="Arial" w:cs="Arial"/>
              <w:color w:val="auto"/>
              <w:sz w:val="16"/>
              <w:szCs w:val="16"/>
            </w:rPr>
            <w:instrText xml:space="preserve"> NUMPAGES  \* Arabic  \* MERGEFORMAT </w:instrText>
          </w:r>
          <w:r w:rsidRPr="002463A8">
            <w:rPr>
              <w:rStyle w:val="LogoportDoNotTranslate"/>
              <w:rFonts w:ascii="Arial" w:hAnsi="Arial" w:cs="Arial"/>
              <w:color w:val="auto"/>
              <w:sz w:val="16"/>
              <w:szCs w:val="16"/>
            </w:rPr>
            <w:fldChar w:fldCharType="separate"/>
          </w:r>
          <w:r>
            <w:rPr>
              <w:rStyle w:val="LogoportDoNotTranslate"/>
              <w:rFonts w:ascii="Arial" w:hAnsi="Arial" w:cs="Arial"/>
              <w:noProof/>
              <w:color w:val="auto"/>
              <w:sz w:val="16"/>
              <w:szCs w:val="16"/>
            </w:rPr>
            <w:t>11</w:t>
          </w:r>
          <w:r w:rsidRPr="002463A8">
            <w:rPr>
              <w:color w:val="auto"/>
              <w:sz w:val="16"/>
              <w:szCs w:val="16"/>
            </w:rPr>
            <w:fldChar w:fldCharType="end"/>
          </w:r>
        </w:p>
        <w:p w14:paraId="6B01040B" w14:textId="77777777" w:rsidR="001B353A" w:rsidRPr="002463A8" w:rsidRDefault="001B353A" w:rsidP="001B353A">
          <w:pPr>
            <w:pStyle w:val="Footer"/>
            <w:jc w:val="right"/>
            <w:rPr>
              <w:rStyle w:val="LogoportDoNotTranslate"/>
              <w:rFonts w:ascii="Arial" w:hAnsi="Arial" w:cs="Arial"/>
              <w:color w:val="auto"/>
              <w:sz w:val="16"/>
              <w:szCs w:val="16"/>
            </w:rPr>
          </w:pPr>
          <w:r w:rsidRPr="002463A8">
            <w:rPr>
              <w:rStyle w:val="LogoportDoNotTranslate"/>
              <w:rFonts w:ascii="Arial" w:hAnsi="Arial" w:cs="Arial"/>
              <w:color w:val="auto"/>
              <w:sz w:val="16"/>
              <w:szCs w:val="16"/>
            </w:rPr>
            <w:t>Document X20-100</w:t>
          </w:r>
          <w:r>
            <w:rPr>
              <w:rStyle w:val="LogoportDoNotTranslate"/>
              <w:rFonts w:ascii="Arial" w:hAnsi="Arial" w:cs="Arial"/>
              <w:color w:val="auto"/>
              <w:sz w:val="16"/>
              <w:szCs w:val="16"/>
            </w:rPr>
            <w:t>10</w:t>
          </w:r>
        </w:p>
      </w:tc>
    </w:tr>
  </w:tbl>
  <w:p w14:paraId="5F47CDC7" w14:textId="77777777" w:rsidR="001B353A" w:rsidRPr="00166421" w:rsidRDefault="001B353A" w:rsidP="00166421">
    <w:pPr>
      <w:pStyle w:val="Footer"/>
      <w:rPr>
        <w:rStyle w:val="LogoportDoNotTranslate"/>
        <w:rFonts w:ascii="Arial" w:hAnsi="Arial" w:cs="Arial"/>
        <w:color w:val="000000"/>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3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5"/>
      <w:gridCol w:w="4485"/>
    </w:tblGrid>
    <w:tr w:rsidR="002463A8" w:rsidRPr="002463A8" w14:paraId="63667B3E" w14:textId="77777777" w:rsidTr="00166421">
      <w:trPr>
        <w:jc w:val="center"/>
      </w:trPr>
      <w:tc>
        <w:tcPr>
          <w:tcW w:w="4545" w:type="dxa"/>
        </w:tcPr>
        <w:p w14:paraId="4226D501" w14:textId="6F0FA675" w:rsidR="00135BAF" w:rsidRPr="002463A8" w:rsidRDefault="002052C3" w:rsidP="002463A8">
          <w:pPr>
            <w:pStyle w:val="Footer"/>
            <w:rPr>
              <w:rStyle w:val="LogoportDoNotTranslate"/>
              <w:rFonts w:ascii="Arial" w:hAnsi="Arial" w:cs="Arial"/>
              <w:color w:val="auto"/>
              <w:sz w:val="16"/>
              <w:szCs w:val="16"/>
            </w:rPr>
          </w:pPr>
          <w:r w:rsidRPr="002463A8">
            <w:rPr>
              <w:rStyle w:val="LogoportDoNotTranslate"/>
              <w:rFonts w:ascii="Arial" w:hAnsi="Arial" w:cs="Arial"/>
              <w:color w:val="auto"/>
              <w:sz w:val="16"/>
              <w:szCs w:val="16"/>
            </w:rPr>
            <w:t>MBSA20</w:t>
          </w:r>
          <w:r w:rsidR="001B353A">
            <w:rPr>
              <w:rStyle w:val="LogoportDoNotTranslate"/>
              <w:rFonts w:ascii="Arial" w:hAnsi="Arial" w:cs="Arial"/>
              <w:color w:val="auto"/>
              <w:sz w:val="16"/>
              <w:szCs w:val="16"/>
            </w:rPr>
            <w:t>201</w:t>
          </w:r>
          <w:r w:rsidRPr="002463A8">
            <w:rPr>
              <w:rStyle w:val="LogoportDoNotTranslate"/>
              <w:rFonts w:ascii="Arial" w:hAnsi="Arial" w:cs="Arial"/>
              <w:color w:val="auto"/>
              <w:sz w:val="16"/>
              <w:szCs w:val="16"/>
            </w:rPr>
            <w:t>Agr(CountrySpecificProv)(WW)(</w:t>
          </w:r>
          <w:r w:rsidR="002463A8">
            <w:rPr>
              <w:rStyle w:val="LogoportDoNotTranslate"/>
              <w:rFonts w:ascii="Arial" w:hAnsi="Arial" w:cs="Arial"/>
              <w:color w:val="auto"/>
              <w:sz w:val="16"/>
              <w:szCs w:val="16"/>
            </w:rPr>
            <w:t>POL</w:t>
          </w:r>
          <w:r w:rsidRPr="002463A8">
            <w:rPr>
              <w:rStyle w:val="LogoportDoNotTranslate"/>
              <w:rFonts w:ascii="Arial" w:hAnsi="Arial" w:cs="Arial"/>
              <w:color w:val="auto"/>
              <w:sz w:val="16"/>
              <w:szCs w:val="16"/>
            </w:rPr>
            <w:t>)(</w:t>
          </w:r>
          <w:r w:rsidR="001B353A">
            <w:rPr>
              <w:rStyle w:val="LogoportDoNotTranslate"/>
              <w:rFonts w:ascii="Arial" w:hAnsi="Arial" w:cs="Arial"/>
              <w:color w:val="auto"/>
              <w:sz w:val="16"/>
              <w:szCs w:val="16"/>
            </w:rPr>
            <w:t>Oct2019</w:t>
          </w:r>
          <w:r w:rsidRPr="002463A8">
            <w:rPr>
              <w:rStyle w:val="LogoportDoNotTranslate"/>
              <w:rFonts w:ascii="Arial" w:hAnsi="Arial" w:cs="Arial"/>
              <w:color w:val="auto"/>
              <w:sz w:val="16"/>
              <w:szCs w:val="16"/>
            </w:rPr>
            <w:t>)</w:t>
          </w:r>
        </w:p>
      </w:tc>
      <w:tc>
        <w:tcPr>
          <w:tcW w:w="4485" w:type="dxa"/>
        </w:tcPr>
        <w:p w14:paraId="45331270" w14:textId="687D1A1D" w:rsidR="00135BAF" w:rsidRPr="002463A8" w:rsidRDefault="00135BAF" w:rsidP="00135BAF">
          <w:pPr>
            <w:pStyle w:val="Footer"/>
            <w:jc w:val="right"/>
            <w:rPr>
              <w:rStyle w:val="LogoportDoNotTranslate"/>
              <w:rFonts w:ascii="Arial" w:hAnsi="Arial" w:cs="Arial"/>
              <w:color w:val="auto"/>
              <w:sz w:val="16"/>
              <w:szCs w:val="16"/>
            </w:rPr>
          </w:pPr>
          <w:r w:rsidRPr="002463A8">
            <w:rPr>
              <w:rStyle w:val="LogoportDoNotTranslate"/>
              <w:rFonts w:ascii="Arial" w:hAnsi="Arial" w:cs="Arial"/>
              <w:color w:val="auto"/>
              <w:sz w:val="16"/>
              <w:szCs w:val="16"/>
            </w:rPr>
            <w:t xml:space="preserve">Page </w:t>
          </w:r>
          <w:r w:rsidRPr="002463A8">
            <w:rPr>
              <w:rStyle w:val="LogoportDoNotTranslate"/>
              <w:rFonts w:ascii="Arial" w:hAnsi="Arial" w:cs="Arial"/>
              <w:color w:val="auto"/>
              <w:sz w:val="16"/>
              <w:szCs w:val="16"/>
            </w:rPr>
            <w:fldChar w:fldCharType="begin"/>
          </w:r>
          <w:r w:rsidRPr="002463A8">
            <w:rPr>
              <w:rStyle w:val="LogoportDoNotTranslate"/>
              <w:rFonts w:ascii="Arial" w:hAnsi="Arial" w:cs="Arial"/>
              <w:color w:val="auto"/>
              <w:sz w:val="16"/>
              <w:szCs w:val="16"/>
            </w:rPr>
            <w:instrText xml:space="preserve"> PAGE  \* Arabic  \* MERGEFORMAT </w:instrText>
          </w:r>
          <w:r w:rsidRPr="002463A8">
            <w:rPr>
              <w:rStyle w:val="LogoportDoNotTranslate"/>
              <w:rFonts w:ascii="Arial" w:hAnsi="Arial" w:cs="Arial"/>
              <w:color w:val="auto"/>
              <w:sz w:val="16"/>
              <w:szCs w:val="16"/>
            </w:rPr>
            <w:fldChar w:fldCharType="separate"/>
          </w:r>
          <w:r w:rsidR="00F6118B">
            <w:rPr>
              <w:rStyle w:val="LogoportDoNotTranslate"/>
              <w:rFonts w:ascii="Arial" w:hAnsi="Arial" w:cs="Arial"/>
              <w:noProof/>
              <w:color w:val="auto"/>
              <w:sz w:val="16"/>
              <w:szCs w:val="16"/>
            </w:rPr>
            <w:t>1</w:t>
          </w:r>
          <w:r w:rsidRPr="002463A8">
            <w:rPr>
              <w:color w:val="auto"/>
              <w:sz w:val="16"/>
              <w:szCs w:val="16"/>
            </w:rPr>
            <w:fldChar w:fldCharType="end"/>
          </w:r>
          <w:r w:rsidRPr="002463A8">
            <w:rPr>
              <w:rStyle w:val="LogoportDoNotTranslate"/>
              <w:rFonts w:ascii="Arial" w:hAnsi="Arial" w:cs="Arial"/>
              <w:color w:val="auto"/>
              <w:sz w:val="16"/>
              <w:szCs w:val="16"/>
            </w:rPr>
            <w:t xml:space="preserve"> of </w:t>
          </w:r>
          <w:r w:rsidRPr="002463A8">
            <w:rPr>
              <w:rStyle w:val="LogoportDoNotTranslate"/>
              <w:rFonts w:ascii="Arial" w:hAnsi="Arial" w:cs="Arial"/>
              <w:color w:val="auto"/>
              <w:sz w:val="16"/>
              <w:szCs w:val="16"/>
            </w:rPr>
            <w:fldChar w:fldCharType="begin"/>
          </w:r>
          <w:r w:rsidRPr="002463A8">
            <w:rPr>
              <w:rStyle w:val="LogoportDoNotTranslate"/>
              <w:rFonts w:ascii="Arial" w:hAnsi="Arial" w:cs="Arial"/>
              <w:color w:val="auto"/>
              <w:sz w:val="16"/>
              <w:szCs w:val="16"/>
            </w:rPr>
            <w:instrText xml:space="preserve"> NUMPAGES  \* Arabic  \* MERGEFORMAT </w:instrText>
          </w:r>
          <w:r w:rsidRPr="002463A8">
            <w:rPr>
              <w:rStyle w:val="LogoportDoNotTranslate"/>
              <w:rFonts w:ascii="Arial" w:hAnsi="Arial" w:cs="Arial"/>
              <w:color w:val="auto"/>
              <w:sz w:val="16"/>
              <w:szCs w:val="16"/>
            </w:rPr>
            <w:fldChar w:fldCharType="separate"/>
          </w:r>
          <w:r w:rsidR="00F6118B">
            <w:rPr>
              <w:rStyle w:val="LogoportDoNotTranslate"/>
              <w:rFonts w:ascii="Arial" w:hAnsi="Arial" w:cs="Arial"/>
              <w:noProof/>
              <w:color w:val="auto"/>
              <w:sz w:val="16"/>
              <w:szCs w:val="16"/>
            </w:rPr>
            <w:t>11</w:t>
          </w:r>
          <w:r w:rsidRPr="002463A8">
            <w:rPr>
              <w:color w:val="auto"/>
              <w:sz w:val="16"/>
              <w:szCs w:val="16"/>
            </w:rPr>
            <w:fldChar w:fldCharType="end"/>
          </w:r>
        </w:p>
        <w:p w14:paraId="66C6603A" w14:textId="06BB7B10" w:rsidR="009C38C5" w:rsidRPr="002463A8" w:rsidRDefault="009C38C5" w:rsidP="00135BAF">
          <w:pPr>
            <w:pStyle w:val="Footer"/>
            <w:jc w:val="right"/>
            <w:rPr>
              <w:rStyle w:val="LogoportDoNotTranslate"/>
              <w:rFonts w:ascii="Arial" w:hAnsi="Arial" w:cs="Arial"/>
              <w:color w:val="auto"/>
              <w:sz w:val="16"/>
              <w:szCs w:val="16"/>
            </w:rPr>
          </w:pPr>
          <w:r w:rsidRPr="002463A8">
            <w:rPr>
              <w:rStyle w:val="LogoportDoNotTranslate"/>
              <w:rFonts w:ascii="Arial" w:hAnsi="Arial" w:cs="Arial"/>
              <w:color w:val="auto"/>
              <w:sz w:val="16"/>
              <w:szCs w:val="16"/>
            </w:rPr>
            <w:t>Document X20-100</w:t>
          </w:r>
          <w:r w:rsidR="001B353A">
            <w:rPr>
              <w:rStyle w:val="LogoportDoNotTranslate"/>
              <w:rFonts w:ascii="Arial" w:hAnsi="Arial" w:cs="Arial"/>
              <w:color w:val="auto"/>
              <w:sz w:val="16"/>
              <w:szCs w:val="16"/>
            </w:rPr>
            <w:t>10</w:t>
          </w:r>
        </w:p>
      </w:tc>
    </w:tr>
  </w:tbl>
  <w:p w14:paraId="16B8469B" w14:textId="77777777" w:rsidR="00135BAF" w:rsidRPr="002463A8" w:rsidRDefault="00135BAF">
    <w:pPr>
      <w:pStyle w:val="Footer"/>
      <w:rPr>
        <w:rStyle w:val="LogoportDoNotTranslate"/>
        <w:rFonts w:ascii="Arial" w:hAnsi="Arial" w:cs="Arial"/>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7A0017" w14:textId="77777777" w:rsidR="009D3121" w:rsidRDefault="009D3121" w:rsidP="00135BAF">
      <w:pPr>
        <w:spacing w:before="0"/>
      </w:pPr>
      <w:r>
        <w:separator/>
      </w:r>
    </w:p>
  </w:footnote>
  <w:footnote w:type="continuationSeparator" w:id="0">
    <w:p w14:paraId="7EED3B8E" w14:textId="77777777" w:rsidR="009D3121" w:rsidRDefault="009D3121"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9D3121">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9D3121">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9D3121"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en-US" w:bidi="th-TH"/>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83830"/>
    <w:rsid w:val="000C754A"/>
    <w:rsid w:val="00122A75"/>
    <w:rsid w:val="00135BAF"/>
    <w:rsid w:val="001660A7"/>
    <w:rsid w:val="00166421"/>
    <w:rsid w:val="001858E7"/>
    <w:rsid w:val="001B353A"/>
    <w:rsid w:val="001E5325"/>
    <w:rsid w:val="002052C3"/>
    <w:rsid w:val="002237A3"/>
    <w:rsid w:val="002300A0"/>
    <w:rsid w:val="0024259A"/>
    <w:rsid w:val="002463A8"/>
    <w:rsid w:val="002B614E"/>
    <w:rsid w:val="002D193A"/>
    <w:rsid w:val="002F4512"/>
    <w:rsid w:val="00305E25"/>
    <w:rsid w:val="00312FCA"/>
    <w:rsid w:val="00346127"/>
    <w:rsid w:val="00374E8C"/>
    <w:rsid w:val="00381575"/>
    <w:rsid w:val="0038410A"/>
    <w:rsid w:val="003D11D6"/>
    <w:rsid w:val="003F68F6"/>
    <w:rsid w:val="00404D8A"/>
    <w:rsid w:val="0045633F"/>
    <w:rsid w:val="004A24C7"/>
    <w:rsid w:val="004D7362"/>
    <w:rsid w:val="00512626"/>
    <w:rsid w:val="00512CB6"/>
    <w:rsid w:val="00515B2A"/>
    <w:rsid w:val="005534D9"/>
    <w:rsid w:val="00556312"/>
    <w:rsid w:val="005634F2"/>
    <w:rsid w:val="005A0CAB"/>
    <w:rsid w:val="005D2685"/>
    <w:rsid w:val="005E272E"/>
    <w:rsid w:val="00640CCA"/>
    <w:rsid w:val="00641E1F"/>
    <w:rsid w:val="00665288"/>
    <w:rsid w:val="006738DF"/>
    <w:rsid w:val="00691A1E"/>
    <w:rsid w:val="00792A9C"/>
    <w:rsid w:val="007C458C"/>
    <w:rsid w:val="007E13EA"/>
    <w:rsid w:val="007E5E82"/>
    <w:rsid w:val="00835503"/>
    <w:rsid w:val="0085590C"/>
    <w:rsid w:val="00873C81"/>
    <w:rsid w:val="0088333F"/>
    <w:rsid w:val="00885A8A"/>
    <w:rsid w:val="00887D20"/>
    <w:rsid w:val="0089029D"/>
    <w:rsid w:val="008B4B9A"/>
    <w:rsid w:val="008C225D"/>
    <w:rsid w:val="008C7230"/>
    <w:rsid w:val="008E1EF9"/>
    <w:rsid w:val="008F1A68"/>
    <w:rsid w:val="00924DE4"/>
    <w:rsid w:val="009649F1"/>
    <w:rsid w:val="00967E5E"/>
    <w:rsid w:val="00997BDF"/>
    <w:rsid w:val="009A26C4"/>
    <w:rsid w:val="009C38C5"/>
    <w:rsid w:val="009D3121"/>
    <w:rsid w:val="009E0B19"/>
    <w:rsid w:val="00A00EDE"/>
    <w:rsid w:val="00A12BB1"/>
    <w:rsid w:val="00A25F2E"/>
    <w:rsid w:val="00A356F2"/>
    <w:rsid w:val="00AA6021"/>
    <w:rsid w:val="00AB47E6"/>
    <w:rsid w:val="00AB7196"/>
    <w:rsid w:val="00B1406A"/>
    <w:rsid w:val="00B34105"/>
    <w:rsid w:val="00B471C1"/>
    <w:rsid w:val="00B74597"/>
    <w:rsid w:val="00BC2241"/>
    <w:rsid w:val="00BC390A"/>
    <w:rsid w:val="00BE678E"/>
    <w:rsid w:val="00C36C80"/>
    <w:rsid w:val="00C7130E"/>
    <w:rsid w:val="00CA4254"/>
    <w:rsid w:val="00CE28EC"/>
    <w:rsid w:val="00D16A2D"/>
    <w:rsid w:val="00D5280E"/>
    <w:rsid w:val="00D92D70"/>
    <w:rsid w:val="00D95884"/>
    <w:rsid w:val="00E12B1A"/>
    <w:rsid w:val="00E74A34"/>
    <w:rsid w:val="00ED5580"/>
    <w:rsid w:val="00EF3013"/>
    <w:rsid w:val="00F3569F"/>
    <w:rsid w:val="00F6118B"/>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0FDAA83E-3E85-4831-9522-F085B5BA2A69}"/>
  <w:documentProtection w:edit="forms" w:enforcement="true" w:cryptProviderType="rsaFull" w:cryptAlgorithmClass="hash" w:cryptAlgorithmType="typeAny" w:cryptAlgorithmSid="4" w:cryptSpinCount="50000" w:hash="xq1os/HiGlzllPx3rHwkzhltrNs=" w:salt="zN9v26w/RTRApSJKpu6Al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659326B-3541-4E7C-B2F6-63C700BFA2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TotalTime>
  <Pages>10</Pages>
  <Words>5087</Words>
  <Characters>29001</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30</cp:revision>
  <cp:lastPrinted>2016-07-26T15:58:00Z</cp:lastPrinted>
  <dcterms:created xsi:type="dcterms:W3CDTF">2015-05-15T21:45:00Z</dcterms:created>
  <dcterms:modified xsi:type="dcterms:W3CDTF">2019-10-01T22:26:00Z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