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79F986" w14:textId="77098B36" w:rsidR="00374E8C" w:rsidRPr="004D7362" w:rsidRDefault="00374E8C" w:rsidP="003B1452">
      <w:pPr>
        <w:spacing w:before="240"/>
        <w:jc w:val="left"/>
      </w:pPr>
      <w:bookmarkStart w:id="0" w:name="_Toc261346423"/>
      <w:r>
        <w:rPr>
          <w:sz w:val="32"/>
          <w:szCs w:val="32"/>
        </w:rPr>
        <w:t>Disposições Específicas a cada País</w:t>
      </w:r>
    </w:p>
    <w:p w14:paraId="576679B2" w14:textId="106BD5E2" w:rsidR="00374E8C" w:rsidRPr="004D7362" w:rsidRDefault="00374E8C" w:rsidP="00374E8C">
      <w:pPr>
        <w:spacing w:before="360"/>
      </w:pPr>
      <w:r>
        <w:t>As disposições específicas a cada país a seguir substituirão ou complementarão as disposições equivalentes no Microsoft Business and Services Agreement, conforme indicado:</w:t>
      </w:r>
    </w:p>
    <w:p w14:paraId="115790C9" w14:textId="567FA0AD" w:rsidR="00374E8C" w:rsidRPr="004D7362" w:rsidRDefault="00374E8C" w:rsidP="00404D8A">
      <w:pPr>
        <w:pStyle w:val="Heading1"/>
        <w:numPr>
          <w:ilvl w:val="0"/>
          <w:numId w:val="30"/>
        </w:numPr>
        <w:spacing w:after="0"/>
        <w:ind w:hanging="720"/>
      </w:pPr>
      <w:r>
        <w:rPr>
          <w:rFonts w:cs="Arial"/>
        </w:rPr>
        <w:t>Disposições específicas para cada País determinadas pelo local.</w:t>
      </w:r>
      <w:bookmarkEnd w:id="0"/>
    </w:p>
    <w:p w14:paraId="675A30CE" w14:textId="491FB839" w:rsidR="00374E8C" w:rsidRPr="004D7362" w:rsidRDefault="00374E8C" w:rsidP="00374E8C">
      <w:r>
        <w:t>Para Clientes localizados em qualquer um dos países identificados nesta seção 1, as disposições específicas de cada país substituirão ou complementarão as disposições equivalentes conforme mencionado:</w:t>
      </w:r>
    </w:p>
    <w:p w14:paraId="0A0F3B1C" w14:textId="77777777" w:rsidR="00374E8C" w:rsidRPr="009515DA" w:rsidRDefault="00374E8C" w:rsidP="00374E8C">
      <w:pPr>
        <w:keepNext/>
        <w:shd w:val="clear" w:color="auto" w:fill="000000"/>
        <w:spacing w:after="120"/>
        <w:rPr>
          <w:color w:val="FFFFFF" w:themeColor="background1"/>
        </w:rPr>
      </w:pPr>
      <w:r>
        <w:rPr>
          <w:b/>
          <w:bCs/>
          <w:color w:val="FFFFFF"/>
        </w:rPr>
        <w:t>Austrália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E7FF6D0" w14:textId="77777777" w:rsidTr="00E53ABB">
        <w:trPr>
          <w:jc w:val="center"/>
        </w:trPr>
        <w:tc>
          <w:tcPr>
            <w:tcW w:w="9029" w:type="dxa"/>
            <w:shd w:val="clear" w:color="auto" w:fill="C6D9F1"/>
          </w:tcPr>
          <w:p w14:paraId="055B66B6" w14:textId="20701F8C" w:rsidR="00374E8C" w:rsidRPr="00B471C1" w:rsidRDefault="00374E8C" w:rsidP="00374E8C">
            <w:pPr>
              <w:spacing w:after="120"/>
              <w:ind w:left="86" w:right="86"/>
              <w:rPr>
                <w:b/>
                <w:bCs/>
              </w:rPr>
            </w:pPr>
            <w:r>
              <w:rPr>
                <w:b/>
                <w:bCs/>
              </w:rPr>
              <w:t xml:space="preserve">Complementar a Seção intitulada </w:t>
            </w:r>
            <w:r w:rsidR="00D64DB4">
              <w:rPr>
                <w:b/>
                <w:bCs/>
              </w:rPr>
              <w:t>“</w:t>
            </w:r>
            <w:r>
              <w:rPr>
                <w:b/>
                <w:bCs/>
              </w:rPr>
              <w:t>Garantias</w:t>
            </w:r>
            <w:r w:rsidR="00D64DB4">
              <w:rPr>
                <w:b/>
                <w:bCs/>
              </w:rPr>
              <w:t>”</w:t>
            </w:r>
            <w:r>
              <w:rPr>
                <w:b/>
                <w:bCs/>
              </w:rPr>
              <w:t xml:space="preserve"> com o seguinte:</w:t>
            </w:r>
          </w:p>
        </w:tc>
      </w:tr>
    </w:tbl>
    <w:p w14:paraId="2E2C40DC" w14:textId="05FE5506" w:rsidR="00374E8C" w:rsidRPr="004D7362" w:rsidRDefault="00374E8C" w:rsidP="00374E8C">
      <w:pPr>
        <w:spacing w:after="240"/>
        <w:ind w:left="1080" w:hanging="360"/>
      </w:pPr>
      <w:r>
        <w:rPr>
          <w:b/>
          <w:bCs/>
        </w:rPr>
        <w:t>d.</w:t>
      </w:r>
      <w:r>
        <w:rPr>
          <w:b/>
          <w:bCs/>
        </w:rPr>
        <w:tab/>
        <w:t>Recursos do consumidor.</w:t>
      </w:r>
      <w:r w:rsidR="004F12FC">
        <w:t xml:space="preserve"> </w:t>
      </w:r>
      <w:r>
        <w:t>Não obstante qualquer disposição neste contrato (ou qualquer Contrato Complementar), os clientes poderão ter o benefício de certos direitos ou recursos conforme estabelecido pelo Competition and Consumer Act 2010 (Cth) e pelas leis estaduais ou territoriais semelhantes na Austrália, em virtude do que a obrigação não poderá ser excluída. Nesse caso, no limite máximo permitido por lei, tal obrigação, a critério da Microsoft, na hipótese de mercadorias, se limitará: (1) à substituição das mercadorias ou (2) ao conserto das falhas das mercadorias e, na hipótese de Serviços Profissionais: (1) a refazer os Serviços Profissionais ou (2) ao custo de refazer os Serviços Profissionais.</w:t>
      </w:r>
      <w:r w:rsidR="004F12FC">
        <w:t xml:space="preserve"> </w:t>
      </w:r>
      <w:r>
        <w:t>A lei australiana exige que notifiquemos os compradores de mercadorias da Microsoft que: Nossas mercadorias vêm com garantias que não podem ser excluídas mediante a Lei de Consumo Australiana. Você está qualificado para uma substituição ou um reembolso por uma falha significativa e compensação por qualquer outra perda ou dano razoavelmente previsível. Você também está qualificado para ter as mercadorias reparadas ou substituídas se elas não tiverem uma qualidade aceitável e se a falha não representar uma falha significativa.</w:t>
      </w:r>
    </w:p>
    <w:p w14:paraId="074C11C2" w14:textId="0BA5FBA6" w:rsidR="00374E8C" w:rsidRPr="00D64DB4" w:rsidRDefault="00374E8C" w:rsidP="00374E8C">
      <w:pPr>
        <w:keepNext/>
        <w:shd w:val="clear" w:color="auto" w:fill="000000"/>
        <w:spacing w:before="360" w:after="120"/>
        <w:rPr>
          <w:color w:val="FFFFFF" w:themeColor="background1"/>
        </w:rPr>
      </w:pPr>
      <w:r>
        <w:rPr>
          <w:b/>
          <w:bCs/>
          <w:color w:val="FFFFFF"/>
        </w:rPr>
        <w:t>Bangladesh, Índia, Indonésia, Myanmar, República Popular da China, Filipinas, Sri Lanka, Tailândia e Vietnã.</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4157CFFE" w14:textId="77777777" w:rsidTr="00E53ABB">
        <w:trPr>
          <w:jc w:val="center"/>
        </w:trPr>
        <w:tc>
          <w:tcPr>
            <w:tcW w:w="9243" w:type="dxa"/>
            <w:shd w:val="clear" w:color="auto" w:fill="C6D9F1"/>
          </w:tcPr>
          <w:p w14:paraId="0C52035D" w14:textId="3E66FF7F" w:rsidR="00374E8C" w:rsidRPr="00B471C1" w:rsidRDefault="00374E8C" w:rsidP="00305E25">
            <w:pPr>
              <w:keepNext/>
              <w:spacing w:after="120"/>
              <w:ind w:left="86" w:right="86"/>
              <w:rPr>
                <w:b/>
                <w:bCs/>
              </w:rPr>
            </w:pPr>
            <w:r>
              <w:rPr>
                <w:b/>
                <w:bCs/>
              </w:rPr>
              <w:t xml:space="preserve">Substituir a subseção intitulada </w:t>
            </w:r>
            <w:r w:rsidR="00D64DB4">
              <w:rPr>
                <w:b/>
                <w:bCs/>
              </w:rPr>
              <w:t>“</w:t>
            </w:r>
            <w:r>
              <w:rPr>
                <w:b/>
                <w:bCs/>
              </w:rPr>
              <w:t>Solução de controvérsias</w:t>
            </w:r>
            <w:r w:rsidR="00D64DB4">
              <w:rPr>
                <w:b/>
                <w:bCs/>
              </w:rPr>
              <w:t>”</w:t>
            </w:r>
            <w:r>
              <w:rPr>
                <w:b/>
                <w:bCs/>
              </w:rPr>
              <w:t xml:space="preserve"> pelo seguinte:</w:t>
            </w:r>
          </w:p>
        </w:tc>
      </w:tr>
    </w:tbl>
    <w:p w14:paraId="60D30881" w14:textId="34E14B1B" w:rsidR="00374E8C" w:rsidRPr="004D7362" w:rsidRDefault="00374E8C" w:rsidP="00B471C1">
      <w:pPr>
        <w:ind w:left="1080"/>
      </w:pPr>
      <w:r>
        <w:rPr>
          <w:b/>
          <w:bCs/>
        </w:rPr>
        <w:t>Solução de controvérsias.</w:t>
      </w:r>
      <w:r w:rsidR="004F12FC">
        <w:rPr>
          <w:b/>
          <w:bCs/>
        </w:rPr>
        <w:t xml:space="preserve"> </w:t>
      </w:r>
      <w:r>
        <w:rPr>
          <w:bCs/>
        </w:rPr>
        <w:t>Ao ingressar com medida judicial de acordo com este contrato em qualquer um dos países listados acima (incluindo qualquer outro contrato que incorpore estes termos), as partes concordam que a ação finalmente será resolvida por uma arbitragem de acordo com os termos desta seção.</w:t>
      </w:r>
      <w:r w:rsidR="004F12FC">
        <w:rPr>
          <w:b/>
          <w:bCs/>
        </w:rPr>
        <w:t xml:space="preserve"> </w:t>
      </w:r>
      <w:r>
        <w:t>A decisão do árbitro deverá ser final, obrigatória e incontestável, e pode ser usada como base para decisão judicial nos países relacionados acima ou em outro lugar.</w:t>
      </w:r>
      <w:r w:rsidR="004F12FC">
        <w:t xml:space="preserve"> </w:t>
      </w:r>
      <w:r>
        <w:t>No limite máximo permitido pela lei aplicável, as partes renunciam ao direito de promover qualquer tipo de recurso perante qualquer juízo.</w:t>
      </w:r>
      <w:r w:rsidR="004F12FC">
        <w:t xml:space="preserve"> </w:t>
      </w:r>
      <w:r>
        <w:t>Essas escolhas de foro não impedem que ambas as partes ingressem com medida cautelar em relação a uma violação de direitos de propriedade intelectual ou obrigações de confidencialidade em qualquer jurisdição apropriada.</w:t>
      </w:r>
      <w:r w:rsidR="004F12FC">
        <w:t xml:space="preserve"> </w:t>
      </w:r>
      <w:r>
        <w:t>O idioma da arbitragem deverá ser o inglês.</w:t>
      </w:r>
      <w:r w:rsidR="004F12FC">
        <w:t xml:space="preserve"> </w:t>
      </w:r>
      <w:r>
        <w:t>Além disso, os seguintes termos se aplicam aos países listados abaixo.</w:t>
      </w:r>
    </w:p>
    <w:p w14:paraId="1AFA36C6" w14:textId="13D32551" w:rsidR="00374E8C" w:rsidRPr="004D7362" w:rsidRDefault="00374E8C" w:rsidP="00374E8C">
      <w:pPr>
        <w:ind w:left="1080"/>
      </w:pPr>
      <w:r>
        <w:rPr>
          <w:b/>
          <w:bCs/>
        </w:rPr>
        <w:t>Bangladesh, Indonésia, Sri Lanka, Tailândia e Vietnã.</w:t>
      </w:r>
      <w:r w:rsidR="004F12FC">
        <w:t xml:space="preserve"> </w:t>
      </w:r>
      <w:r>
        <w:t>Qualquer controvérsia originada ou relacionada a este contrato (incluindo qualquer Contrato Complementar), incluindo qualquer questão relacionada à sua existência, validade ou rescisão, deverá ser submetida e resolvida pela arbitragem em Cingapura de acordo com as Regras de Arbitragem do Centro de Arbitragem Internacional de Cingapura (Singapore International Arbitration Centre) (</w:t>
      </w:r>
      <w:r w:rsidR="00D64DB4">
        <w:t>“</w:t>
      </w:r>
      <w:r>
        <w:t>SIAC</w:t>
      </w:r>
      <w:r w:rsidR="00D64DB4">
        <w:t>”</w:t>
      </w:r>
      <w:r>
        <w:t>), que são consideradas incorporadas a esta seção por referência.</w:t>
      </w:r>
      <w:r w:rsidR="004F12FC">
        <w:t xml:space="preserve"> </w:t>
      </w:r>
      <w:r>
        <w:t>O Tribunal deve consistir de um árbitro a ser designado pelo Presidente do SIAC.</w:t>
      </w:r>
      <w:r w:rsidR="004F12FC">
        <w:t xml:space="preserve"> </w:t>
      </w:r>
      <w:r>
        <w:rPr>
          <w:bCs/>
        </w:rPr>
        <w:t>Os p</w:t>
      </w:r>
      <w:r>
        <w:t>rocessos de arbitragem serão conduzidos em inglês.</w:t>
      </w:r>
    </w:p>
    <w:p w14:paraId="0C1411B7" w14:textId="144D4C89" w:rsidR="00374E8C" w:rsidRPr="004D7362" w:rsidRDefault="00374E8C" w:rsidP="00374E8C">
      <w:pPr>
        <w:ind w:left="1080"/>
      </w:pPr>
      <w:r>
        <w:rPr>
          <w:b/>
        </w:rPr>
        <w:lastRenderedPageBreak/>
        <w:t>Índia.</w:t>
      </w:r>
      <w:r w:rsidR="004F12FC">
        <w:t xml:space="preserve"> </w:t>
      </w:r>
      <w:r>
        <w:t>A arbitragem deverá estar de acordo com as Regras de Arbitragem do Centro de Arbitragem Internacional de Cingapura (Singapore International Arbitration Centre) (</w:t>
      </w:r>
      <w:r w:rsidR="00D64DB4">
        <w:t>“</w:t>
      </w:r>
      <w:r>
        <w:t>SIAC</w:t>
      </w:r>
      <w:r w:rsidR="00D64DB4">
        <w:t>”</w:t>
      </w:r>
      <w:r>
        <w:t>), cujas regras são consideradas incorporadas por referência nesta subseção. O Tribunal deve consistir de um árbitro a ser designado pelo Presidente do SIAC. O idioma da arbitragem será o inglês, e a sede deverá ser Cingapura.</w:t>
      </w:r>
      <w:r w:rsidR="004F12FC">
        <w:t xml:space="preserve"> </w:t>
      </w:r>
      <w:r>
        <w:t>A decisão do árbitro será definitiva e vinculante.</w:t>
      </w:r>
      <w:r w:rsidR="004F12FC">
        <w:t xml:space="preserve"> </w:t>
      </w:r>
      <w:r>
        <w:t>Os tribunais de Nova Délhi deverão ter jurisdição exclusiva para processar qualquer ação relacionada à execução da sentença e/ou para a concessão de qualquer proteção temporária.</w:t>
      </w:r>
    </w:p>
    <w:p w14:paraId="78F84D67" w14:textId="454728DD" w:rsidR="00374E8C" w:rsidRPr="004D7362" w:rsidRDefault="00374E8C" w:rsidP="00374E8C">
      <w:pPr>
        <w:ind w:left="1080"/>
      </w:pPr>
      <w:r>
        <w:rPr>
          <w:b/>
        </w:rPr>
        <w:t>República Popular da China (</w:t>
      </w:r>
      <w:r w:rsidR="00D64DB4">
        <w:rPr>
          <w:b/>
        </w:rPr>
        <w:t>“</w:t>
      </w:r>
      <w:r>
        <w:rPr>
          <w:b/>
        </w:rPr>
        <w:t>PRC</w:t>
      </w:r>
      <w:r w:rsidR="00D64DB4">
        <w:rPr>
          <w:b/>
        </w:rPr>
        <w:t>”</w:t>
      </w:r>
      <w:r>
        <w:rPr>
          <w:b/>
        </w:rPr>
        <w:t>).</w:t>
      </w:r>
      <w:r w:rsidR="004F12FC">
        <w:rPr>
          <w:b/>
        </w:rPr>
        <w:t xml:space="preserve"> </w:t>
      </w:r>
      <w:r>
        <w:t>Qualquer controvérsia originada ou relacionada a este contrato (incluindo qualquer Contrato Complementar), incluindo qualquer questão relacionada à sua existência, validade ou rescisão, deverá ser submetida à arbitragem vinculante na Comissão Internacional de Arbitragem Econômica e Comercial da China em Beijing (</w:t>
      </w:r>
      <w:r w:rsidR="00D64DB4">
        <w:t>“</w:t>
      </w:r>
      <w:r>
        <w:t>CIETAC</w:t>
      </w:r>
      <w:r w:rsidR="00D64DB4">
        <w:t>”</w:t>
      </w:r>
      <w:r>
        <w:t>) de acordo com as regras em vigor na ocasião.</w:t>
      </w:r>
    </w:p>
    <w:p w14:paraId="68BE63E6" w14:textId="6686A258" w:rsidR="00374E8C" w:rsidRPr="004D7362" w:rsidRDefault="00374E8C" w:rsidP="00374E8C">
      <w:pPr>
        <w:ind w:left="1080"/>
      </w:pPr>
      <w:r>
        <w:rPr>
          <w:b/>
        </w:rPr>
        <w:t>Filipinas.</w:t>
      </w:r>
      <w:r w:rsidR="004F12FC">
        <w:t xml:space="preserve"> </w:t>
      </w:r>
      <w:r>
        <w:t>Qualquer controvérsia originada ou relacionada a este contrato ou a qualquer Contrato Complementar, incluindo qualquer questão relacionada à sua existência, validade ou rescisão, deverá ser submetida e definitivamente resolvida por arbitragem em Cingapura de acordo com as Regras de Arbitragem do Centro de Arbitragem Internacional de Cingapura (Singapore International Arbitration Centre) (</w:t>
      </w:r>
      <w:r w:rsidR="00D64DB4">
        <w:t>“</w:t>
      </w:r>
      <w:r>
        <w:t>SIAC</w:t>
      </w:r>
      <w:r w:rsidR="00D64DB4">
        <w:t>”</w:t>
      </w:r>
      <w:r>
        <w:t>), que são consideradas incorporadas a esta seção por referência.</w:t>
      </w:r>
      <w:r w:rsidR="004F12FC">
        <w:t xml:space="preserve"> </w:t>
      </w:r>
      <w:r>
        <w:t>O Tribunal deve consistir de um árbitro a ser designado pelo Presidente do SIAC.</w:t>
      </w:r>
    </w:p>
    <w:p w14:paraId="6B0B5594" w14:textId="4966821F" w:rsidR="00374E8C" w:rsidRPr="004D7362" w:rsidRDefault="00374E8C" w:rsidP="00374E8C">
      <w:pPr>
        <w:ind w:left="1080"/>
      </w:pPr>
      <w:r>
        <w:t>Qualquer disputa que surgir de ou tiver ligação com alguma Declaração de Serviços, incluindo qualquer questão relacionada à sua existência, validade ou término de vigência, deverá ser resolvida pela arbitragem de acordo com as Regras de Arbitragem UNCITRAL em vigor na data da questão.</w:t>
      </w:r>
      <w:r w:rsidR="004F12FC">
        <w:t xml:space="preserve"> </w:t>
      </w:r>
      <w:r>
        <w:t>O foro da arbitragem será em Cingapura.</w:t>
      </w:r>
      <w:r w:rsidR="004F12FC">
        <w:t xml:space="preserve"> </w:t>
      </w:r>
      <w:r>
        <w:rPr>
          <w:bCs/>
        </w:rPr>
        <w:t>Os p</w:t>
      </w:r>
      <w:r>
        <w:t>rocessos de arbitragem serão conduzidos em inglês.</w:t>
      </w:r>
    </w:p>
    <w:p w14:paraId="2CDF059A" w14:textId="1A585166" w:rsidR="00374E8C" w:rsidRPr="004D7362" w:rsidRDefault="00374E8C" w:rsidP="008F70E7">
      <w:pPr>
        <w:keepNext/>
        <w:shd w:val="clear" w:color="auto" w:fill="000000"/>
        <w:tabs>
          <w:tab w:val="left" w:pos="3882"/>
        </w:tabs>
        <w:spacing w:before="360" w:after="120"/>
      </w:pPr>
      <w:r>
        <w:rPr>
          <w:b/>
          <w:bCs/>
          <w:color w:val="FFFFFF"/>
        </w:rPr>
        <w:t>Bangladesh, Indonésia e Sri Lanka.</w:t>
      </w:r>
      <w:r w:rsidR="008F70E7" w:rsidRPr="008F70E7">
        <w:rPr>
          <w:color w:val="FFFFFF" w:themeColor="background1"/>
        </w:rPr>
        <w:tab/>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69B07100" w14:textId="77777777" w:rsidTr="000C754A">
        <w:trPr>
          <w:jc w:val="center"/>
        </w:trPr>
        <w:tc>
          <w:tcPr>
            <w:tcW w:w="9029" w:type="dxa"/>
            <w:shd w:val="clear" w:color="auto" w:fill="C6D9F1"/>
          </w:tcPr>
          <w:p w14:paraId="02E6C216" w14:textId="174A8D94" w:rsidR="00374E8C" w:rsidRPr="00B471C1" w:rsidRDefault="00374E8C" w:rsidP="000C754A">
            <w:pPr>
              <w:keepNext/>
              <w:spacing w:after="120"/>
              <w:ind w:left="86" w:right="86"/>
              <w:rPr>
                <w:b/>
                <w:bCs/>
              </w:rPr>
            </w:pPr>
            <w:r>
              <w:rPr>
                <w:b/>
                <w:bCs/>
              </w:rPr>
              <w:t xml:space="preserve">Substituir a terceira sentença da subseção intitulada </w:t>
            </w:r>
            <w:r w:rsidR="00D64DB4">
              <w:rPr>
                <w:b/>
                <w:bCs/>
              </w:rPr>
              <w:t>“</w:t>
            </w:r>
            <w:r>
              <w:rPr>
                <w:b/>
                <w:bCs/>
              </w:rPr>
              <w:t>Lei aplicável</w:t>
            </w:r>
            <w:r w:rsidR="00D64DB4">
              <w:rPr>
                <w:b/>
                <w:bCs/>
              </w:rPr>
              <w:t>”</w:t>
            </w:r>
            <w:r>
              <w:rPr>
                <w:b/>
                <w:bCs/>
              </w:rPr>
              <w:t xml:space="preserve"> pelo seguinte:</w:t>
            </w:r>
          </w:p>
        </w:tc>
      </w:tr>
    </w:tbl>
    <w:p w14:paraId="30EBF0E2" w14:textId="7E118FF0" w:rsidR="00374E8C" w:rsidRPr="004D7362" w:rsidRDefault="000C754A" w:rsidP="00374E8C">
      <w:r>
        <w:t>Qualquer controvérsia decorrente da ou em relação aos Serviços Profissionais será regida pelas leis de Cingapura.</w:t>
      </w:r>
    </w:p>
    <w:p w14:paraId="6684DD73" w14:textId="77777777" w:rsidR="00374E8C" w:rsidRPr="00EE0E8A" w:rsidRDefault="00374E8C" w:rsidP="00374E8C">
      <w:pPr>
        <w:keepNext/>
        <w:shd w:val="clear" w:color="auto" w:fill="000000"/>
        <w:spacing w:before="360" w:after="120"/>
        <w:rPr>
          <w:color w:val="FFFFFF" w:themeColor="background1"/>
        </w:rPr>
      </w:pPr>
      <w:r>
        <w:rPr>
          <w:b/>
          <w:bCs/>
          <w:color w:val="FFFFFF"/>
        </w:rPr>
        <w:t>Índia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66B8AD67" w14:textId="77777777" w:rsidTr="00E53ABB">
        <w:trPr>
          <w:jc w:val="center"/>
        </w:trPr>
        <w:tc>
          <w:tcPr>
            <w:tcW w:w="9029" w:type="dxa"/>
            <w:shd w:val="clear" w:color="auto" w:fill="C6D9F1"/>
          </w:tcPr>
          <w:p w14:paraId="12306C55" w14:textId="5BB76F9F" w:rsidR="00374E8C" w:rsidRPr="00B471C1" w:rsidRDefault="00374E8C" w:rsidP="008F1A68">
            <w:pPr>
              <w:keepNext/>
              <w:spacing w:after="120"/>
              <w:ind w:left="86" w:right="86"/>
              <w:rPr>
                <w:b/>
                <w:bCs/>
              </w:rPr>
            </w:pPr>
            <w:r>
              <w:rPr>
                <w:b/>
                <w:bCs/>
              </w:rPr>
              <w:t xml:space="preserve">Substituir a primeira sentença da subseção intitulada </w:t>
            </w:r>
            <w:r w:rsidR="00D64DB4">
              <w:rPr>
                <w:b/>
                <w:bCs/>
              </w:rPr>
              <w:t>“</w:t>
            </w:r>
            <w:r>
              <w:rPr>
                <w:b/>
                <w:bCs/>
              </w:rPr>
              <w:t>Lei aplicável</w:t>
            </w:r>
            <w:r w:rsidR="00D64DB4">
              <w:rPr>
                <w:b/>
                <w:bCs/>
              </w:rPr>
              <w:t>”</w:t>
            </w:r>
            <w:r>
              <w:rPr>
                <w:b/>
                <w:bCs/>
              </w:rPr>
              <w:t xml:space="preserve"> pelo seguinte:</w:t>
            </w:r>
          </w:p>
        </w:tc>
      </w:tr>
    </w:tbl>
    <w:p w14:paraId="55E12EEB" w14:textId="5FA1D9B9" w:rsidR="00374E8C" w:rsidRPr="004D7362" w:rsidRDefault="00374E8C" w:rsidP="00374E8C">
      <w:r>
        <w:t>Os termos de cada Contrato Complementar celebrado com qualquer Afiliada Microsoft localizada na Índia serão regidos e interpretados de acordo com as leis da Índia.</w:t>
      </w:r>
    </w:p>
    <w:p w14:paraId="3AD1D9CB" w14:textId="77777777" w:rsidR="00374E8C" w:rsidRPr="00EE0E8A" w:rsidRDefault="00374E8C" w:rsidP="00374E8C">
      <w:pPr>
        <w:keepNext/>
        <w:shd w:val="clear" w:color="auto" w:fill="000000"/>
        <w:spacing w:before="360" w:after="120"/>
        <w:rPr>
          <w:color w:val="FFFFFF" w:themeColor="background1"/>
        </w:rPr>
      </w:pPr>
      <w:r>
        <w:rPr>
          <w:b/>
          <w:bCs/>
          <w:color w:val="FFFFFF"/>
        </w:rPr>
        <w:t>Japão</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FA1DACC" w14:textId="77777777" w:rsidTr="00E53ABB">
        <w:trPr>
          <w:jc w:val="center"/>
        </w:trPr>
        <w:tc>
          <w:tcPr>
            <w:tcW w:w="9029" w:type="dxa"/>
            <w:shd w:val="clear" w:color="auto" w:fill="C6D9F1"/>
          </w:tcPr>
          <w:p w14:paraId="0A4F4F4C" w14:textId="22682A30" w:rsidR="00374E8C" w:rsidRPr="00B471C1" w:rsidRDefault="00374E8C" w:rsidP="00BE678E">
            <w:pPr>
              <w:spacing w:after="120"/>
              <w:ind w:left="86" w:right="86"/>
              <w:rPr>
                <w:b/>
                <w:bCs/>
              </w:rPr>
            </w:pPr>
            <w:r>
              <w:rPr>
                <w:b/>
                <w:bCs/>
              </w:rPr>
              <w:t xml:space="preserve">Substituir a URL identificada na Seção intitulada </w:t>
            </w:r>
            <w:r w:rsidR="00D64DB4">
              <w:rPr>
                <w:b/>
                <w:bCs/>
              </w:rPr>
              <w:t>“</w:t>
            </w:r>
            <w:r>
              <w:rPr>
                <w:b/>
                <w:bCs/>
              </w:rPr>
              <w:t>Definições</w:t>
            </w:r>
            <w:r w:rsidR="00D64DB4">
              <w:rPr>
                <w:b/>
                <w:bCs/>
              </w:rPr>
              <w:t>”</w:t>
            </w:r>
            <w:r>
              <w:rPr>
                <w:b/>
                <w:bCs/>
              </w:rPr>
              <w:t xml:space="preserve"> na definição de Site de Licenciamento por Volume pelo seguinte:</w:t>
            </w:r>
          </w:p>
        </w:tc>
      </w:tr>
    </w:tbl>
    <w:p w14:paraId="1F5382D4" w14:textId="7C72D245" w:rsidR="00374E8C" w:rsidRPr="004D7362" w:rsidRDefault="00DF2744" w:rsidP="00374E8C">
      <w:pPr>
        <w:spacing w:after="240"/>
      </w:pPr>
      <w:hyperlink r:id="rId11" w:history="1">
        <w:r w:rsidR="00C36C80">
          <w:rPr>
            <w:rStyle w:val="Hyperlink"/>
          </w:rPr>
          <w:t>http://www.microsoft.com/japan/licensing/product.mspx</w:t>
        </w:r>
      </w:hyperlink>
      <w:r w:rsidR="00C36C80">
        <w:rPr>
          <w:color w:val="0000FF"/>
        </w:rPr>
        <w:t>.</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D5280E" w:rsidRPr="00B471C1" w14:paraId="7DFE2B22" w14:textId="77777777" w:rsidTr="00360ABF">
        <w:trPr>
          <w:jc w:val="center"/>
        </w:trPr>
        <w:tc>
          <w:tcPr>
            <w:tcW w:w="9029" w:type="dxa"/>
            <w:shd w:val="clear" w:color="auto" w:fill="C6D9F1"/>
          </w:tcPr>
          <w:p w14:paraId="555376B7" w14:textId="47DD9D95" w:rsidR="00D5280E" w:rsidRPr="00B471C1" w:rsidRDefault="00D5280E" w:rsidP="00360ABF">
            <w:pPr>
              <w:spacing w:after="120"/>
              <w:ind w:left="86" w:right="86"/>
              <w:rPr>
                <w:b/>
                <w:bCs/>
              </w:rPr>
            </w:pPr>
            <w:r>
              <w:rPr>
                <w:b/>
                <w:bCs/>
              </w:rPr>
              <w:t xml:space="preserve">Substituir a subseção intitulada </w:t>
            </w:r>
            <w:r w:rsidR="00D64DB4">
              <w:rPr>
                <w:b/>
                <w:bCs/>
              </w:rPr>
              <w:t>“</w:t>
            </w:r>
            <w:r>
              <w:rPr>
                <w:b/>
                <w:bCs/>
              </w:rPr>
              <w:t>Lei aplicável</w:t>
            </w:r>
            <w:r w:rsidR="00D64DB4">
              <w:rPr>
                <w:b/>
                <w:bCs/>
              </w:rPr>
              <w:t>”</w:t>
            </w:r>
            <w:r>
              <w:rPr>
                <w:b/>
                <w:bCs/>
              </w:rPr>
              <w:t xml:space="preserve"> pelo seguinte:</w:t>
            </w:r>
          </w:p>
        </w:tc>
      </w:tr>
    </w:tbl>
    <w:p w14:paraId="1AC9C3B2" w14:textId="31FE1CE7" w:rsidR="00D5280E" w:rsidRPr="004D7362" w:rsidRDefault="00D5280E" w:rsidP="00D5280E">
      <w:pPr>
        <w:spacing w:after="240"/>
      </w:pPr>
      <w:r>
        <w:t>Os termos de cada Contrato Complementar ou Declaração de Serviços serão regidos e interpretados de acordo com as leis do Japão. A Convenção das Nações Unidas sobre os Contratos de Compra e Venda Internacional de Mercadorias e seus instrumentos relacionados não será aplicável neste contrato.</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1D33B3F" w14:textId="77777777" w:rsidTr="00E53ABB">
        <w:trPr>
          <w:jc w:val="center"/>
        </w:trPr>
        <w:tc>
          <w:tcPr>
            <w:tcW w:w="9029" w:type="dxa"/>
            <w:shd w:val="clear" w:color="auto" w:fill="C6D9F1"/>
          </w:tcPr>
          <w:p w14:paraId="61CEB3C3" w14:textId="0ECFEAC3" w:rsidR="00374E8C" w:rsidRPr="00B471C1" w:rsidRDefault="00374E8C" w:rsidP="003B1452">
            <w:pPr>
              <w:keepNext/>
              <w:spacing w:after="120"/>
              <w:ind w:left="86" w:right="86"/>
              <w:rPr>
                <w:b/>
                <w:bCs/>
              </w:rPr>
            </w:pPr>
            <w:r>
              <w:rPr>
                <w:b/>
                <w:bCs/>
              </w:rPr>
              <w:lastRenderedPageBreak/>
              <w:t xml:space="preserve">Substituir a subseção intitulada </w:t>
            </w:r>
            <w:r w:rsidR="00D64DB4">
              <w:rPr>
                <w:b/>
                <w:bCs/>
              </w:rPr>
              <w:t>“</w:t>
            </w:r>
            <w:r>
              <w:rPr>
                <w:b/>
                <w:bCs/>
              </w:rPr>
              <w:t>Solução de controvérsias</w:t>
            </w:r>
            <w:r w:rsidR="00D64DB4">
              <w:rPr>
                <w:b/>
                <w:bCs/>
              </w:rPr>
              <w:t>”</w:t>
            </w:r>
            <w:r>
              <w:rPr>
                <w:b/>
                <w:bCs/>
              </w:rPr>
              <w:t xml:space="preserve"> pelo seguinte:</w:t>
            </w:r>
          </w:p>
        </w:tc>
      </w:tr>
    </w:tbl>
    <w:p w14:paraId="2F94BFF2" w14:textId="565FF041" w:rsidR="00374E8C" w:rsidRPr="004D7362" w:rsidRDefault="00374E8C" w:rsidP="00374E8C">
      <w:pPr>
        <w:spacing w:after="240"/>
      </w:pPr>
      <w:r>
        <w:rPr>
          <w:color w:val="auto"/>
        </w:rPr>
        <w:t>Qualquer controvérsia originada ou relacionada a este contrato (incluindo qualquer Contrato Complementar ou Declaração de Serviços que incorpore esses termos), incluindo qualquer questão relacionada a existência, validade ou rescisão, estará sujeita à jurisdição do Tribunal do Distrito de Tóquio.</w:t>
      </w:r>
      <w:r w:rsidR="004F12FC">
        <w:rPr>
          <w:color w:val="auto"/>
        </w:rPr>
        <w:t xml:space="preserve"> </w:t>
      </w:r>
      <w:r>
        <w:t>Esse foro de eleição não impede que ambas as partes ingressem com medida cautelar em relação a uma violação de direitos de propriedade intelectual ou obrigações de confidencialidade, em qualquer jurisdição apropriada.</w:t>
      </w:r>
    </w:p>
    <w:p w14:paraId="26DAF03A" w14:textId="2D3B96D9" w:rsidR="00374E8C" w:rsidRPr="00EE0E8A" w:rsidRDefault="00374E8C" w:rsidP="00D5280E">
      <w:pPr>
        <w:keepNext/>
        <w:shd w:val="clear" w:color="auto" w:fill="000000"/>
        <w:spacing w:before="360" w:after="120"/>
        <w:rPr>
          <w:color w:val="FFFFFF" w:themeColor="background1"/>
        </w:rPr>
      </w:pPr>
      <w:r w:rsidRPr="00EE0E8A">
        <w:rPr>
          <w:b/>
          <w:bCs/>
          <w:color w:val="FFFFFF" w:themeColor="background1"/>
        </w:rPr>
        <w:t>Nova Zelândia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7C3A344" w14:textId="77777777" w:rsidTr="00E53ABB">
        <w:trPr>
          <w:jc w:val="center"/>
        </w:trPr>
        <w:tc>
          <w:tcPr>
            <w:tcW w:w="9029" w:type="dxa"/>
            <w:shd w:val="clear" w:color="auto" w:fill="C6D9F1"/>
          </w:tcPr>
          <w:p w14:paraId="383EAEC6" w14:textId="4C135548" w:rsidR="00374E8C" w:rsidRPr="00B471C1" w:rsidRDefault="00374E8C" w:rsidP="00374E8C">
            <w:pPr>
              <w:keepNext/>
              <w:spacing w:after="120"/>
              <w:ind w:left="86" w:right="86"/>
              <w:rPr>
                <w:b/>
                <w:bCs/>
              </w:rPr>
            </w:pPr>
            <w:r>
              <w:rPr>
                <w:b/>
                <w:bCs/>
              </w:rPr>
              <w:t xml:space="preserve">Complementar a Seção intitulada </w:t>
            </w:r>
            <w:r w:rsidR="00D64DB4">
              <w:rPr>
                <w:b/>
                <w:bCs/>
              </w:rPr>
              <w:t>“</w:t>
            </w:r>
            <w:r>
              <w:rPr>
                <w:b/>
                <w:bCs/>
              </w:rPr>
              <w:t>Disposições Gerais</w:t>
            </w:r>
            <w:r w:rsidR="00D64DB4">
              <w:rPr>
                <w:b/>
                <w:bCs/>
              </w:rPr>
              <w:t>”</w:t>
            </w:r>
            <w:r>
              <w:rPr>
                <w:b/>
                <w:bCs/>
              </w:rPr>
              <w:t xml:space="preserve"> com o seguinte:</w:t>
            </w:r>
          </w:p>
        </w:tc>
      </w:tr>
    </w:tbl>
    <w:p w14:paraId="075B5088" w14:textId="2B038510" w:rsidR="00374E8C" w:rsidRPr="004D7362" w:rsidRDefault="0089029D" w:rsidP="00374E8C">
      <w:pPr>
        <w:ind w:left="1080" w:hanging="360"/>
      </w:pPr>
      <w:r>
        <w:rPr>
          <w:b/>
          <w:bCs/>
        </w:rPr>
        <w:t>o.</w:t>
      </w:r>
      <w:r>
        <w:rPr>
          <w:b/>
          <w:bCs/>
        </w:rPr>
        <w:tab/>
        <w:t>Responsabilidade legal.</w:t>
      </w:r>
    </w:p>
    <w:p w14:paraId="552D294D" w14:textId="6B2BDF20" w:rsidR="00374E8C" w:rsidRPr="004D7362" w:rsidRDefault="00374E8C" w:rsidP="00374E8C">
      <w:pPr>
        <w:pStyle w:val="ListParagraph"/>
        <w:numPr>
          <w:ilvl w:val="0"/>
          <w:numId w:val="27"/>
        </w:numPr>
        <w:ind w:left="1440"/>
        <w:contextualSpacing w:val="0"/>
      </w:pPr>
      <w:r>
        <w:rPr>
          <w:b/>
          <w:bCs/>
        </w:rPr>
        <w:t>Comercial.</w:t>
      </w:r>
      <w:r w:rsidR="004F12FC">
        <w:rPr>
          <w:b/>
          <w:bCs/>
        </w:rPr>
        <w:t xml:space="preserve"> </w:t>
      </w:r>
      <w:r>
        <w:rPr>
          <w:bCs/>
        </w:rPr>
        <w:t>Nos casos em que a Microsoft atuar como fornecedora (conforme a definição da Lei de Direitos do Consumidor (New Zealand's Consumer Guarantees Act) (</w:t>
      </w:r>
      <w:r w:rsidR="00D64DB4">
        <w:rPr>
          <w:bCs/>
        </w:rPr>
        <w:t>“</w:t>
      </w:r>
      <w:r>
        <w:rPr>
          <w:bCs/>
        </w:rPr>
        <w:t>CGA</w:t>
      </w:r>
      <w:r w:rsidR="00D64DB4">
        <w:rPr>
          <w:bCs/>
        </w:rPr>
        <w:t>”</w:t>
      </w:r>
      <w:r>
        <w:rPr>
          <w:bCs/>
        </w:rPr>
        <w:t>)</w:t>
      </w:r>
      <w:r w:rsidR="00BF1141">
        <w:rPr>
          <w:bCs/>
        </w:rPr>
        <w:t>)</w:t>
      </w:r>
      <w:r>
        <w:rPr>
          <w:bCs/>
        </w:rPr>
        <w:t xml:space="preserve"> de Produtos ou Serviços Profissionais, o Cliente confirma que os Produtos ou Serviços Profissionais fornecidos pela Microsoft sob um Contrato Complementar ou Declaração de Serviços foram adquiridos com objetivo comercial (conforme definição na CGA) e o Cliente concorda que a CGA não será aplicável aos Produtos ou Serviços Profissionais fornecidos pela Microsoft.</w:t>
      </w:r>
    </w:p>
    <w:p w14:paraId="40965C25" w14:textId="0301E9CC" w:rsidR="00374E8C" w:rsidRPr="004D7362" w:rsidRDefault="00374E8C" w:rsidP="00374E8C">
      <w:pPr>
        <w:pStyle w:val="ListParagraph"/>
        <w:numPr>
          <w:ilvl w:val="0"/>
          <w:numId w:val="27"/>
        </w:numPr>
        <w:ind w:left="1440"/>
        <w:contextualSpacing w:val="0"/>
      </w:pPr>
      <w:r>
        <w:rPr>
          <w:b/>
          <w:bCs/>
        </w:rPr>
        <w:t>Consumidores.</w:t>
      </w:r>
      <w:r w:rsidR="004F12FC">
        <w:rPr>
          <w:b/>
          <w:bCs/>
        </w:rPr>
        <w:t xml:space="preserve"> </w:t>
      </w:r>
      <w:r>
        <w:rPr>
          <w:bCs/>
        </w:rPr>
        <w:t xml:space="preserve">Nenhuma disposição do presente contrato (ou qualquer Contrato Complementar ou Declaração de Serviços que incorpore esses termos) visa restringir os direitos de um </w:t>
      </w:r>
      <w:r w:rsidR="00D64DB4">
        <w:rPr>
          <w:bCs/>
        </w:rPr>
        <w:t>“</w:t>
      </w:r>
      <w:r>
        <w:rPr>
          <w:bCs/>
        </w:rPr>
        <w:t>consumidor</w:t>
      </w:r>
      <w:r w:rsidR="00D64DB4">
        <w:rPr>
          <w:bCs/>
        </w:rPr>
        <w:t>”</w:t>
      </w:r>
      <w:r>
        <w:rPr>
          <w:bCs/>
        </w:rPr>
        <w:t xml:space="preserve"> sob o CGA ao qual se aplica essa Lei, exceto na medida expressamente permitida por essa Lei, e os termos deste contrato devem ser alterados de forma a dar eficácia a essa intenção.</w:t>
      </w:r>
    </w:p>
    <w:p w14:paraId="3D5A0F35" w14:textId="49345239" w:rsidR="00374E8C" w:rsidRPr="004D7362" w:rsidRDefault="00374E8C" w:rsidP="00404D8A">
      <w:pPr>
        <w:pStyle w:val="Heading1"/>
        <w:numPr>
          <w:ilvl w:val="0"/>
          <w:numId w:val="30"/>
        </w:numPr>
        <w:spacing w:after="0"/>
        <w:ind w:hanging="720"/>
      </w:pPr>
      <w:bookmarkStart w:id="1" w:name="_Toc261346424"/>
      <w:r>
        <w:rPr>
          <w:rFonts w:cs="Arial"/>
        </w:rPr>
        <w:t>Disposições específicas para cada País determinadas pela lei aplicável.</w:t>
      </w:r>
      <w:bookmarkEnd w:id="1"/>
    </w:p>
    <w:p w14:paraId="3E12C8B3" w14:textId="66E2E9C8" w:rsidR="00374E8C" w:rsidRPr="004D7362" w:rsidRDefault="00374E8C" w:rsidP="003B1452">
      <w:r>
        <w:t>Em qualquer caso em que a lei de qualquer uma das jurisdições citadas abaixo se aplicar de acordo com os termos do contrato ou por determinação de um tribunal, as seguintes disposições específicas de cada país substituirão ou complementarão as disposições equivalentes conforme mencionado:</w:t>
      </w:r>
    </w:p>
    <w:p w14:paraId="61910AFA" w14:textId="77777777" w:rsidR="00374E8C" w:rsidRPr="00EE0E8A" w:rsidRDefault="00374E8C" w:rsidP="003B1452">
      <w:pPr>
        <w:keepNext/>
        <w:shd w:val="clear" w:color="auto" w:fill="000000"/>
        <w:spacing w:after="120"/>
        <w:rPr>
          <w:color w:val="FFFFFF" w:themeColor="background1"/>
        </w:rPr>
      </w:pPr>
      <w:r>
        <w:rPr>
          <w:b/>
          <w:bCs/>
          <w:color w:val="FFFFFF"/>
        </w:rPr>
        <w:t>Áustria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A98832C" w14:textId="77777777" w:rsidTr="00E53ABB">
        <w:trPr>
          <w:jc w:val="center"/>
        </w:trPr>
        <w:tc>
          <w:tcPr>
            <w:tcW w:w="9029" w:type="dxa"/>
            <w:shd w:val="clear" w:color="auto" w:fill="C6D9F1"/>
          </w:tcPr>
          <w:p w14:paraId="145EF98E" w14:textId="7AD7615C" w:rsidR="00374E8C" w:rsidRPr="00B471C1" w:rsidRDefault="00374E8C" w:rsidP="00BC2241">
            <w:pPr>
              <w:keepNext/>
              <w:spacing w:after="120"/>
              <w:ind w:left="86" w:right="86"/>
              <w:rPr>
                <w:b/>
                <w:bCs/>
              </w:rPr>
            </w:pPr>
            <w:r>
              <w:rPr>
                <w:b/>
                <w:bCs/>
              </w:rPr>
              <w:t xml:space="preserve">Complementar a Seção intitulada </w:t>
            </w:r>
            <w:r w:rsidR="00D64DB4">
              <w:rPr>
                <w:b/>
                <w:bCs/>
              </w:rPr>
              <w:t>“</w:t>
            </w:r>
            <w:r>
              <w:rPr>
                <w:b/>
                <w:bCs/>
              </w:rPr>
              <w:t>Garantias</w:t>
            </w:r>
            <w:r w:rsidR="00D64DB4">
              <w:rPr>
                <w:b/>
                <w:bCs/>
              </w:rPr>
              <w:t>”</w:t>
            </w:r>
            <w:r>
              <w:rPr>
                <w:b/>
                <w:bCs/>
              </w:rPr>
              <w:t xml:space="preserve"> com o seguinte:</w:t>
            </w:r>
          </w:p>
        </w:tc>
      </w:tr>
    </w:tbl>
    <w:p w14:paraId="67ECE681" w14:textId="3E6E8959" w:rsidR="00374E8C" w:rsidRPr="004D7362" w:rsidRDefault="00374E8C" w:rsidP="002052C3">
      <w:pPr>
        <w:pStyle w:val="ListParagraph"/>
        <w:numPr>
          <w:ilvl w:val="0"/>
          <w:numId w:val="53"/>
        </w:numPr>
        <w:ind w:left="1080"/>
      </w:pPr>
      <w:r>
        <w:rPr>
          <w:b/>
          <w:bCs/>
        </w:rPr>
        <w:t>Características Acordadas; Reclamações devido a Defeitos de qualidade e Defeitos de titularidade.</w:t>
      </w:r>
      <w:r w:rsidR="004F12FC">
        <w:t xml:space="preserve"> </w:t>
      </w:r>
      <w:r>
        <w:t xml:space="preserve">Na medida em que a Microsoft for obrigada a fornecer um bem móvel ainda a ser produzido (herzustellende, bewegliche Sache) ou na medida em que seus Serviços Profissionais forem, excepcionalmente, considerados execuções de trabalho (Werkleistungen), as disposições </w:t>
      </w:r>
      <w:r w:rsidR="00D64DB4">
        <w:t>“</w:t>
      </w:r>
      <w:r>
        <w:t>d.</w:t>
      </w:r>
      <w:r w:rsidR="00D64DB4">
        <w:t>”</w:t>
      </w:r>
      <w:r>
        <w:t xml:space="preserve"> a </w:t>
      </w:r>
      <w:r w:rsidR="00D64DB4">
        <w:t>“</w:t>
      </w:r>
      <w:r>
        <w:t>i.</w:t>
      </w:r>
      <w:r w:rsidR="00D64DB4">
        <w:t>”</w:t>
      </w:r>
      <w:r>
        <w:t xml:space="preserve"> desta seção serão aplicáveis aos requerimentos judiciais ou extrajudiciais decorrentes de falhas de qualidade ou de titularidade de direito (coletivamente denominadas </w:t>
      </w:r>
      <w:r w:rsidR="00D64DB4">
        <w:t>“</w:t>
      </w:r>
      <w:r>
        <w:t>Falhas</w:t>
      </w:r>
      <w:r w:rsidR="00D64DB4">
        <w:t>”</w:t>
      </w:r>
      <w:r>
        <w:t xml:space="preserve">), mas não serão aplicáveis se os requerimentos judiciais ou extrajudiciais forem motivados por danos ou reembolso de despesas. As disposições da seção intitulada </w:t>
      </w:r>
      <w:r w:rsidR="00D64DB4">
        <w:t>“</w:t>
      </w:r>
      <w:r>
        <w:t>Limitação de Responsabilidade</w:t>
      </w:r>
      <w:r w:rsidR="00D64DB4">
        <w:t xml:space="preserve">” </w:t>
      </w:r>
      <w:r>
        <w:t>devem ser aplicáveis a pedidos de indenização por danos ou despesas resultantes de Defeitos.</w:t>
      </w:r>
    </w:p>
    <w:p w14:paraId="0653D38F" w14:textId="79B69728" w:rsidR="00374E8C" w:rsidRPr="004D7362" w:rsidRDefault="00374E8C" w:rsidP="002052C3">
      <w:pPr>
        <w:pStyle w:val="ListParagraph"/>
        <w:numPr>
          <w:ilvl w:val="0"/>
          <w:numId w:val="53"/>
        </w:numPr>
        <w:ind w:left="1080"/>
        <w:contextualSpacing w:val="0"/>
      </w:pPr>
      <w:r>
        <w:rPr>
          <w:b/>
          <w:bCs/>
        </w:rPr>
        <w:t>Garantia em caso de não divulgação de alguma Falha resultante de má-fé.</w:t>
      </w:r>
      <w:r w:rsidR="004F12FC">
        <w:t xml:space="preserve"> </w:t>
      </w:r>
      <w:r>
        <w:t>Os direitos do Cliente e sua respectiva expiração serão determinados exclusivamente de acordo com a legislação aplicável na eventualidade de não divulgação de alguma Falha resultante de má-fé (arglistiges Verschweigen).</w:t>
      </w:r>
    </w:p>
    <w:p w14:paraId="58E7CF9E" w14:textId="4664B808" w:rsidR="00374E8C" w:rsidRPr="004D7362" w:rsidRDefault="00374E8C" w:rsidP="002052C3">
      <w:pPr>
        <w:pStyle w:val="ListParagraph"/>
        <w:numPr>
          <w:ilvl w:val="0"/>
          <w:numId w:val="53"/>
        </w:numPr>
        <w:ind w:left="1080"/>
        <w:contextualSpacing w:val="0"/>
      </w:pPr>
      <w:r>
        <w:rPr>
          <w:b/>
          <w:bCs/>
        </w:rPr>
        <w:t>Características Específicas do Software.</w:t>
      </w:r>
      <w:r w:rsidR="004F12FC">
        <w:t xml:space="preserve"> </w:t>
      </w:r>
      <w:r>
        <w:t xml:space="preserve">A Microsoft expressamente informa o Cliente que com a atual tecnologia não é possível desenvolver produtos de software complexos que não apresentem nenhum tipo de defeito técnico. As características especificadas contratualmente (vertragliche Beschaffenheit) para o software a ser fornecido pela </w:t>
      </w:r>
      <w:r>
        <w:lastRenderedPageBreak/>
        <w:t>Microsoft não requerem que o software não apresente nenhum tipo de falha de programação, e sim, meramente que o software não apresente falhas de programação que impeçam materialmente o seu uso.</w:t>
      </w:r>
    </w:p>
    <w:p w14:paraId="5014C2DB" w14:textId="18FF0075" w:rsidR="00374E8C" w:rsidRPr="004D7362" w:rsidRDefault="00374E8C" w:rsidP="002052C3">
      <w:pPr>
        <w:pStyle w:val="ListParagraph"/>
        <w:numPr>
          <w:ilvl w:val="0"/>
          <w:numId w:val="53"/>
        </w:numPr>
        <w:ind w:left="1080"/>
        <w:contextualSpacing w:val="0"/>
      </w:pPr>
      <w:r>
        <w:rPr>
          <w:b/>
          <w:bCs/>
        </w:rPr>
        <w:t>Obrigação de fornecer notificação por escrito sobre alguma Falha.</w:t>
      </w:r>
      <w:r w:rsidR="004F12FC">
        <w:t xml:space="preserve"> </w:t>
      </w:r>
      <w:r>
        <w:t>No limite em que a Microsoft seja requisitada a fornecer bem móvel ainda a ser produzido, o Cliente só poderá fazer qualquer reclamação contra a Microsoft se tiver adequadamente cumprido com suas obrigações em notificar a Microsoft sobre todos os Defeitos de acordo com a cláusula 377 do Código Comercial Austríaco (UGB).</w:t>
      </w:r>
      <w:r w:rsidR="004F12FC">
        <w:t xml:space="preserve"> </w:t>
      </w:r>
      <w:r>
        <w:t>O Consumidor deve enviar notificação por escrito à Microsoft sobre qualquer Falha aparente que encontrar durante sua análise, de acordo com o parágrafo 377 do Código Comercial Austríaco (UGB), imediatamente, mas no máximo em duas semanas após a entrega. O Cliente deve notificar a Microsoft por escrito quanto a qualquer Defeito não aparente imediatamente após a descoberta.</w:t>
      </w:r>
    </w:p>
    <w:p w14:paraId="478418F6" w14:textId="59964AC5" w:rsidR="00374E8C" w:rsidRPr="004D7362" w:rsidRDefault="00374E8C" w:rsidP="002052C3">
      <w:pPr>
        <w:pStyle w:val="ListParagraph"/>
        <w:numPr>
          <w:ilvl w:val="0"/>
          <w:numId w:val="53"/>
        </w:numPr>
        <w:ind w:left="1080"/>
        <w:contextualSpacing w:val="0"/>
      </w:pPr>
      <w:r>
        <w:rPr>
          <w:b/>
          <w:bCs/>
        </w:rPr>
        <w:t>Reembolso por Defeitos não cobertos pela garantia limitada.</w:t>
      </w:r>
      <w:r w:rsidR="004F12FC">
        <w:t xml:space="preserve"> </w:t>
      </w:r>
      <w:r>
        <w:t>Caso a Microsoft prove que não havia nenhuma Falha pela qual fora responsabilizada com base nesta seção, a Microsoft terá o direito de solicitar reembolso de suas despesas, considerando as taxas padrão da Microsoft, incorridas em virtude de suas tentativas de recurso.</w:t>
      </w:r>
    </w:p>
    <w:p w14:paraId="31BE6132" w14:textId="48703F98" w:rsidR="00374E8C" w:rsidRPr="004D7362" w:rsidRDefault="00374E8C" w:rsidP="002052C3">
      <w:pPr>
        <w:pStyle w:val="ListParagraph"/>
        <w:numPr>
          <w:ilvl w:val="0"/>
          <w:numId w:val="53"/>
        </w:numPr>
        <w:spacing w:after="240"/>
        <w:ind w:left="1080"/>
        <w:contextualSpacing w:val="0"/>
      </w:pPr>
      <w:r>
        <w:rPr>
          <w:b/>
          <w:bCs/>
        </w:rPr>
        <w:t>Nenhuma garantia para Falhas causadas por alteração.</w:t>
      </w:r>
      <w:r w:rsidR="004F12FC">
        <w:t xml:space="preserve"> </w:t>
      </w:r>
      <w:r>
        <w:t>O Cliente não poderá fazer nenhum requerimento judicial ou extrajudicial sob esta seção se o Cliente ou terceiros tiverem alterado o bem móvel fornecido, mas ainda não produzido, ou a execução do trabalho sem consentimento da Microsoft, a menos que o Cliente prove que as Falhas em questão não foram causadas por essa alteração.</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708FA4EE" w14:textId="77777777" w:rsidTr="00E53ABB">
        <w:trPr>
          <w:jc w:val="center"/>
        </w:trPr>
        <w:tc>
          <w:tcPr>
            <w:tcW w:w="9029" w:type="dxa"/>
            <w:shd w:val="clear" w:color="auto" w:fill="C6D9F1"/>
          </w:tcPr>
          <w:p w14:paraId="6FA38E1B" w14:textId="000EA1A9" w:rsidR="00374E8C" w:rsidRPr="00B471C1" w:rsidRDefault="00374E8C" w:rsidP="00BC2241">
            <w:pPr>
              <w:spacing w:after="120"/>
              <w:ind w:left="86" w:right="86"/>
              <w:rPr>
                <w:b/>
                <w:bCs/>
              </w:rPr>
            </w:pPr>
            <w:r>
              <w:rPr>
                <w:b/>
                <w:bCs/>
              </w:rPr>
              <w:t>Para fins de Serviços Profissionais, substituir a Seção intitulada “Limitação de responsabilidade” pelo seguinte:</w:t>
            </w:r>
          </w:p>
        </w:tc>
      </w:tr>
    </w:tbl>
    <w:p w14:paraId="51B739DE" w14:textId="0A5C1018" w:rsidR="00374E8C" w:rsidRPr="004D7362" w:rsidRDefault="00404D8A" w:rsidP="003B1452">
      <w:pPr>
        <w:keepNext/>
        <w:ind w:left="720" w:hanging="720"/>
      </w:pPr>
      <w:r>
        <w:rPr>
          <w:b/>
          <w:bCs/>
          <w:i/>
          <w:iCs/>
          <w:sz w:val="26"/>
          <w:szCs w:val="26"/>
        </w:rPr>
        <w:t>7.</w:t>
      </w:r>
      <w:r>
        <w:rPr>
          <w:b/>
          <w:bCs/>
          <w:i/>
          <w:iCs/>
          <w:sz w:val="26"/>
          <w:szCs w:val="26"/>
        </w:rPr>
        <w:tab/>
        <w:t>Limitação de responsabilidade.</w:t>
      </w:r>
    </w:p>
    <w:p w14:paraId="7D33D9C7" w14:textId="77777777" w:rsidR="00374E8C" w:rsidRPr="004D7362" w:rsidRDefault="00374E8C" w:rsidP="00374E8C">
      <w:r>
        <w:t>A responsabilidade da Microsoft por todo e qualquer dano relacionado ao desempenho dos Serviços Profissionais, independentemente de ter sido causado por violação de contrato, Falhas ou ato ilegal, deverá ser limitada ao seguinte:</w:t>
      </w:r>
    </w:p>
    <w:p w14:paraId="4936A938" w14:textId="10B4FA1C" w:rsidR="00374E8C" w:rsidRPr="004D7362" w:rsidRDefault="00374E8C" w:rsidP="00374E8C">
      <w:pPr>
        <w:ind w:left="1080" w:hanging="360"/>
      </w:pPr>
      <w:r>
        <w:rPr>
          <w:b/>
          <w:bCs/>
        </w:rPr>
        <w:t>a.</w:t>
      </w:r>
      <w:r>
        <w:rPr>
          <w:b/>
          <w:bCs/>
        </w:rPr>
        <w:tab/>
        <w:t xml:space="preserve">Responsabilidade no caso de ato intencional, negligência grave </w:t>
      </w:r>
      <w:r w:rsidR="00D64DB4">
        <w:rPr>
          <w:b/>
          <w:bCs/>
        </w:rPr>
        <w:t>“</w:t>
      </w:r>
      <w:r>
        <w:rPr>
          <w:b/>
          <w:bCs/>
        </w:rPr>
        <w:t>severa</w:t>
      </w:r>
      <w:r w:rsidR="00D64DB4">
        <w:rPr>
          <w:b/>
          <w:bCs/>
        </w:rPr>
        <w:t>”</w:t>
      </w:r>
      <w:r>
        <w:rPr>
          <w:b/>
          <w:bCs/>
        </w:rPr>
        <w:t>, responsabilidade sobre produto, não divulgação de má-fé e requerimentos judiciais ou extrajudiciais baseados em atentados contra a vida, integridade física ou saúde.</w:t>
      </w:r>
      <w:r w:rsidR="004F12FC">
        <w:t xml:space="preserve"> </w:t>
      </w:r>
      <w:r>
        <w:t xml:space="preserve">No caso de atos cometidos intencionalmente ou </w:t>
      </w:r>
      <w:r>
        <w:rPr>
          <w:bCs/>
        </w:rPr>
        <w:t xml:space="preserve">negligência grave </w:t>
      </w:r>
      <w:r w:rsidR="00D64DB4">
        <w:rPr>
          <w:bCs/>
        </w:rPr>
        <w:t>“</w:t>
      </w:r>
      <w:r>
        <w:rPr>
          <w:bCs/>
        </w:rPr>
        <w:t>severa</w:t>
      </w:r>
      <w:r w:rsidR="00D64DB4">
        <w:rPr>
          <w:bCs/>
        </w:rPr>
        <w:t>”</w:t>
      </w:r>
      <w:r>
        <w:t>, requerimentos judiciais ou extrajudiciais sob a Product Liability Act - Lei de Responsabilidade Civil sobre Produtos, não divulgação de má-fé de Falhas, assim como requerimentos judiciais ou extrajudiciais baseados em atentados contra a vida, saúde ou integridade física, a responsabilidade da Microsoft será determinada de acordo com a legislação.</w:t>
      </w:r>
    </w:p>
    <w:p w14:paraId="5106A1FC" w14:textId="09D84F69" w:rsidR="00374E8C" w:rsidRPr="004D7362" w:rsidRDefault="00374E8C" w:rsidP="00374E8C">
      <w:pPr>
        <w:ind w:left="1080" w:hanging="360"/>
      </w:pPr>
      <w:r>
        <w:rPr>
          <w:b/>
          <w:bCs/>
        </w:rPr>
        <w:t>b.</w:t>
      </w:r>
      <w:r>
        <w:rPr>
          <w:b/>
          <w:bCs/>
        </w:rPr>
        <w:tab/>
        <w:t xml:space="preserve">Limitação em caso de negligência grave </w:t>
      </w:r>
      <w:r w:rsidR="00D64DB4">
        <w:rPr>
          <w:b/>
          <w:bCs/>
        </w:rPr>
        <w:t>“</w:t>
      </w:r>
      <w:r>
        <w:rPr>
          <w:b/>
          <w:bCs/>
        </w:rPr>
        <w:t>simples</w:t>
      </w:r>
      <w:r w:rsidR="00D64DB4">
        <w:rPr>
          <w:b/>
          <w:bCs/>
        </w:rPr>
        <w:t>”</w:t>
      </w:r>
      <w:r>
        <w:rPr>
          <w:b/>
          <w:bCs/>
        </w:rPr>
        <w:t>.</w:t>
      </w:r>
      <w:r w:rsidR="004F12FC">
        <w:t xml:space="preserve"> </w:t>
      </w:r>
      <w:r>
        <w:t xml:space="preserve">No caso de negligência grave </w:t>
      </w:r>
      <w:r w:rsidR="00D64DB4">
        <w:t>“</w:t>
      </w:r>
      <w:r>
        <w:t>simples</w:t>
      </w:r>
      <w:r w:rsidR="00D64DB4">
        <w:t>”</w:t>
      </w:r>
      <w:r>
        <w:t>, a responsabilidade da Microsoft deverá ser limitada ao reembolso dos danos tipicamente previsíveis, mas até o limite pago pelo Cliente pelos Serviços Profissionais que não foram executados devidamente ou, se estiverem envolvidos diversos Serviços Profissionais, até o valor total desses Serviços Profissionais.</w:t>
      </w:r>
      <w:r w:rsidR="004F12FC">
        <w:t xml:space="preserve"> </w:t>
      </w:r>
      <w:r>
        <w:t>No caso de Serviços Profissionais prestados sem custo ao Cliente, a responsabilidade total da Microsoft perante o Cliente não excederá USD 5.000 ou o equivalente em moeda local.</w:t>
      </w:r>
    </w:p>
    <w:p w14:paraId="068115D2" w14:textId="7F8B18A1" w:rsidR="00374E8C" w:rsidRPr="004D7362" w:rsidRDefault="00374E8C" w:rsidP="00374E8C">
      <w:pPr>
        <w:ind w:left="1080"/>
      </w:pPr>
      <w:r>
        <w:t xml:space="preserve">No caso de negligência grave </w:t>
      </w:r>
      <w:r w:rsidR="00D64DB4">
        <w:t>“</w:t>
      </w:r>
      <w:r>
        <w:t>simples</w:t>
      </w:r>
      <w:r w:rsidR="00D64DB4">
        <w:t>”</w:t>
      </w:r>
      <w:r>
        <w:t>, a Microsoft não será, sob nenhuma circunstância, responsável por perda incidental ou danos consequenciais (incluindo, mas não se limitando à perda de lucros antecipados, perda de fundo de comércio, perda de dados, prejuízo resultante da interrupção dos negócios ou perdas semelhantes) originados ou relacionados a qualquer Declaração de Serviços, Serviços Entregues, Consertos, Produtos ou quaisquer outros materiais ou informações.</w:t>
      </w:r>
    </w:p>
    <w:p w14:paraId="212EC187" w14:textId="44653D42" w:rsidR="00374E8C" w:rsidRPr="004D7362" w:rsidRDefault="00EE0E8A" w:rsidP="00374E8C">
      <w:pPr>
        <w:ind w:left="1080" w:hanging="360"/>
      </w:pPr>
      <w:r w:rsidRPr="00B471C1">
        <w:rPr>
          <w:b/>
          <w:bCs/>
        </w:rPr>
        <w:t>c.</w:t>
      </w:r>
      <w:r w:rsidR="00374E8C">
        <w:rPr>
          <w:b/>
          <w:bCs/>
        </w:rPr>
        <w:tab/>
        <w:t>Prova de dolo ou negligência grave.</w:t>
      </w:r>
      <w:r w:rsidR="004F12FC">
        <w:t xml:space="preserve"> </w:t>
      </w:r>
      <w:r w:rsidR="00374E8C">
        <w:t>O Cliente terá que provar a existência de dolo ou negligência grave.</w:t>
      </w:r>
    </w:p>
    <w:p w14:paraId="19C32047" w14:textId="08A89FD6" w:rsidR="00374E8C" w:rsidRPr="004D7362" w:rsidRDefault="00374E8C" w:rsidP="00374E8C">
      <w:pPr>
        <w:ind w:left="1080" w:hanging="360"/>
      </w:pPr>
      <w:r>
        <w:rPr>
          <w:b/>
          <w:bCs/>
        </w:rPr>
        <w:lastRenderedPageBreak/>
        <w:t>d.</w:t>
      </w:r>
      <w:r>
        <w:rPr>
          <w:b/>
          <w:bCs/>
        </w:rPr>
        <w:tab/>
        <w:t>Limitação em caso de negligência leve.</w:t>
      </w:r>
      <w:r w:rsidR="004F12FC">
        <w:t xml:space="preserve"> </w:t>
      </w:r>
      <w:r>
        <w:t>A responsabilidade da Microsoft nos casos de negligência leve está excluída.</w:t>
      </w:r>
    </w:p>
    <w:p w14:paraId="6DB9FB2A" w14:textId="0D04FF80" w:rsidR="00374E8C" w:rsidRPr="004D7362" w:rsidRDefault="00374E8C" w:rsidP="00374E8C">
      <w:pPr>
        <w:ind w:left="1080" w:hanging="360"/>
      </w:pPr>
      <w:r>
        <w:rPr>
          <w:b/>
          <w:bCs/>
        </w:rPr>
        <w:t>e.</w:t>
      </w:r>
      <w:r>
        <w:rPr>
          <w:b/>
          <w:bCs/>
        </w:rPr>
        <w:tab/>
        <w:t>Responsabilidade pela perda de dados e custos de recuperação.</w:t>
      </w:r>
      <w:r w:rsidR="004F12FC">
        <w:t xml:space="preserve"> </w:t>
      </w:r>
      <w:r>
        <w:t>O Cliente fica obrigado a proteger todo e qualquer dado e programa antes da contratação da Microsoft. A Microsoft sob nenhuma circunstância ficará responsável pela perda de dados ou programas ou pelos custos de recuperação de dados ou programas, à medida que tal ocorrência poderia ter sido evitada pelo cumprimento da referida obrigação. Ademais, a Microsoft atua partindo do princípio de que o software padrão não foi alterado ou modificado, a menos que o Cliente tenha indicado tais alterações ou modificações detalhadamente por escrito antes da contratação da Microsoft.</w:t>
      </w:r>
    </w:p>
    <w:p w14:paraId="12E55D04" w14:textId="5DA0DEC4" w:rsidR="00374E8C" w:rsidRPr="004D7362" w:rsidRDefault="00374E8C" w:rsidP="00374E8C">
      <w:pPr>
        <w:ind w:left="1080" w:hanging="360"/>
      </w:pPr>
      <w:r>
        <w:rPr>
          <w:b/>
          <w:bCs/>
        </w:rPr>
        <w:t>f.</w:t>
      </w:r>
      <w:r>
        <w:rPr>
          <w:b/>
          <w:bCs/>
        </w:rPr>
        <w:tab/>
        <w:t>Período limitado para reclamações de responsabilidade.</w:t>
      </w:r>
      <w:r w:rsidR="004F12FC">
        <w:t xml:space="preserve"> </w:t>
      </w:r>
      <w:r>
        <w:t>Qualquer reclamação por danos resultantes de Defeitos expirará em um ano.</w:t>
      </w:r>
      <w:r w:rsidR="004F12FC">
        <w:t xml:space="preserve"> </w:t>
      </w:r>
      <w:r>
        <w:t>Para execuções de trabalhos, o período limite começará na data de aceitação (Abnahme).</w:t>
      </w:r>
    </w:p>
    <w:p w14:paraId="042E2585" w14:textId="77777777" w:rsidR="00374E8C" w:rsidRPr="004D7362" w:rsidRDefault="00374E8C" w:rsidP="00374E8C">
      <w:pPr>
        <w:ind w:left="1080"/>
      </w:pPr>
      <w:r>
        <w:t>As demais reclamações por danos contra a Microsoft expirarão em dois anos a partir da data de origem da causa da ação.</w:t>
      </w:r>
    </w:p>
    <w:p w14:paraId="7962023B" w14:textId="38226CED" w:rsidR="00374E8C" w:rsidRPr="004D7362" w:rsidRDefault="00374E8C" w:rsidP="00374E8C">
      <w:pPr>
        <w:ind w:left="1080"/>
      </w:pPr>
      <w:r>
        <w:t xml:space="preserve">A disposição contida nesta subseção </w:t>
      </w:r>
      <w:r w:rsidR="00D64DB4">
        <w:t>“</w:t>
      </w:r>
      <w:r>
        <w:t>Período limitado para requerimentos judiciais ou extrajudiciais de responsabilidade</w:t>
      </w:r>
      <w:r w:rsidR="00D64DB4">
        <w:t>”</w:t>
      </w:r>
      <w:r>
        <w:t xml:space="preserve"> não se aplicará aos casos regidos pela subseção acima </w:t>
      </w:r>
      <w:r w:rsidR="00D64DB4">
        <w:t>“</w:t>
      </w:r>
      <w:r>
        <w:t>Responsabilidade no caso de ato intencional, responsabilidade sobre produto, não divulgação de má-fé e requerimentos judiciais ou extrajudiciais baseados em atentados contra a vida, integridade física ou saúde</w:t>
      </w:r>
      <w:r w:rsidR="00D64DB4">
        <w:t>”</w:t>
      </w:r>
      <w:r>
        <w:t>. Nesses casos, aplica-se a legislação.</w:t>
      </w:r>
    </w:p>
    <w:p w14:paraId="7D5D4BDC" w14:textId="77777777" w:rsidR="0088333F" w:rsidRPr="003E7C79" w:rsidRDefault="0088333F" w:rsidP="006738DF">
      <w:pPr>
        <w:keepNext/>
        <w:shd w:val="clear" w:color="auto" w:fill="000000"/>
        <w:spacing w:before="360" w:after="120"/>
        <w:rPr>
          <w:color w:val="FFFFFF" w:themeColor="background1"/>
        </w:rPr>
      </w:pPr>
      <w:r w:rsidRPr="003E7C79">
        <w:rPr>
          <w:b/>
          <w:bCs/>
          <w:color w:val="FFFFFF" w:themeColor="background1"/>
        </w:rPr>
        <w:t xml:space="preserve">Canadá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8333F" w:rsidRPr="00E55622" w14:paraId="1141F7A7" w14:textId="77777777" w:rsidTr="00A13DC6">
        <w:trPr>
          <w:jc w:val="center"/>
        </w:trPr>
        <w:tc>
          <w:tcPr>
            <w:tcW w:w="9029" w:type="dxa"/>
            <w:shd w:val="clear" w:color="auto" w:fill="BDD6EE" w:themeFill="accent1" w:themeFillTint="66"/>
          </w:tcPr>
          <w:p w14:paraId="7F34377F" w14:textId="5AD1F298" w:rsidR="0088333F" w:rsidRPr="00A13DC6" w:rsidRDefault="0088333F" w:rsidP="00A13DC6">
            <w:pPr>
              <w:keepNext/>
              <w:spacing w:after="120"/>
              <w:ind w:left="86" w:right="86"/>
              <w:rPr>
                <w:b/>
                <w:bCs/>
              </w:rPr>
            </w:pPr>
            <w:r>
              <w:rPr>
                <w:b/>
                <w:bCs/>
              </w:rPr>
              <w:t xml:space="preserve">Substituir a subseção intitulada </w:t>
            </w:r>
            <w:r w:rsidR="00D64DB4">
              <w:rPr>
                <w:b/>
                <w:bCs/>
              </w:rPr>
              <w:t>“</w:t>
            </w:r>
            <w:r>
              <w:rPr>
                <w:b/>
                <w:bCs/>
              </w:rPr>
              <w:t>Isenção de Responsabilidade</w:t>
            </w:r>
            <w:r w:rsidR="00D64DB4">
              <w:rPr>
                <w:b/>
                <w:bCs/>
              </w:rPr>
              <w:t>”</w:t>
            </w:r>
            <w:r>
              <w:rPr>
                <w:b/>
                <w:bCs/>
              </w:rPr>
              <w:t xml:space="preserve"> na Seção </w:t>
            </w:r>
            <w:r w:rsidR="00D64DB4">
              <w:rPr>
                <w:b/>
                <w:bCs/>
              </w:rPr>
              <w:t>“</w:t>
            </w:r>
            <w:r>
              <w:rPr>
                <w:b/>
                <w:bCs/>
              </w:rPr>
              <w:t>Garantias</w:t>
            </w:r>
            <w:r w:rsidR="00D64DB4">
              <w:rPr>
                <w:b/>
                <w:bCs/>
              </w:rPr>
              <w:t>”</w:t>
            </w:r>
            <w:r>
              <w:rPr>
                <w:b/>
                <w:bCs/>
              </w:rPr>
              <w:t xml:space="preserve"> pelo seguinte:</w:t>
            </w:r>
          </w:p>
        </w:tc>
      </w:tr>
    </w:tbl>
    <w:p w14:paraId="2AC68687" w14:textId="5F8B0B87" w:rsidR="0088333F" w:rsidRPr="004D7362" w:rsidRDefault="000E1C87" w:rsidP="00404D8A">
      <w:pPr>
        <w:pStyle w:val="ListParagraph"/>
        <w:ind w:left="1080" w:hanging="360"/>
      </w:pPr>
      <w:r>
        <w:rPr>
          <w:b/>
          <w:iCs/>
        </w:rPr>
        <w:t>c</w:t>
      </w:r>
      <w:r w:rsidR="00404D8A">
        <w:rPr>
          <w:b/>
          <w:iCs/>
        </w:rPr>
        <w:t>.</w:t>
      </w:r>
      <w:r w:rsidR="00404D8A">
        <w:rPr>
          <w:b/>
          <w:iCs/>
        </w:rPr>
        <w:tab/>
        <w:t>Isenção de Responsabilidade.</w:t>
      </w:r>
      <w:r w:rsidR="004F12FC">
        <w:rPr>
          <w:b/>
          <w:iCs/>
        </w:rPr>
        <w:t xml:space="preserve"> </w:t>
      </w:r>
      <w:r w:rsidR="00404D8A">
        <w:rPr>
          <w:b/>
          <w:iCs/>
        </w:rPr>
        <w:t>Com exceção das garantias limitadas acima, a Microsoft não fornece nenhuma garantia e isenta-se de qualquer outra garantia contratual e de qualquer garantia ou condição legal ou regulamentar, inclusive garantias e condições de qualidade, titularidade do direito, não violação, padrões de comercialização e adequação a uma finalidade específica.</w:t>
      </w:r>
    </w:p>
    <w:p w14:paraId="5560C37F" w14:textId="72FF7B79" w:rsidR="00374E8C" w:rsidRPr="003E7C79" w:rsidRDefault="00374E8C" w:rsidP="00374E8C">
      <w:pPr>
        <w:keepNext/>
        <w:shd w:val="clear" w:color="auto" w:fill="000000"/>
        <w:spacing w:before="360" w:after="120"/>
        <w:rPr>
          <w:color w:val="FFFFFF" w:themeColor="background1"/>
        </w:rPr>
      </w:pPr>
      <w:r>
        <w:rPr>
          <w:b/>
          <w:bCs/>
          <w:color w:val="FFFFFF"/>
        </w:rPr>
        <w:t>República Tcheca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01D7BBF" w14:textId="77777777" w:rsidTr="00E53ABB">
        <w:trPr>
          <w:jc w:val="center"/>
        </w:trPr>
        <w:tc>
          <w:tcPr>
            <w:tcW w:w="9029" w:type="dxa"/>
            <w:shd w:val="clear" w:color="auto" w:fill="C6D9F1"/>
          </w:tcPr>
          <w:p w14:paraId="25142007" w14:textId="1F61795D" w:rsidR="00374E8C" w:rsidRPr="00B471C1" w:rsidRDefault="00374E8C" w:rsidP="00A00EDE">
            <w:pPr>
              <w:spacing w:after="120"/>
              <w:ind w:left="86" w:right="86"/>
              <w:rPr>
                <w:b/>
                <w:bCs/>
              </w:rPr>
            </w:pPr>
            <w:r>
              <w:rPr>
                <w:b/>
                <w:bCs/>
              </w:rPr>
              <w:t xml:space="preserve">Complementar a Seção intitulada </w:t>
            </w:r>
            <w:r w:rsidR="00D64DB4">
              <w:rPr>
                <w:b/>
                <w:bCs/>
              </w:rPr>
              <w:t>“</w:t>
            </w:r>
            <w:r>
              <w:rPr>
                <w:b/>
                <w:bCs/>
              </w:rPr>
              <w:t>Garantias</w:t>
            </w:r>
            <w:r w:rsidR="00D64DB4">
              <w:rPr>
                <w:b/>
                <w:bCs/>
              </w:rPr>
              <w:t xml:space="preserve">” </w:t>
            </w:r>
            <w:r>
              <w:rPr>
                <w:b/>
                <w:bCs/>
              </w:rPr>
              <w:t>com o seguinte:</w:t>
            </w:r>
          </w:p>
        </w:tc>
      </w:tr>
    </w:tbl>
    <w:p w14:paraId="562101A3" w14:textId="426DCE5D" w:rsidR="00374E8C" w:rsidRPr="004D7362" w:rsidRDefault="00404D8A" w:rsidP="00122A75">
      <w:pPr>
        <w:spacing w:after="240"/>
        <w:ind w:left="1080" w:hanging="360"/>
      </w:pPr>
      <w:r>
        <w:rPr>
          <w:b/>
        </w:rPr>
        <w:t>d.</w:t>
      </w:r>
      <w:r>
        <w:rPr>
          <w:b/>
        </w:rPr>
        <w:tab/>
        <w:t>Serviços Entregues.</w:t>
      </w:r>
      <w:r w:rsidR="004F12FC">
        <w:rPr>
          <w:b/>
        </w:rPr>
        <w:t xml:space="preserve"> </w:t>
      </w:r>
      <w:r>
        <w:t>Os Serviços Entregues da Microsoft são desenvolvidos de acordo com o mais recente conhecimento técnico e científico.</w:t>
      </w:r>
      <w:r w:rsidR="004F12FC">
        <w:t xml:space="preserve"> </w:t>
      </w:r>
      <w:r>
        <w:t>A Microsoft fornece ao Cliente uma notificação expressa informando que, com a atual tecnologia, não é possível desenvolver produtos de software complexos que não apresentem nenhum tipo de defeito técnico, o que poderá ocorrer no futuro.</w:t>
      </w:r>
      <w:r w:rsidR="004F12FC">
        <w:t xml:space="preserve"> </w:t>
      </w:r>
      <w:r>
        <w:t>Os softwares fornecidos pela Microsoft não devem necessariamente estar livres de falhas de programação, mas deverão funcionar de acordo com a documentação de usuário da Microsoft ou, se não houver documentação do usuário, de acordo com a Declaração de Serviços e os padrões do setor adequados.</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F4C31E2" w14:textId="77777777" w:rsidTr="00924DE4">
        <w:trPr>
          <w:jc w:val="center"/>
        </w:trPr>
        <w:tc>
          <w:tcPr>
            <w:tcW w:w="9029" w:type="dxa"/>
            <w:shd w:val="clear" w:color="auto" w:fill="C6D9F1"/>
          </w:tcPr>
          <w:p w14:paraId="07443905" w14:textId="333B91DA" w:rsidR="00374E8C" w:rsidRPr="00B471C1" w:rsidRDefault="00374E8C" w:rsidP="00A00EDE">
            <w:pPr>
              <w:spacing w:after="120"/>
              <w:ind w:left="86" w:right="86"/>
              <w:rPr>
                <w:b/>
                <w:bCs/>
              </w:rPr>
            </w:pPr>
            <w:r>
              <w:rPr>
                <w:b/>
                <w:bCs/>
              </w:rPr>
              <w:t xml:space="preserve">Complementar o primeiro parágrafo da Seção intitulada </w:t>
            </w:r>
            <w:r w:rsidR="00D64DB4">
              <w:rPr>
                <w:b/>
                <w:bCs/>
              </w:rPr>
              <w:t>“</w:t>
            </w:r>
            <w:r>
              <w:rPr>
                <w:b/>
                <w:bCs/>
              </w:rPr>
              <w:t>Limitação de responsabilidade</w:t>
            </w:r>
            <w:r w:rsidR="00D64DB4">
              <w:rPr>
                <w:b/>
                <w:bCs/>
              </w:rPr>
              <w:t>”</w:t>
            </w:r>
            <w:r>
              <w:rPr>
                <w:b/>
                <w:bCs/>
              </w:rPr>
              <w:t xml:space="preserve"> com o seguinte:</w:t>
            </w:r>
          </w:p>
        </w:tc>
      </w:tr>
    </w:tbl>
    <w:p w14:paraId="0922865E" w14:textId="77777777" w:rsidR="00924DE4" w:rsidRPr="004D7362" w:rsidRDefault="00924DE4" w:rsidP="002052C3">
      <w:pPr>
        <w:ind w:left="1080"/>
      </w:pPr>
      <w:r>
        <w:t>As limitações contidas neste parágrafo refletem os danos os quais as partes concordam expressamente que podem ser previstos mediante a conclusão deste contrato, levando em conta todas as circunstâncias que as partes conhecem ou deveriam conhecer ao empregar o devido cuidado, e que podem originar a violação das obrigações da Microsoft sob este contrato. A limitação de responsabilidade nesta seção não se aplica a responsabilidades resultantes de dolo ou negligência grave por uma das partes.</w:t>
      </w:r>
    </w:p>
    <w:p w14:paraId="0C8980C5" w14:textId="39817C94" w:rsidR="00924DE4" w:rsidRPr="004D7362" w:rsidRDefault="008E1EF9" w:rsidP="00924DE4">
      <w:pPr>
        <w:spacing w:after="240"/>
        <w:ind w:left="1080"/>
      </w:pPr>
      <w:r>
        <w:lastRenderedPageBreak/>
        <w:t>O direito de qualquer uma das partes contratuais em relação a quaisquer danos potencialmente incorridos de acordo com este contrato será satisfeito por uma compensação monetária. A Seção 2951 (1) do Código Civil (Lei no. 89/2012 Coll.), conforme alterado, não deverá ser aplicada.</w:t>
      </w:r>
    </w:p>
    <w:p w14:paraId="4B0C429B" w14:textId="77777777" w:rsidR="008E1EF9" w:rsidRPr="004D7362" w:rsidRDefault="008E1EF9" w:rsidP="008E1EF9">
      <w:pPr>
        <w:keepNext/>
        <w:shd w:val="clear" w:color="auto" w:fill="000000"/>
        <w:spacing w:before="360" w:after="120"/>
      </w:pPr>
      <w:r>
        <w:rPr>
          <w:b/>
          <w:bCs/>
          <w:color w:val="FFFFFF"/>
        </w:rPr>
        <w:t xml:space="preserve">Inglaterra e País de Gales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E1EF9" w:rsidRPr="00B471C1" w14:paraId="0B31A5F4" w14:textId="77777777" w:rsidTr="00A13DC6">
        <w:trPr>
          <w:jc w:val="center"/>
        </w:trPr>
        <w:tc>
          <w:tcPr>
            <w:tcW w:w="9029" w:type="dxa"/>
            <w:shd w:val="clear" w:color="auto" w:fill="C6D9F1"/>
          </w:tcPr>
          <w:p w14:paraId="30641977" w14:textId="4C3C2DE9" w:rsidR="008E1EF9" w:rsidRPr="00B471C1" w:rsidRDefault="008E1EF9" w:rsidP="00A13DC6">
            <w:pPr>
              <w:spacing w:after="120"/>
              <w:ind w:left="86" w:right="86"/>
              <w:rPr>
                <w:b/>
                <w:bCs/>
              </w:rPr>
            </w:pPr>
            <w:r>
              <w:rPr>
                <w:b/>
                <w:bCs/>
              </w:rPr>
              <w:t xml:space="preserve">Substituir a subseção intitulada </w:t>
            </w:r>
            <w:r w:rsidR="00D64DB4">
              <w:rPr>
                <w:b/>
                <w:bCs/>
              </w:rPr>
              <w:t>“</w:t>
            </w:r>
            <w:r>
              <w:rPr>
                <w:b/>
                <w:bCs/>
              </w:rPr>
              <w:t>Exclusões</w:t>
            </w:r>
            <w:r w:rsidR="00D64DB4">
              <w:rPr>
                <w:b/>
                <w:bCs/>
              </w:rPr>
              <w:t>”</w:t>
            </w:r>
            <w:r>
              <w:rPr>
                <w:b/>
                <w:bCs/>
              </w:rPr>
              <w:t xml:space="preserve"> da seção </w:t>
            </w:r>
            <w:r w:rsidR="00D64DB4">
              <w:rPr>
                <w:b/>
                <w:bCs/>
              </w:rPr>
              <w:t>“</w:t>
            </w:r>
            <w:r>
              <w:rPr>
                <w:b/>
                <w:bCs/>
              </w:rPr>
              <w:t>Limitação de responsabilidade</w:t>
            </w:r>
            <w:r w:rsidR="00D64DB4">
              <w:rPr>
                <w:b/>
                <w:bCs/>
              </w:rPr>
              <w:t>”</w:t>
            </w:r>
            <w:r>
              <w:rPr>
                <w:b/>
                <w:bCs/>
              </w:rPr>
              <w:t xml:space="preserve"> pelo seguinte:</w:t>
            </w:r>
          </w:p>
        </w:tc>
      </w:tr>
    </w:tbl>
    <w:p w14:paraId="0AB82C34" w14:textId="5778C083" w:rsidR="008E1EF9" w:rsidRPr="004D7362" w:rsidRDefault="008E1EF9" w:rsidP="002052C3">
      <w:pPr>
        <w:pStyle w:val="ListParagraph"/>
        <w:numPr>
          <w:ilvl w:val="0"/>
          <w:numId w:val="50"/>
        </w:numPr>
        <w:spacing w:after="240"/>
        <w:ind w:left="1080"/>
        <w:contextualSpacing w:val="0"/>
      </w:pPr>
      <w:r>
        <w:rPr>
          <w:b/>
        </w:rPr>
        <w:t>Exclusões</w:t>
      </w:r>
      <w:r w:rsidRPr="00392B94">
        <w:rPr>
          <w:b/>
        </w:rPr>
        <w:t>.</w:t>
      </w:r>
      <w:r w:rsidR="004F12FC">
        <w:t xml:space="preserve"> </w:t>
      </w:r>
      <w:r>
        <w:t xml:space="preserve">Em nenhuma circunstância as partes serão responsáveis por </w:t>
      </w:r>
      <w:r>
        <w:rPr>
          <w:iCs/>
        </w:rPr>
        <w:t>perda de receita ou perda de economias previstas (sejam elas diretas ou indiretas), danos indiretos</w:t>
      </w:r>
      <w:r>
        <w:t>, incidentais, especiais, punitivos ou consequenciais, inclusive perda de uso, perda de informações de negócios ou interrupção nos negócios, independentemente da forma como forem causados ou da teoria de responsabilidade adotada.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E1EF9" w:rsidRPr="00B471C1" w14:paraId="1C866D0F" w14:textId="77777777" w:rsidTr="00A13DC6">
        <w:trPr>
          <w:jc w:val="center"/>
        </w:trPr>
        <w:tc>
          <w:tcPr>
            <w:tcW w:w="9029" w:type="dxa"/>
            <w:shd w:val="clear" w:color="auto" w:fill="C6D9F1"/>
          </w:tcPr>
          <w:p w14:paraId="34542E71" w14:textId="1F43F80F" w:rsidR="008E1EF9" w:rsidRPr="00B471C1" w:rsidRDefault="008E1EF9" w:rsidP="00A13DC6">
            <w:pPr>
              <w:spacing w:after="120"/>
              <w:ind w:left="86" w:right="86"/>
              <w:rPr>
                <w:b/>
                <w:bCs/>
              </w:rPr>
            </w:pPr>
            <w:r>
              <w:rPr>
                <w:b/>
                <w:bCs/>
              </w:rPr>
              <w:t xml:space="preserve">Complementar a Seção intitulada </w:t>
            </w:r>
            <w:r w:rsidR="00D64DB4">
              <w:rPr>
                <w:b/>
                <w:bCs/>
              </w:rPr>
              <w:t>“</w:t>
            </w:r>
            <w:r>
              <w:rPr>
                <w:b/>
                <w:bCs/>
              </w:rPr>
              <w:t>Limitação de responsabilidade</w:t>
            </w:r>
            <w:r w:rsidR="00D64DB4">
              <w:rPr>
                <w:b/>
                <w:bCs/>
              </w:rPr>
              <w:t>”</w:t>
            </w:r>
            <w:r>
              <w:rPr>
                <w:b/>
                <w:bCs/>
              </w:rPr>
              <w:t xml:space="preserve"> com a seguinte subseção:</w:t>
            </w:r>
          </w:p>
        </w:tc>
      </w:tr>
    </w:tbl>
    <w:p w14:paraId="6C12A147" w14:textId="5FC86DF2" w:rsidR="008E1EF9" w:rsidRPr="004D7362" w:rsidRDefault="008E1EF9" w:rsidP="002052C3">
      <w:pPr>
        <w:pStyle w:val="ListParagraph"/>
        <w:numPr>
          <w:ilvl w:val="0"/>
          <w:numId w:val="49"/>
        </w:numPr>
        <w:spacing w:after="240"/>
        <w:jc w:val="left"/>
      </w:pPr>
      <w:r>
        <w:rPr>
          <w:b/>
        </w:rPr>
        <w:t>Responsabilidade por morte ou danos pessoais.</w:t>
      </w:r>
      <w:r w:rsidR="004F12FC">
        <w:t xml:space="preserve"> </w:t>
      </w:r>
      <w:r>
        <w:t>Nenhuma disposição do presente contrato deve excluir a responsabilidade por morte ou danos pessoais causados por negligência ou a responsabilidade por falsidade ideológica.</w:t>
      </w:r>
    </w:p>
    <w:p w14:paraId="647549B6" w14:textId="77777777" w:rsidR="00374E8C" w:rsidRPr="004D7362" w:rsidRDefault="00374E8C" w:rsidP="00374E8C">
      <w:pPr>
        <w:keepNext/>
        <w:shd w:val="clear" w:color="auto" w:fill="000000"/>
        <w:spacing w:before="360" w:after="120"/>
      </w:pPr>
      <w:r>
        <w:rPr>
          <w:b/>
          <w:bCs/>
          <w:color w:val="FFFFFF"/>
        </w:rPr>
        <w:t>Alemanha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60538362" w14:textId="77777777" w:rsidTr="00E53ABB">
        <w:trPr>
          <w:jc w:val="center"/>
        </w:trPr>
        <w:tc>
          <w:tcPr>
            <w:tcW w:w="9029" w:type="dxa"/>
            <w:shd w:val="clear" w:color="auto" w:fill="C6D9F1"/>
          </w:tcPr>
          <w:p w14:paraId="0299C627" w14:textId="0A4D266B" w:rsidR="00374E8C" w:rsidRPr="00B471C1" w:rsidRDefault="00512CB6" w:rsidP="00A00EDE">
            <w:pPr>
              <w:keepNext/>
              <w:spacing w:after="120"/>
              <w:ind w:left="86" w:right="86"/>
              <w:rPr>
                <w:b/>
                <w:bCs/>
              </w:rPr>
            </w:pPr>
            <w:r>
              <w:rPr>
                <w:b/>
                <w:bCs/>
              </w:rPr>
              <w:t xml:space="preserve">Substituir a Seção intitulada </w:t>
            </w:r>
            <w:r w:rsidR="00D64DB4">
              <w:rPr>
                <w:b/>
                <w:bCs/>
              </w:rPr>
              <w:t>“</w:t>
            </w:r>
            <w:r>
              <w:rPr>
                <w:b/>
                <w:bCs/>
              </w:rPr>
              <w:t>Garantias</w:t>
            </w:r>
            <w:r w:rsidR="00D64DB4">
              <w:rPr>
                <w:b/>
                <w:bCs/>
              </w:rPr>
              <w:t>”</w:t>
            </w:r>
            <w:r>
              <w:rPr>
                <w:b/>
                <w:bCs/>
              </w:rPr>
              <w:t xml:space="preserve"> pelo seguinte:</w:t>
            </w:r>
          </w:p>
        </w:tc>
      </w:tr>
    </w:tbl>
    <w:p w14:paraId="39CD23C0" w14:textId="77777777" w:rsidR="008C225D" w:rsidRPr="004D7362" w:rsidRDefault="008C225D" w:rsidP="003B1452">
      <w:pPr>
        <w:keepNext/>
        <w:ind w:left="720" w:hanging="720"/>
      </w:pPr>
      <w:r>
        <w:rPr>
          <w:b/>
          <w:bCs/>
          <w:i/>
          <w:iCs/>
          <w:sz w:val="26"/>
          <w:szCs w:val="26"/>
        </w:rPr>
        <w:t>5.</w:t>
      </w:r>
      <w:r>
        <w:rPr>
          <w:b/>
          <w:bCs/>
          <w:i/>
          <w:iCs/>
          <w:sz w:val="26"/>
          <w:szCs w:val="26"/>
        </w:rPr>
        <w:tab/>
        <w:t>Garantias.</w:t>
      </w:r>
    </w:p>
    <w:p w14:paraId="130ABD38" w14:textId="6394C2A0" w:rsidR="00374E8C" w:rsidRPr="004D7362" w:rsidRDefault="008C225D" w:rsidP="00D5280E">
      <w:pPr>
        <w:pStyle w:val="ListParagraph"/>
        <w:numPr>
          <w:ilvl w:val="1"/>
          <w:numId w:val="56"/>
        </w:numPr>
        <w:ind w:left="1080"/>
      </w:pPr>
      <w:r>
        <w:t xml:space="preserve">De acordo com a seção 5(b), as seguintes disposições serão aplicáveis a requerimentos judiciais ou extrajudiciais decorrentes de defeitos na qualidade ou na titularidade do direito (coletivamente, </w:t>
      </w:r>
      <w:r w:rsidR="00D64DB4">
        <w:t>“</w:t>
      </w:r>
      <w:r>
        <w:t>Defeitos</w:t>
      </w:r>
      <w:r w:rsidR="00D64DB4">
        <w:t>”</w:t>
      </w:r>
      <w:r>
        <w:t>), mas não se aplicarão quando os requerimentos forem por danos ou reembolso de despesas.</w:t>
      </w:r>
      <w:r w:rsidR="004F12FC">
        <w:t xml:space="preserve"> </w:t>
      </w:r>
      <w:r>
        <w:t xml:space="preserve">Em vez disso, as disposições da seção intitulada </w:t>
      </w:r>
      <w:r w:rsidR="00D64DB4">
        <w:t>“</w:t>
      </w:r>
      <w:r>
        <w:t>Limitação de responsabilidade</w:t>
      </w:r>
      <w:r w:rsidR="00D64DB4">
        <w:t>”</w:t>
      </w:r>
      <w:r>
        <w:t xml:space="preserve"> devem ser aplicáveis a requerimentos judiciais ou extrajudiciais de indenização por danos ou despesas resultantes de Defeitos.</w:t>
      </w:r>
    </w:p>
    <w:p w14:paraId="75B01B8C" w14:textId="7750342C" w:rsidR="00374E8C" w:rsidRPr="004D7362" w:rsidRDefault="00374E8C" w:rsidP="002052C3">
      <w:pPr>
        <w:pStyle w:val="ListParagraph"/>
        <w:numPr>
          <w:ilvl w:val="0"/>
          <w:numId w:val="45"/>
        </w:numPr>
        <w:contextualSpacing w:val="0"/>
      </w:pPr>
      <w:r>
        <w:t>Os direitos do Cliente e sua respectiva expiração serão determinados exclusivamente de acordo com a legislação aplicável na eventualidade de não divulgação de alguma Falha resultante de má-fé (arglistiges Verschweigen).</w:t>
      </w:r>
    </w:p>
    <w:p w14:paraId="7C0F8D4C" w14:textId="77777777" w:rsidR="008C225D" w:rsidRPr="004D7362" w:rsidRDefault="008C225D" w:rsidP="002052C3">
      <w:pPr>
        <w:pStyle w:val="ListParagraph"/>
        <w:numPr>
          <w:ilvl w:val="0"/>
          <w:numId w:val="45"/>
        </w:numPr>
        <w:contextualSpacing w:val="0"/>
      </w:pPr>
      <w:r>
        <w:t>A Microsoft garante que cada Serviço Online funcionará durante o uso do Cliente de acordo com o SLA aplicável. Os recursos do Cliente por violação desta garantia são os citados no SLA. No entanto, os direitos de garantia legais do Cliente deverão permanecer não afetados pelo presente.</w:t>
      </w:r>
    </w:p>
    <w:p w14:paraId="5AEE7D02" w14:textId="44CB5CE6" w:rsidR="008C225D" w:rsidRPr="004D7362" w:rsidRDefault="008C225D" w:rsidP="002052C3">
      <w:pPr>
        <w:pStyle w:val="ListParagraph"/>
        <w:numPr>
          <w:ilvl w:val="0"/>
          <w:numId w:val="45"/>
        </w:numPr>
        <w:contextualSpacing w:val="0"/>
      </w:pPr>
      <w:r>
        <w:t>A Microsoft fará a retificação de Defeitos que lhe tenham sido notificados antes da expiração do período estipulado nesta seção. No limite em que o Cliente tenha reclamado contra a Microsoft, com base em execução futura (Nacherfüllung), a Microsoft terá o direito, ao seu exclusivo critério, de retificar o Defeito ou de fornecer bem móvel novo ou, se o Defeito ocorrer em uma execução de trabalho, de refazer o trabalho de forma que não apresente Defeitos. O Cliente concorda em cooperar com a execução futura por parte da Microsoft através do fornecimento de qualquer informação ou documentação e prestando toda assistência razoável necessária.</w:t>
      </w:r>
    </w:p>
    <w:p w14:paraId="001DBAA1" w14:textId="1D70354A" w:rsidR="00374E8C" w:rsidRPr="004D7362" w:rsidRDefault="00374E8C" w:rsidP="002052C3">
      <w:pPr>
        <w:pStyle w:val="ListParagraph"/>
        <w:numPr>
          <w:ilvl w:val="0"/>
          <w:numId w:val="45"/>
        </w:numPr>
        <w:contextualSpacing w:val="0"/>
      </w:pPr>
      <w:r>
        <w:t xml:space="preserve">As obrigações da Microsoft não se aplicarão se um requerimento judicial ou extrajudicial se basear: (1) em especificações, códigos ou materiais fornecidos pelo Cliente; (2) no uso, pelo Cliente, de Produtos e/ou Serviços Entregues depois que a Microsoft notificá-lo de que deve descontinuar o uso devido a esse requerimento judicial ou extrajudicial; (3) na combinação, feita pelo Cliente, de Produtos e/ou Serviços Entregues com produtos, dados ou processos de negócio que não sejam da </w:t>
      </w:r>
      <w:r>
        <w:lastRenderedPageBreak/>
        <w:t>Microsoft; (4) em uma alteração, feita pelo Cliente ou um terceiro, dos Produtos e/ou dos Serviços Profissionais sem a autorização da Microsoft, a menos que o Cliente consiga provar que os Defeitos em questão não foram causados por essa alteração.</w:t>
      </w:r>
    </w:p>
    <w:p w14:paraId="4EE71440" w14:textId="26D61B11" w:rsidR="00374E8C" w:rsidRPr="004D7362" w:rsidRDefault="00374E8C" w:rsidP="002052C3">
      <w:pPr>
        <w:pStyle w:val="ListParagraph"/>
        <w:numPr>
          <w:ilvl w:val="0"/>
          <w:numId w:val="45"/>
        </w:numPr>
        <w:contextualSpacing w:val="0"/>
      </w:pPr>
      <w:r>
        <w:t>Todas as reclamações a que o Cliente tem direito com relação a esta seção expirarão em um ano.</w:t>
      </w:r>
      <w:r w:rsidR="004F12FC">
        <w:t xml:space="preserve"> </w:t>
      </w:r>
      <w:r>
        <w:t>Nos casos de execução de trabalho, o período limite terá início na data de aceitação (Abnahme); em todos os outros casos, o período limite será iniciado na data de entrega.</w:t>
      </w:r>
    </w:p>
    <w:p w14:paraId="55B904F4" w14:textId="351A61F9" w:rsidR="008C225D" w:rsidRPr="004D7362" w:rsidRDefault="008C225D" w:rsidP="002052C3">
      <w:pPr>
        <w:pStyle w:val="ListParagraph"/>
        <w:numPr>
          <w:ilvl w:val="0"/>
          <w:numId w:val="45"/>
        </w:numPr>
        <w:contextualSpacing w:val="0"/>
      </w:pPr>
      <w:r>
        <w:t>O Cliente declara e garante que cumprirá os termos do Registro e defenderá a Microsoft de todos os requerimentos em contrário feitos por um terceiro não afiliado, desde que o Cliente seja responsável pelo requerimento feito por esse terceiro não afiliado. O Cliente pagará o valor de qualquer decisão judicial desfavorável transitada em julgado ou acordo aprovado resultante desses requerimentos judiciais ou extrajudiciais e reembolsará à Microsoft as despesas razoáveis incorridas por esta ao responder a esses requerimentos.</w:t>
      </w:r>
    </w:p>
    <w:p w14:paraId="502D4D5F" w14:textId="62869B75" w:rsidR="008C225D" w:rsidRPr="004D7362" w:rsidRDefault="008C225D" w:rsidP="00D5280E">
      <w:pPr>
        <w:pStyle w:val="ListParagraph"/>
        <w:numPr>
          <w:ilvl w:val="1"/>
          <w:numId w:val="56"/>
        </w:numPr>
        <w:ind w:left="1080"/>
        <w:contextualSpacing w:val="0"/>
      </w:pPr>
      <w:r>
        <w:t>Na medida em que os Serviços Online da Microsoft forem considerados um arrendamento (mietweise Überlassung) e estiverem sujeitos às disposições estatutárias da lei de arrendamento da Alemanha (mietrechtliche Regelungen), as disposições de garantia limitada estipulada acima não deverão exceder nem limitar os direitos de garantia estatutários do Cliente; as disposições de garantia estatutária relevantes deverão se aplicar a requerimentos judiciais ou extrajudiciais devido a Defeitos, de acordo com as seguintes disposições que, no entanto, não serão aplicáveis quando os requerimentos forem por danos ou reembolso de despesas. Quaisquer recursos relacionados a garantias adicionais do Cliente de acordo com este contrato e os documentos complementares permanecerão não afetados por este.</w:t>
      </w:r>
    </w:p>
    <w:p w14:paraId="3A7739C9" w14:textId="77777777" w:rsidR="008C225D" w:rsidRPr="004D7362" w:rsidRDefault="008C225D" w:rsidP="002052C3">
      <w:pPr>
        <w:pStyle w:val="ListParagraph"/>
        <w:numPr>
          <w:ilvl w:val="0"/>
          <w:numId w:val="57"/>
        </w:numPr>
        <w:contextualSpacing w:val="0"/>
      </w:pPr>
      <w:r>
        <w:t>O Cliente renuncia (1) ao direito de compensação (Recht zur Aufrechnung), (2) ao direito de reduzir o preço (Minderungsrecht) e (3) ao direito de retenção (Zurückbehaltungsrecht) na máxima extensão permitida pela legislação aplicável, desde que o requerimento judicial ou extrajudicial utilizado para quaisquer direitos mencionados não seja incontestado (unbestritten) nem reconhecido pela ação declaratória (rechtskräftig festgestellt). Para evitar dúvidas, nenhum requerimento judicial ou extrajudicial do Cliente por enriquecimento ilícito (ungerechtfertigte Bereicherung) contra a Microsoft deverá ser excluído pelo presente.</w:t>
      </w:r>
    </w:p>
    <w:p w14:paraId="30A63F66" w14:textId="7906F2B6" w:rsidR="008C225D" w:rsidRPr="004D7362" w:rsidRDefault="008C225D" w:rsidP="002052C3">
      <w:pPr>
        <w:pStyle w:val="ListParagraph"/>
        <w:numPr>
          <w:ilvl w:val="0"/>
          <w:numId w:val="57"/>
        </w:numPr>
        <w:spacing w:after="240"/>
        <w:contextualSpacing w:val="0"/>
      </w:pPr>
      <w:r>
        <w:t>Todos os Créditos de Serviço identificados nos Contratos de Nível de Serviço e compensação contra os Valores de Serviço Mensais aplicáveis do Cliente por qualquer problema de desempenho ou disponibilidade de acordo com esta seção 5 e o Contrato de Nível de Serviço aplicável deverão ser automaticamente compensados (verrechnet) contra qualquer requerimento judicial ou extrajudicial que o Cliente possa ter por enriquecimento ilícito ou por danos ou despesas resultantes dos Defeitos com base no mesmo incidente que causou esses problemas de desempenho ou disponibilidade.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C225D" w:rsidRPr="00B471C1" w14:paraId="40A10D85" w14:textId="77777777" w:rsidTr="009435ED">
        <w:trPr>
          <w:jc w:val="center"/>
        </w:trPr>
        <w:tc>
          <w:tcPr>
            <w:tcW w:w="9029" w:type="dxa"/>
            <w:shd w:val="clear" w:color="auto" w:fill="C6D9F1"/>
          </w:tcPr>
          <w:p w14:paraId="529F342A" w14:textId="5F6E88E8" w:rsidR="008C225D" w:rsidRPr="00B471C1" w:rsidRDefault="008C225D" w:rsidP="008C225D">
            <w:pPr>
              <w:spacing w:after="120"/>
              <w:ind w:left="86" w:right="86"/>
              <w:rPr>
                <w:b/>
                <w:bCs/>
              </w:rPr>
            </w:pPr>
            <w:r>
              <w:rPr>
                <w:b/>
                <w:bCs/>
              </w:rPr>
              <w:t xml:space="preserve">Para os fins dos Serviços Online, complementar a Seção intitulada </w:t>
            </w:r>
            <w:r w:rsidR="00D64DB4">
              <w:rPr>
                <w:b/>
                <w:bCs/>
              </w:rPr>
              <w:t>“</w:t>
            </w:r>
            <w:r>
              <w:rPr>
                <w:b/>
                <w:bCs/>
              </w:rPr>
              <w:t>Defesa de requerimentos judiciais ou extrajudiciais de terceiros</w:t>
            </w:r>
            <w:r w:rsidR="00D64DB4">
              <w:rPr>
                <w:b/>
                <w:bCs/>
              </w:rPr>
              <w:t>”</w:t>
            </w:r>
            <w:r>
              <w:rPr>
                <w:b/>
                <w:bCs/>
              </w:rPr>
              <w:t xml:space="preserve"> com o seguinte:</w:t>
            </w:r>
          </w:p>
        </w:tc>
      </w:tr>
    </w:tbl>
    <w:p w14:paraId="42065145" w14:textId="294362FD" w:rsidR="008C225D" w:rsidRPr="004D7362" w:rsidRDefault="00555967" w:rsidP="008C225D">
      <w:pPr>
        <w:spacing w:after="240"/>
        <w:ind w:left="1077" w:hanging="357"/>
      </w:pPr>
      <w:r>
        <w:rPr>
          <w:b/>
          <w:bCs/>
        </w:rPr>
        <w:t>c</w:t>
      </w:r>
      <w:r w:rsidR="00D5280E">
        <w:rPr>
          <w:b/>
          <w:bCs/>
        </w:rPr>
        <w:t>.</w:t>
      </w:r>
      <w:r w:rsidR="00D5280E">
        <w:rPr>
          <w:b/>
          <w:bCs/>
        </w:rPr>
        <w:tab/>
      </w:r>
      <w:r w:rsidR="00D5280E">
        <w:t>Caso o Cliente tenha solicitado Serviços Online de acordo com o Registro, a obrigação dele de defender a Microsoft contra qualquer requerimento judicial ou extrajudicial apresentado por um terceiro não afiliado de acordo com a seção 6(b) deverá aplicar-se apenas na extensão em que o Cliente for responsável pela violação relevante da Política de Uso Aceitável. Além disso, a Microsoft só terá o direito de suspender ou cancelar o Serviço Online de acordo com a seção 6(c) se tiver motivos razoáveis para suspeitar que os Dados do Cliente, o software ou a tecnologia que não seja da Microsoft, usado pelo Cliente com o Serviço Online que a Microsoft gostaria de cancelar, realmente violarem os direitos de propriedade intelectual de terceiros.</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77B658B1" w14:textId="77777777" w:rsidTr="00E53ABB">
        <w:trPr>
          <w:jc w:val="center"/>
        </w:trPr>
        <w:tc>
          <w:tcPr>
            <w:tcW w:w="9029" w:type="dxa"/>
            <w:shd w:val="clear" w:color="auto" w:fill="C6D9F1"/>
          </w:tcPr>
          <w:p w14:paraId="3F63EE36" w14:textId="021D9587" w:rsidR="00374E8C" w:rsidRPr="00B471C1" w:rsidRDefault="00512CB6" w:rsidP="003B1452">
            <w:pPr>
              <w:keepNext/>
              <w:spacing w:after="120"/>
              <w:ind w:left="86" w:right="86"/>
              <w:rPr>
                <w:b/>
                <w:bCs/>
              </w:rPr>
            </w:pPr>
            <w:r>
              <w:rPr>
                <w:b/>
                <w:bCs/>
              </w:rPr>
              <w:lastRenderedPageBreak/>
              <w:t xml:space="preserve">Substituir a Seção intitulada </w:t>
            </w:r>
            <w:r w:rsidR="00D64DB4">
              <w:rPr>
                <w:b/>
                <w:bCs/>
              </w:rPr>
              <w:t>“</w:t>
            </w:r>
            <w:r>
              <w:rPr>
                <w:b/>
                <w:bCs/>
              </w:rPr>
              <w:t>Limitação de responsabilidade</w:t>
            </w:r>
            <w:r w:rsidR="00D64DB4">
              <w:rPr>
                <w:b/>
                <w:bCs/>
              </w:rPr>
              <w:t>”</w:t>
            </w:r>
            <w:r>
              <w:rPr>
                <w:b/>
                <w:bCs/>
              </w:rPr>
              <w:t xml:space="preserve"> pelo seguinte:</w:t>
            </w:r>
          </w:p>
        </w:tc>
      </w:tr>
    </w:tbl>
    <w:p w14:paraId="29757EA8" w14:textId="00A710D1" w:rsidR="00374E8C" w:rsidRPr="004D7362" w:rsidRDefault="00404D8A" w:rsidP="003B1452">
      <w:pPr>
        <w:keepNext/>
        <w:ind w:left="720" w:hanging="720"/>
      </w:pPr>
      <w:r>
        <w:rPr>
          <w:b/>
          <w:bCs/>
          <w:i/>
          <w:iCs/>
          <w:sz w:val="26"/>
          <w:szCs w:val="26"/>
        </w:rPr>
        <w:t>7.</w:t>
      </w:r>
      <w:r>
        <w:rPr>
          <w:b/>
          <w:bCs/>
          <w:i/>
          <w:iCs/>
          <w:sz w:val="26"/>
          <w:szCs w:val="26"/>
        </w:rPr>
        <w:tab/>
        <w:t>Limitação de responsabilidade.</w:t>
      </w:r>
    </w:p>
    <w:p w14:paraId="1B88AC5B" w14:textId="6CBCD8AB" w:rsidR="00374E8C" w:rsidRPr="004D7362" w:rsidRDefault="00374E8C" w:rsidP="00374E8C">
      <w:r>
        <w:t>Poderá haver situações nas quais o Cliente terá direito de pedir indenização por perdas e danos ou reembolsos de despesas extras (Ersatz vergeblicher Aufwendungen) à Microsoft.</w:t>
      </w:r>
      <w:r w:rsidR="004F12FC">
        <w:t xml:space="preserve"> </w:t>
      </w:r>
      <w:r>
        <w:t>Qualquer que seja a base legal para tal reclamação do Cliente (violação de contrato, Falhas, deliberadas ou não) a responsabilidade da Microsoft por qualquer e todo dano resultante se limita ao seguinte:</w:t>
      </w:r>
    </w:p>
    <w:p w14:paraId="6548D0CF" w14:textId="3A923BCD" w:rsidR="00374E8C" w:rsidRPr="004D7362" w:rsidRDefault="00374E8C" w:rsidP="00374E8C">
      <w:pPr>
        <w:ind w:left="1080" w:hanging="360"/>
      </w:pPr>
      <w:r>
        <w:rPr>
          <w:b/>
          <w:bCs/>
        </w:rPr>
        <w:t>a.</w:t>
      </w:r>
      <w:r>
        <w:tab/>
        <w:t>No caso de atos intencionais, requerimentos judiciais ou extrajudiciais de acordo com a German Product Liability Act - Lei Alemã de Responsabilidade Civil sobre Produtos (</w:t>
      </w:r>
      <w:r>
        <w:rPr>
          <w:i/>
        </w:rPr>
        <w:t>Produkthaftungsgesetz</w:t>
      </w:r>
      <w:r>
        <w:t>), não divulgação de má-fé de Defeitos, assim como requerimentos baseados em atentados contra a vida, saúde ou integridade física, a responsabilidade da Microsoft será determinada exclusivamente de acordo com a legislação.</w:t>
      </w:r>
    </w:p>
    <w:p w14:paraId="357F866B" w14:textId="2A323E08" w:rsidR="00374E8C" w:rsidRPr="004D7362" w:rsidRDefault="00374E8C" w:rsidP="00374E8C">
      <w:pPr>
        <w:ind w:left="1080" w:hanging="360"/>
      </w:pPr>
      <w:r>
        <w:rPr>
          <w:b/>
          <w:bCs/>
        </w:rPr>
        <w:t>b.</w:t>
      </w:r>
      <w:r>
        <w:rPr>
          <w:b/>
          <w:bCs/>
        </w:rPr>
        <w:tab/>
      </w:r>
      <w:r>
        <w:t>Nos casos de negligência grave, a responsabilidade da Microsoft será limitada aos danos tipicamente previsíveis. Este limite não se aplica aos danos suplementares que tenham sido causados por funcionários administrativos e representantes legais da Microsoft.</w:t>
      </w:r>
    </w:p>
    <w:p w14:paraId="78547BF4" w14:textId="74BAD5E2" w:rsidR="00374E8C" w:rsidRPr="004D7362" w:rsidRDefault="00D15BA2" w:rsidP="00374E8C">
      <w:pPr>
        <w:ind w:left="1080" w:hanging="360"/>
      </w:pPr>
      <w:r>
        <w:rPr>
          <w:b/>
          <w:bCs/>
        </w:rPr>
        <w:t>c.</w:t>
      </w:r>
      <w:r w:rsidR="00374E8C">
        <w:rPr>
          <w:b/>
          <w:bCs/>
        </w:rPr>
        <w:tab/>
      </w:r>
      <w:r w:rsidR="00374E8C">
        <w:t xml:space="preserve">Nos casos de negligência leve, a Microsoft só será responsável se tiver violado essas obrigações contratuais, a observância delas permitir o devido cumprimento deste contrato, a violação delas colocar em risco os objetivos deste contrato e em cuja conformidade o Cliente puder confiar constantemente (as chamadas </w:t>
      </w:r>
      <w:r w:rsidR="00D64DB4">
        <w:t>“</w:t>
      </w:r>
      <w:r w:rsidR="00374E8C">
        <w:t>obrigações primordiais</w:t>
      </w:r>
      <w:r w:rsidR="00D64DB4">
        <w:t>”</w:t>
      </w:r>
      <w:r w:rsidR="00374E8C">
        <w:t xml:space="preserve"> (</w:t>
      </w:r>
      <w:r w:rsidR="00374E8C">
        <w:rPr>
          <w:i/>
        </w:rPr>
        <w:t>Kardinalpflichten</w:t>
      </w:r>
      <w:r w:rsidR="00374E8C">
        <w:t>)).</w:t>
      </w:r>
      <w:r w:rsidR="004F12FC">
        <w:t xml:space="preserve"> </w:t>
      </w:r>
      <w:r w:rsidR="00374E8C">
        <w:t>Nestes casos, a responsabilidade da Microsoft será limitada aos danos tipicamente previsíveis.</w:t>
      </w:r>
      <w:r w:rsidR="004F12FC">
        <w:t xml:space="preserve"> </w:t>
      </w:r>
      <w:r w:rsidR="00374E8C">
        <w:t>Em todos os casos, a Microsoft não será responsável por negligência leve.</w:t>
      </w:r>
    </w:p>
    <w:p w14:paraId="5C242B9C" w14:textId="429FEEBA" w:rsidR="00374E8C" w:rsidRPr="004D7362" w:rsidRDefault="00374E8C" w:rsidP="00374E8C">
      <w:pPr>
        <w:ind w:left="1080" w:hanging="360"/>
      </w:pPr>
      <w:r>
        <w:rPr>
          <w:b/>
          <w:bCs/>
        </w:rPr>
        <w:t>d.</w:t>
      </w:r>
      <w:r>
        <w:rPr>
          <w:b/>
          <w:bCs/>
        </w:rPr>
        <w:tab/>
      </w:r>
      <w:r>
        <w:t>Nos casos de responsabilidade sem culpa por incapacidade de atuar durante execução atrasada, a responsabilidade da Microsoft será também limitada aos danos tipicamente previsíveis.</w:t>
      </w:r>
    </w:p>
    <w:p w14:paraId="72A9F621" w14:textId="7B002F35" w:rsidR="00374E8C" w:rsidRPr="004D7362" w:rsidRDefault="00374E8C" w:rsidP="00374E8C">
      <w:pPr>
        <w:ind w:left="1080" w:hanging="360"/>
      </w:pPr>
      <w:r>
        <w:rPr>
          <w:b/>
          <w:bCs/>
        </w:rPr>
        <w:t>e.</w:t>
      </w:r>
      <w:r>
        <w:tab/>
        <w:t>Nos casos em que a Microsoft for requisitada a fornecer um bem móvel ainda não produzido, qualquer requerimento judicial ou extrajudicial por danos ou despesas devido a Falhas ficará condicionado ao cumprimento por parte do Cliente de suas obrigações descritas acima de notificar a Microsoft sobre todas as Falhas.</w:t>
      </w:r>
    </w:p>
    <w:p w14:paraId="511FF9AA" w14:textId="120BFD65" w:rsidR="008C225D" w:rsidRPr="004D7362" w:rsidRDefault="008C225D" w:rsidP="00374E8C">
      <w:pPr>
        <w:ind w:left="1080" w:hanging="360"/>
      </w:pPr>
      <w:r>
        <w:rPr>
          <w:rFonts w:eastAsia="Calibri"/>
          <w:b/>
          <w:color w:val="auto"/>
        </w:rPr>
        <w:t>f.</w:t>
      </w:r>
      <w:r>
        <w:rPr>
          <w:rFonts w:eastAsia="Calibri"/>
          <w:color w:val="auto"/>
        </w:rPr>
        <w:tab/>
        <w:t>Nos casos em que o Serviço Online da Microsoft for considerado um arrendamento (</w:t>
      </w:r>
      <w:r>
        <w:rPr>
          <w:rFonts w:eastAsia="Calibri"/>
          <w:i/>
          <w:color w:val="auto"/>
        </w:rPr>
        <w:t>mietweise Überlassung</w:t>
      </w:r>
      <w:r>
        <w:rPr>
          <w:rFonts w:eastAsia="Calibri"/>
          <w:color w:val="auto"/>
        </w:rPr>
        <w:t>) e estiver sujeito às disposições estatutárias da lei de arrendamento da Alemanha (</w:t>
      </w:r>
      <w:r>
        <w:rPr>
          <w:rFonts w:eastAsia="Calibri"/>
          <w:i/>
          <w:color w:val="auto"/>
        </w:rPr>
        <w:t>mietrechtliche Regelungen</w:t>
      </w:r>
      <w:r>
        <w:rPr>
          <w:rFonts w:eastAsia="Calibri"/>
          <w:color w:val="auto"/>
        </w:rPr>
        <w:t>), a Microsoft não será responsável por danos baseados em Defeitos de acordo com o § 536 do Código Civil Alemão (</w:t>
      </w:r>
      <w:r>
        <w:rPr>
          <w:rFonts w:eastAsia="Calibri"/>
          <w:i/>
          <w:color w:val="auto"/>
        </w:rPr>
        <w:t>Bürgerliches Gesetzbuch</w:t>
      </w:r>
      <w:r>
        <w:rPr>
          <w:rFonts w:eastAsia="Calibri"/>
          <w:color w:val="auto"/>
        </w:rPr>
        <w:t>) que já existirem na celebração do contrato de arrendamento. O parágrafo § 536 a 1, primeiro alt. do Código Civil Alemão não será aplicável.</w:t>
      </w:r>
    </w:p>
    <w:p w14:paraId="7D5456DB" w14:textId="4D346E79" w:rsidR="00374E8C" w:rsidRPr="004D7362" w:rsidRDefault="008C225D" w:rsidP="00374E8C">
      <w:pPr>
        <w:ind w:left="1080" w:hanging="360"/>
      </w:pPr>
      <w:r>
        <w:rPr>
          <w:b/>
          <w:bCs/>
        </w:rPr>
        <w:t>g.</w:t>
      </w:r>
      <w:r>
        <w:tab/>
        <w:t>Qualquer reclamação por danos ou despesas resultantes de Defeitos expirará em um ano.</w:t>
      </w:r>
      <w:r w:rsidR="004F12FC">
        <w:t xml:space="preserve"> </w:t>
      </w:r>
      <w:r>
        <w:t xml:space="preserve">Para um bem móvel fornecido e ainda não produzido, o período limite terá início na data de entrega; nos casos de execução de trabalho, o período limite terá início na data de aceitação (Abnahme). A presente disposição não afeta o disposto no § 438, parágrafo 1 No. 1 a) do Código Civil Alemão. </w:t>
      </w:r>
    </w:p>
    <w:p w14:paraId="27950DF7" w14:textId="305C4DBA" w:rsidR="00374E8C" w:rsidRPr="004D7362" w:rsidRDefault="00374E8C" w:rsidP="00374E8C">
      <w:pPr>
        <w:ind w:left="1080"/>
      </w:pPr>
      <w:r>
        <w:t>As demais reclamações por danos ou despesas contra a Microsoft expirarão em dois anos a partir da data de origem da causa da ação.</w:t>
      </w:r>
    </w:p>
    <w:p w14:paraId="1C4580B1" w14:textId="72208706" w:rsidR="00374E8C" w:rsidRPr="004D7362" w:rsidRDefault="00374E8C" w:rsidP="00374E8C">
      <w:pPr>
        <w:ind w:left="1080"/>
      </w:pPr>
      <w:r>
        <w:t>A disposição contida nesta subseção não se aplicará a não divulgação de um Defeito resultante de má-fé, atos intencionais ou comportamento negligente grave por parte da Microsoft, requerimentos judiciais ou extrajudiciais de acordo com a German Product Liability Act - Lei Alemã de Responsabilidade Civil sobre Produtos ou danos contra a vida, integridade física ou saúde.</w:t>
      </w:r>
      <w:r w:rsidR="004F12FC">
        <w:t xml:space="preserve"> </w:t>
      </w:r>
      <w:r>
        <w:t>Nesses casos, aplica-se a legislação.</w:t>
      </w:r>
    </w:p>
    <w:p w14:paraId="3166D67A" w14:textId="77777777" w:rsidR="00374E8C" w:rsidRPr="00D15BA2" w:rsidRDefault="00374E8C" w:rsidP="00374E8C">
      <w:pPr>
        <w:keepNext/>
        <w:shd w:val="clear" w:color="auto" w:fill="000000"/>
        <w:spacing w:before="360" w:after="120"/>
        <w:rPr>
          <w:color w:val="FFFFFF" w:themeColor="background1"/>
        </w:rPr>
      </w:pPr>
      <w:r w:rsidRPr="00D15BA2">
        <w:rPr>
          <w:b/>
          <w:bCs/>
          <w:color w:val="FFFFFF" w:themeColor="background1"/>
        </w:rPr>
        <w:lastRenderedPageBreak/>
        <w:t>Hungria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7075C13E" w14:textId="77777777" w:rsidTr="00E53ABB">
        <w:trPr>
          <w:jc w:val="center"/>
        </w:trPr>
        <w:tc>
          <w:tcPr>
            <w:tcW w:w="9029" w:type="dxa"/>
            <w:shd w:val="clear" w:color="auto" w:fill="C6D9F1"/>
          </w:tcPr>
          <w:p w14:paraId="513EC76F" w14:textId="2EE614A5" w:rsidR="00374E8C" w:rsidRPr="00B471C1" w:rsidRDefault="00374E8C" w:rsidP="00924DE4">
            <w:pPr>
              <w:keepNext/>
              <w:spacing w:after="120"/>
              <w:ind w:left="86" w:right="86"/>
              <w:rPr>
                <w:b/>
                <w:bCs/>
              </w:rPr>
            </w:pPr>
            <w:r>
              <w:rPr>
                <w:b/>
                <w:bCs/>
              </w:rPr>
              <w:t xml:space="preserve">Complementar a Seção intitulada </w:t>
            </w:r>
            <w:r w:rsidR="00D64DB4">
              <w:rPr>
                <w:b/>
                <w:bCs/>
              </w:rPr>
              <w:t>“</w:t>
            </w:r>
            <w:r>
              <w:rPr>
                <w:b/>
                <w:bCs/>
              </w:rPr>
              <w:t>Limitação de responsabilidade</w:t>
            </w:r>
            <w:r w:rsidR="00D64DB4">
              <w:rPr>
                <w:b/>
                <w:bCs/>
              </w:rPr>
              <w:t>”</w:t>
            </w:r>
            <w:r>
              <w:rPr>
                <w:b/>
                <w:bCs/>
              </w:rPr>
              <w:t xml:space="preserve"> com o seguinte:</w:t>
            </w:r>
          </w:p>
        </w:tc>
      </w:tr>
    </w:tbl>
    <w:p w14:paraId="70835225" w14:textId="07F5F743" w:rsidR="00374E8C" w:rsidRPr="004D7362" w:rsidRDefault="00D92D70" w:rsidP="00374E8C">
      <w:pPr>
        <w:ind w:left="1080" w:hanging="360"/>
      </w:pPr>
      <w:r>
        <w:rPr>
          <w:b/>
          <w:bCs/>
        </w:rPr>
        <w:t>e.</w:t>
      </w:r>
      <w:r>
        <w:rPr>
          <w:b/>
          <w:bCs/>
        </w:rPr>
        <w:tab/>
        <w:t>Termos negociados.</w:t>
      </w:r>
      <w:r w:rsidR="004F12FC">
        <w:t xml:space="preserve"> </w:t>
      </w:r>
      <w:r>
        <w:t>As partes reconhecem que o presente contrato foi celebrado sob termos negociados individualmente entre as partes, e que as partes tiveram a oportunidade de sugerir aditamentos às minutas contratuais.</w:t>
      </w:r>
      <w:r w:rsidR="004F12FC">
        <w:t xml:space="preserve"> </w:t>
      </w:r>
      <w:r>
        <w:t xml:space="preserve">O Cliente reconhece que a Microsoft trouxe à sua atenção os termos e condições estabelecidos nas seções intituladas </w:t>
      </w:r>
      <w:r w:rsidR="00D64DB4">
        <w:t>“</w:t>
      </w:r>
      <w:r>
        <w:t>Garantias</w:t>
      </w:r>
      <w:r w:rsidR="00D64DB4">
        <w:t>”</w:t>
      </w:r>
      <w:r>
        <w:t xml:space="preserve">, </w:t>
      </w:r>
      <w:r w:rsidR="00D64DB4">
        <w:t>“</w:t>
      </w:r>
      <w:r>
        <w:t>Defesa contra requerimentos judiciais ou extrajudiciais de terceiros</w:t>
      </w:r>
      <w:r w:rsidR="00D64DB4">
        <w:t>”</w:t>
      </w:r>
      <w:r>
        <w:t xml:space="preserve"> e </w:t>
      </w:r>
      <w:r w:rsidR="00D64DB4">
        <w:t>“</w:t>
      </w:r>
      <w:r>
        <w:t>Limitação de responsabilidade</w:t>
      </w:r>
      <w:r w:rsidR="00D64DB4">
        <w:t>”</w:t>
      </w:r>
      <w:r>
        <w:t xml:space="preserve"> deste contrato, e reconhece expressamente que aceitou esses termos.</w:t>
      </w:r>
    </w:p>
    <w:p w14:paraId="36437FFE" w14:textId="742B90D9" w:rsidR="00374E8C" w:rsidRPr="00D15BA2" w:rsidRDefault="00374E8C" w:rsidP="00374E8C">
      <w:pPr>
        <w:keepNext/>
        <w:shd w:val="clear" w:color="auto" w:fill="000000"/>
        <w:spacing w:before="360" w:after="120"/>
        <w:rPr>
          <w:color w:val="FFFFFF" w:themeColor="background1"/>
        </w:rPr>
      </w:pPr>
      <w:r w:rsidRPr="00D15BA2">
        <w:rPr>
          <w:b/>
          <w:bCs/>
          <w:color w:val="FFFFFF" w:themeColor="background1"/>
        </w:rPr>
        <w:t>Polônia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DCF8C7C" w14:textId="77777777" w:rsidTr="00404D8A">
        <w:trPr>
          <w:jc w:val="center"/>
        </w:trPr>
        <w:tc>
          <w:tcPr>
            <w:tcW w:w="9029" w:type="dxa"/>
            <w:shd w:val="clear" w:color="auto" w:fill="C6D9F1"/>
          </w:tcPr>
          <w:p w14:paraId="433EDDCB" w14:textId="0297F372" w:rsidR="00374E8C" w:rsidRPr="00B471C1" w:rsidRDefault="00374E8C" w:rsidP="00BC390A">
            <w:pPr>
              <w:spacing w:after="120"/>
              <w:ind w:left="86" w:right="86"/>
              <w:rPr>
                <w:b/>
                <w:bCs/>
              </w:rPr>
            </w:pPr>
            <w:r>
              <w:rPr>
                <w:b/>
                <w:bCs/>
              </w:rPr>
              <w:t xml:space="preserve">Complementar a Seção intitulada </w:t>
            </w:r>
            <w:r w:rsidR="00D64DB4">
              <w:rPr>
                <w:b/>
                <w:bCs/>
              </w:rPr>
              <w:t>“</w:t>
            </w:r>
            <w:r>
              <w:rPr>
                <w:b/>
                <w:bCs/>
              </w:rPr>
              <w:t>Limitação de responsabilidade</w:t>
            </w:r>
            <w:r w:rsidR="00D64DB4">
              <w:rPr>
                <w:b/>
                <w:bCs/>
              </w:rPr>
              <w:t>”</w:t>
            </w:r>
            <w:r>
              <w:rPr>
                <w:b/>
                <w:bCs/>
              </w:rPr>
              <w:t xml:space="preserve"> com o seguinte:</w:t>
            </w:r>
          </w:p>
        </w:tc>
      </w:tr>
    </w:tbl>
    <w:p w14:paraId="7E4D65C8" w14:textId="2753855C" w:rsidR="00374E8C" w:rsidRPr="004D7362" w:rsidRDefault="00BC390A" w:rsidP="00374E8C">
      <w:pPr>
        <w:ind w:left="1080" w:hanging="360"/>
      </w:pPr>
      <w:r>
        <w:rPr>
          <w:b/>
        </w:rPr>
        <w:t>e.</w:t>
      </w:r>
      <w:r>
        <w:tab/>
        <w:t xml:space="preserve">Se o ato ou a omissão causador do dano consistiu-se na inexecução ou execução inadequada deste contrato ou de alguma Declaração de Serviço por parte da Microsoft e, ao mesmo tempo, constituiu-se em base para a responsabilidade da Microsoft por ato ilícito extracontratual, o Cliente terá o direito de requerer judicial ou extrajudicialmente que tal dano seja reparado exclusivamente com base nesta seção do contrato e apenas dentro do escopo estabelecido na subseção acima intitulada </w:t>
      </w:r>
      <w:r w:rsidR="00D64DB4">
        <w:t>“</w:t>
      </w:r>
      <w:r>
        <w:t>Limitação de responsabilidade</w:t>
      </w:r>
      <w:r w:rsidR="00D64DB4">
        <w:t>”</w:t>
      </w:r>
      <w:r>
        <w:t>.</w:t>
      </w:r>
    </w:p>
    <w:p w14:paraId="3AB3D944" w14:textId="77777777" w:rsidR="00374E8C" w:rsidRPr="00753095" w:rsidRDefault="00374E8C" w:rsidP="00374E8C">
      <w:pPr>
        <w:keepNext/>
        <w:shd w:val="clear" w:color="auto" w:fill="000000"/>
        <w:spacing w:before="360" w:after="120"/>
        <w:rPr>
          <w:color w:val="FFFFFF" w:themeColor="background1"/>
        </w:rPr>
      </w:pPr>
      <w:r>
        <w:rPr>
          <w:b/>
          <w:bCs/>
          <w:color w:val="FFFFFF"/>
        </w:rPr>
        <w:t>Romênia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234CCA55" w14:textId="77777777" w:rsidTr="00E53ABB">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20A2DEDF" w14:textId="236077B2" w:rsidR="00374E8C" w:rsidRPr="00B471C1" w:rsidRDefault="00374E8C" w:rsidP="00F3569F">
            <w:pPr>
              <w:keepNext/>
              <w:spacing w:after="120"/>
              <w:ind w:left="86" w:right="86"/>
              <w:rPr>
                <w:b/>
                <w:bCs/>
              </w:rPr>
            </w:pPr>
            <w:r>
              <w:rPr>
                <w:b/>
                <w:bCs/>
              </w:rPr>
              <w:t xml:space="preserve">Complementar a Seção intitulada </w:t>
            </w:r>
            <w:r w:rsidR="00D64DB4">
              <w:rPr>
                <w:b/>
                <w:bCs/>
              </w:rPr>
              <w:t>“</w:t>
            </w:r>
            <w:r>
              <w:rPr>
                <w:b/>
                <w:bCs/>
              </w:rPr>
              <w:t>Disposições Gerais</w:t>
            </w:r>
            <w:r w:rsidR="00D64DB4">
              <w:rPr>
                <w:b/>
                <w:bCs/>
              </w:rPr>
              <w:t>”</w:t>
            </w:r>
            <w:r>
              <w:rPr>
                <w:b/>
                <w:bCs/>
              </w:rPr>
              <w:t xml:space="preserve"> com o seguinte:</w:t>
            </w:r>
          </w:p>
        </w:tc>
      </w:tr>
    </w:tbl>
    <w:p w14:paraId="53FAF6FE" w14:textId="34D2CF78" w:rsidR="00374E8C" w:rsidRPr="004D7362" w:rsidRDefault="00D95884" w:rsidP="00122A75">
      <w:pPr>
        <w:pStyle w:val="ListParagraph"/>
        <w:adjustRightInd w:val="0"/>
        <w:snapToGrid w:val="0"/>
        <w:ind w:left="1080" w:hanging="360"/>
        <w:contextualSpacing w:val="0"/>
      </w:pPr>
      <w:r>
        <w:rPr>
          <w:b/>
          <w:bCs/>
        </w:rPr>
        <w:t>o.</w:t>
      </w:r>
      <w:r>
        <w:rPr>
          <w:bCs/>
        </w:rPr>
        <w:tab/>
        <w:t>As partes reconhecem que o presente contrato foi celebrado sob termos negociados individualmente entre as partes, e que as partes tiveram a oportunidade de sugerir aditamentos às minutas contratuais.</w:t>
      </w:r>
      <w:r w:rsidR="004F12FC">
        <w:rPr>
          <w:bCs/>
        </w:rPr>
        <w:t xml:space="preserve"> </w:t>
      </w:r>
      <w:r>
        <w:rPr>
          <w:bCs/>
        </w:rPr>
        <w:t xml:space="preserve">O Cliente por meio deste declara que, ao apor sua assinatura no formulário de assinaturas anexo a este contrato, ele reconhece e aceita expressamente todas as suas disposições, inclusive aquelas que possam ser qualificadas como cláusulas incomuns (conforme definido elo artigo 1203 do Código Civil Romeno) estabelecidas neste contrato pela Microsoft, incluindo, sem se limitar, as disposições dispostas em: Seção intitulada </w:t>
      </w:r>
      <w:r w:rsidR="00D64DB4">
        <w:rPr>
          <w:bCs/>
        </w:rPr>
        <w:t>“</w:t>
      </w:r>
      <w:r>
        <w:rPr>
          <w:bCs/>
        </w:rPr>
        <w:t>Uso, propriedade, direitos e restrições</w:t>
      </w:r>
      <w:r w:rsidR="00D64DB4">
        <w:rPr>
          <w:bCs/>
        </w:rPr>
        <w:t>”</w:t>
      </w:r>
      <w:r>
        <w:rPr>
          <w:bCs/>
        </w:rPr>
        <w:t xml:space="preserve">; Seção intitulada </w:t>
      </w:r>
      <w:r w:rsidR="00D64DB4">
        <w:rPr>
          <w:bCs/>
        </w:rPr>
        <w:t>“</w:t>
      </w:r>
      <w:r>
        <w:rPr>
          <w:bCs/>
        </w:rPr>
        <w:t>Garantias</w:t>
      </w:r>
      <w:r w:rsidR="00D64DB4">
        <w:rPr>
          <w:bCs/>
        </w:rPr>
        <w:t>”</w:t>
      </w:r>
      <w:r>
        <w:rPr>
          <w:bCs/>
        </w:rPr>
        <w:t xml:space="preserve">; Seção intitulada </w:t>
      </w:r>
      <w:r w:rsidR="00D64DB4">
        <w:rPr>
          <w:bCs/>
        </w:rPr>
        <w:t>“</w:t>
      </w:r>
      <w:r>
        <w:rPr>
          <w:bCs/>
        </w:rPr>
        <w:t>Defesa contra requerimentos judiciais ou extrajudiciais de terceiros</w:t>
      </w:r>
      <w:r w:rsidR="00D64DB4">
        <w:rPr>
          <w:bCs/>
        </w:rPr>
        <w:t>”</w:t>
      </w:r>
      <w:r>
        <w:rPr>
          <w:bCs/>
        </w:rPr>
        <w:t xml:space="preserve">; Seção intitulada </w:t>
      </w:r>
      <w:r w:rsidR="00D64DB4">
        <w:rPr>
          <w:bCs/>
        </w:rPr>
        <w:t>“</w:t>
      </w:r>
      <w:r>
        <w:rPr>
          <w:bCs/>
        </w:rPr>
        <w:t>Limitação de Responsabilidade</w:t>
      </w:r>
      <w:r w:rsidR="00D64DB4">
        <w:rPr>
          <w:bCs/>
        </w:rPr>
        <w:t>”</w:t>
      </w:r>
      <w:r>
        <w:rPr>
          <w:bCs/>
        </w:rPr>
        <w:t xml:space="preserve">; Seção intitulada </w:t>
      </w:r>
      <w:r w:rsidR="00D64DB4">
        <w:rPr>
          <w:bCs/>
        </w:rPr>
        <w:t>“</w:t>
      </w:r>
      <w:r>
        <w:rPr>
          <w:bCs/>
        </w:rPr>
        <w:t>Prazo e rescisão</w:t>
      </w:r>
      <w:r w:rsidR="00D64DB4">
        <w:rPr>
          <w:bCs/>
        </w:rPr>
        <w:t>”</w:t>
      </w:r>
      <w:r>
        <w:rPr>
          <w:bCs/>
        </w:rPr>
        <w:t xml:space="preserve">; Subseção intitulada </w:t>
      </w:r>
      <w:r w:rsidR="00D64DB4">
        <w:rPr>
          <w:bCs/>
        </w:rPr>
        <w:t>“</w:t>
      </w:r>
      <w:r>
        <w:rPr>
          <w:bCs/>
        </w:rPr>
        <w:t>Suporte para Produtos</w:t>
      </w:r>
      <w:r w:rsidR="00D64DB4">
        <w:rPr>
          <w:bCs/>
        </w:rPr>
        <w:t>”</w:t>
      </w:r>
      <w:r>
        <w:rPr>
          <w:bCs/>
        </w:rPr>
        <w:t xml:space="preserve">; Subseção intitulada </w:t>
      </w:r>
      <w:r w:rsidR="00D64DB4">
        <w:rPr>
          <w:bCs/>
        </w:rPr>
        <w:t>“</w:t>
      </w:r>
      <w:r>
        <w:rPr>
          <w:bCs/>
        </w:rPr>
        <w:t>Cessão</w:t>
      </w:r>
      <w:r w:rsidR="00D64DB4">
        <w:rPr>
          <w:bCs/>
        </w:rPr>
        <w:t>”</w:t>
      </w:r>
      <w:r>
        <w:rPr>
          <w:bCs/>
        </w:rPr>
        <w:t xml:space="preserve">; Subseção intitulada </w:t>
      </w:r>
      <w:r w:rsidR="00D64DB4">
        <w:rPr>
          <w:bCs/>
        </w:rPr>
        <w:t>“</w:t>
      </w:r>
      <w:r>
        <w:rPr>
          <w:bCs/>
        </w:rPr>
        <w:t>Solução de controvérsias</w:t>
      </w:r>
      <w:r w:rsidR="00D64DB4">
        <w:rPr>
          <w:bCs/>
        </w:rPr>
        <w:t>”</w:t>
      </w:r>
      <w:r>
        <w:rPr>
          <w:bCs/>
        </w:rPr>
        <w:t xml:space="preserve">; Subseção intitulada </w:t>
      </w:r>
      <w:r w:rsidR="00D64DB4">
        <w:rPr>
          <w:bCs/>
        </w:rPr>
        <w:t>“</w:t>
      </w:r>
      <w:r>
        <w:rPr>
          <w:bCs/>
        </w:rPr>
        <w:t>Lei aplicável</w:t>
      </w:r>
      <w:r w:rsidR="00D64DB4">
        <w:rPr>
          <w:bCs/>
        </w:rPr>
        <w:t>”</w:t>
      </w:r>
      <w:r>
        <w:rPr>
          <w:bCs/>
        </w:rPr>
        <w:t xml:space="preserve">; Subseção intitulada </w:t>
      </w:r>
      <w:r w:rsidR="00D64DB4">
        <w:rPr>
          <w:bCs/>
        </w:rPr>
        <w:t>“</w:t>
      </w:r>
      <w:r>
        <w:rPr>
          <w:bCs/>
        </w:rPr>
        <w:t>Termos de pagamento dos Serviços Profissionais</w:t>
      </w:r>
      <w:r w:rsidR="00D64DB4">
        <w:rPr>
          <w:bCs/>
        </w:rPr>
        <w:t>”</w:t>
      </w:r>
      <w:r>
        <w:rPr>
          <w:bCs/>
        </w:rPr>
        <w:t xml:space="preserve">; Subseção intitulada </w:t>
      </w:r>
      <w:r w:rsidR="00D64DB4">
        <w:rPr>
          <w:bCs/>
        </w:rPr>
        <w:t>“</w:t>
      </w:r>
      <w:r>
        <w:rPr>
          <w:bCs/>
        </w:rPr>
        <w:t>Exportação dos Estados Unidos</w:t>
      </w:r>
      <w:r w:rsidR="00D64DB4">
        <w:rPr>
          <w:bCs/>
        </w:rPr>
        <w:t>”</w:t>
      </w:r>
      <w:r>
        <w:rPr>
          <w:bCs/>
        </w:rPr>
        <w:t>.</w:t>
      </w:r>
    </w:p>
    <w:p w14:paraId="384CF72A" w14:textId="77777777" w:rsidR="00374E8C" w:rsidRPr="004D7362" w:rsidRDefault="00374E8C" w:rsidP="00374E8C">
      <w:pPr>
        <w:keepNext/>
        <w:shd w:val="clear" w:color="auto" w:fill="000000"/>
        <w:spacing w:before="360" w:after="120"/>
      </w:pPr>
      <w:r>
        <w:rPr>
          <w:b/>
          <w:bCs/>
          <w:color w:val="FFFFFF"/>
        </w:rPr>
        <w:t>República Eslovaca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56245E5" w14:textId="77777777" w:rsidTr="00404D8A">
        <w:trPr>
          <w:jc w:val="center"/>
        </w:trPr>
        <w:tc>
          <w:tcPr>
            <w:tcW w:w="9029" w:type="dxa"/>
            <w:shd w:val="clear" w:color="auto" w:fill="C6D9F1"/>
          </w:tcPr>
          <w:p w14:paraId="4C9042DF" w14:textId="7C73F86B" w:rsidR="00374E8C" w:rsidRPr="00B471C1" w:rsidRDefault="00374E8C" w:rsidP="00F3569F">
            <w:pPr>
              <w:spacing w:after="120"/>
              <w:ind w:left="86" w:right="86"/>
              <w:rPr>
                <w:b/>
                <w:bCs/>
              </w:rPr>
            </w:pPr>
            <w:r>
              <w:rPr>
                <w:b/>
                <w:bCs/>
              </w:rPr>
              <w:t xml:space="preserve">Complementar a Seção intitulada </w:t>
            </w:r>
            <w:r w:rsidR="00D64DB4">
              <w:rPr>
                <w:b/>
                <w:bCs/>
              </w:rPr>
              <w:t>“</w:t>
            </w:r>
            <w:r>
              <w:rPr>
                <w:b/>
                <w:bCs/>
              </w:rPr>
              <w:t>Garantias</w:t>
            </w:r>
            <w:r w:rsidR="00D64DB4">
              <w:rPr>
                <w:b/>
                <w:bCs/>
              </w:rPr>
              <w:t>”</w:t>
            </w:r>
            <w:r>
              <w:rPr>
                <w:b/>
                <w:bCs/>
              </w:rPr>
              <w:t xml:space="preserve"> com o seguinte:</w:t>
            </w:r>
          </w:p>
        </w:tc>
      </w:tr>
    </w:tbl>
    <w:p w14:paraId="362036B6" w14:textId="35006D10" w:rsidR="00374E8C" w:rsidRPr="004D7362" w:rsidRDefault="00374E8C" w:rsidP="00374E8C">
      <w:pPr>
        <w:spacing w:after="240"/>
        <w:ind w:left="1080"/>
      </w:pPr>
      <w:r>
        <w:t>Os Serviços Entregues da Microsoft são desenvolvidos de acordo com o mais recente conhecimento técnico e científico.</w:t>
      </w:r>
      <w:r w:rsidR="004F12FC">
        <w:t xml:space="preserve"> </w:t>
      </w:r>
      <w:r>
        <w:t>A Microsoft informa o Cliente que com a atual tecnologia não é possível desenvolver produtos de software complexos que não apresentem nenhum tipo de defeito técnico, o que poderá ocorrer no futuro.</w:t>
      </w:r>
      <w:r w:rsidR="004F12FC">
        <w:t xml:space="preserve"> </w:t>
      </w:r>
      <w:r>
        <w:t>Os softwares fornecidos pela Microsoft não devem necessariamente estar livres de falhas de programação, mas sim, deverão funcionar de acordo com a documentação de usuário da Microsoft, ou, se não houver documentação do usuário, de acordo com a respectiva Declaração de Serviços.</w:t>
      </w:r>
    </w:p>
    <w:p w14:paraId="4A7CFFDB" w14:textId="338AA534" w:rsidR="00374E8C" w:rsidRPr="00753095" w:rsidRDefault="00374E8C" w:rsidP="00374E8C">
      <w:pPr>
        <w:keepNext/>
        <w:shd w:val="clear" w:color="auto" w:fill="000000"/>
        <w:spacing w:before="360" w:after="120"/>
        <w:rPr>
          <w:color w:val="FFFFFF" w:themeColor="background1"/>
        </w:rPr>
      </w:pPr>
      <w:r>
        <w:rPr>
          <w:b/>
          <w:bCs/>
          <w:color w:val="FFFFFF"/>
        </w:rPr>
        <w:lastRenderedPageBreak/>
        <w:t>Suíça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46E6F774" w14:textId="77777777" w:rsidTr="00B471C1">
        <w:trPr>
          <w:jc w:val="center"/>
        </w:trPr>
        <w:tc>
          <w:tcPr>
            <w:tcW w:w="9029" w:type="dxa"/>
            <w:shd w:val="clear" w:color="auto" w:fill="BDD6EE" w:themeFill="accent1" w:themeFillTint="66"/>
          </w:tcPr>
          <w:p w14:paraId="38704A81" w14:textId="4B6685B3" w:rsidR="00374E8C" w:rsidRPr="00B471C1" w:rsidRDefault="00374E8C" w:rsidP="00F3569F">
            <w:pPr>
              <w:keepNext/>
              <w:spacing w:after="120"/>
              <w:ind w:left="86" w:right="86"/>
              <w:rPr>
                <w:b/>
                <w:bCs/>
              </w:rPr>
            </w:pPr>
            <w:r>
              <w:rPr>
                <w:b/>
                <w:bCs/>
              </w:rPr>
              <w:t xml:space="preserve">Complementar a Seção intitulada </w:t>
            </w:r>
            <w:r w:rsidR="00D64DB4">
              <w:rPr>
                <w:b/>
                <w:bCs/>
              </w:rPr>
              <w:t>“</w:t>
            </w:r>
            <w:r>
              <w:rPr>
                <w:b/>
                <w:bCs/>
              </w:rPr>
              <w:t>Disposições Gerais</w:t>
            </w:r>
            <w:r w:rsidR="00D64DB4">
              <w:rPr>
                <w:b/>
                <w:bCs/>
              </w:rPr>
              <w:t>”</w:t>
            </w:r>
            <w:r>
              <w:rPr>
                <w:b/>
                <w:bCs/>
              </w:rPr>
              <w:t xml:space="preserve"> com o seguinte:</w:t>
            </w:r>
          </w:p>
        </w:tc>
      </w:tr>
    </w:tbl>
    <w:p w14:paraId="25AFE6A6" w14:textId="70201EF1" w:rsidR="00374E8C" w:rsidRPr="004D7362" w:rsidRDefault="0089029D" w:rsidP="00122A75">
      <w:pPr>
        <w:ind w:left="1080" w:hanging="360"/>
      </w:pPr>
      <w:r>
        <w:rPr>
          <w:b/>
        </w:rPr>
        <w:t>o.</w:t>
      </w:r>
      <w:r>
        <w:tab/>
        <w:t>Todos os Serviços Profissionais são prestados SOB um contrato de mandato, na forma prevista no parágrafo 394 e seguintes do Código Suíço das Obrigações.</w:t>
      </w:r>
    </w:p>
    <w:p w14:paraId="30D23F7D" w14:textId="77777777" w:rsidR="00374E8C" w:rsidRPr="00753095" w:rsidRDefault="00374E8C" w:rsidP="00374E8C">
      <w:pPr>
        <w:keepNext/>
        <w:shd w:val="clear" w:color="auto" w:fill="000000"/>
        <w:spacing w:before="360" w:after="120"/>
        <w:rPr>
          <w:color w:val="FFFFFF" w:themeColor="background1"/>
        </w:rPr>
      </w:pPr>
      <w:r>
        <w:rPr>
          <w:b/>
          <w:bCs/>
          <w:color w:val="FFFFFF"/>
        </w:rPr>
        <w:t>Ucrânia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30478ED5" w14:textId="77777777" w:rsidTr="00E53ABB">
        <w:trPr>
          <w:jc w:val="center"/>
        </w:trPr>
        <w:tc>
          <w:tcPr>
            <w:tcW w:w="9029" w:type="dxa"/>
            <w:shd w:val="clear" w:color="auto" w:fill="C6D9F1"/>
          </w:tcPr>
          <w:p w14:paraId="0CDA5DA7" w14:textId="09BDF60C" w:rsidR="00374E8C" w:rsidRPr="00B471C1" w:rsidRDefault="00374E8C" w:rsidP="002237A3">
            <w:pPr>
              <w:keepNext/>
              <w:spacing w:after="120"/>
              <w:ind w:left="86" w:right="86"/>
              <w:rPr>
                <w:b/>
                <w:bCs/>
              </w:rPr>
            </w:pPr>
            <w:r>
              <w:rPr>
                <w:b/>
                <w:bCs/>
              </w:rPr>
              <w:t xml:space="preserve">Complementar a Seção intitulada </w:t>
            </w:r>
            <w:r w:rsidR="00D64DB4">
              <w:rPr>
                <w:b/>
                <w:bCs/>
              </w:rPr>
              <w:t>“</w:t>
            </w:r>
            <w:r>
              <w:rPr>
                <w:b/>
                <w:bCs/>
              </w:rPr>
              <w:t>Limitação de responsabilidade</w:t>
            </w:r>
            <w:r w:rsidR="00D64DB4">
              <w:rPr>
                <w:b/>
                <w:bCs/>
              </w:rPr>
              <w:t>”</w:t>
            </w:r>
            <w:r>
              <w:rPr>
                <w:b/>
                <w:bCs/>
              </w:rPr>
              <w:t xml:space="preserve"> com o seguinte:</w:t>
            </w:r>
          </w:p>
        </w:tc>
      </w:tr>
    </w:tbl>
    <w:p w14:paraId="443F5FF0" w14:textId="5E067602" w:rsidR="00374E8C" w:rsidRPr="004D7362" w:rsidRDefault="002237A3" w:rsidP="00122A75">
      <w:pPr>
        <w:ind w:left="1080" w:hanging="360"/>
      </w:pPr>
      <w:r>
        <w:rPr>
          <w:b/>
          <w:bCs/>
        </w:rPr>
        <w:t>e.</w:t>
      </w:r>
      <w:r>
        <w:rPr>
          <w:b/>
          <w:bCs/>
        </w:rPr>
        <w:tab/>
        <w:t>Aplicação.</w:t>
      </w:r>
      <w:r w:rsidR="004F12FC">
        <w:t xml:space="preserve"> </w:t>
      </w:r>
      <w:r>
        <w:t>Exceto conforme expressamente definido nesta seção, as limitações e exclusões de responsabilidade por danos neste contrato (incluindo qualquer Contrato Complementar) serão aplicáveis independentemente de a responsabilidade estar baseada na violação de contrato, ato ilícito extracontratual, violação de garantias ou qualquer outro embasamento legal.</w:t>
      </w:r>
      <w:bookmarkStart w:id="2" w:name="_GoBack"/>
      <w:bookmarkEnd w:id="2"/>
    </w:p>
    <w:sectPr w:rsidR="00374E8C" w:rsidRPr="004D7362" w:rsidSect="00033D68">
      <w:headerReference w:type="even" r:id="rId12"/>
      <w:headerReference w:type="default" r:id="rId13"/>
      <w:footerReference w:type="default" r:id="rId14"/>
      <w:headerReference w:type="first" r:id="rId15"/>
      <w:footerReference w:type="first" r:id="rId16"/>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E53CE44" w14:textId="77777777" w:rsidR="00DF2744" w:rsidRDefault="00DF2744" w:rsidP="00135BAF">
      <w:pPr>
        <w:spacing w:before="0"/>
      </w:pPr>
      <w:r>
        <w:separator/>
      </w:r>
    </w:p>
  </w:endnote>
  <w:endnote w:type="continuationSeparator" w:id="0">
    <w:p w14:paraId="4A80D87A" w14:textId="77777777" w:rsidR="00DF2744" w:rsidRDefault="00DF2744" w:rsidP="00135BAF">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36"/>
      <w:gridCol w:w="4193"/>
    </w:tblGrid>
    <w:tr w:rsidR="003B1452" w:rsidRPr="0005091C" w14:paraId="29DCB2CB" w14:textId="77777777" w:rsidTr="003C20F7">
      <w:trPr>
        <w:jc w:val="center"/>
      </w:trPr>
      <w:tc>
        <w:tcPr>
          <w:tcW w:w="4836" w:type="dxa"/>
        </w:tcPr>
        <w:p w14:paraId="65AC43AA" w14:textId="77777777" w:rsidR="003B1452" w:rsidRPr="0005091C" w:rsidRDefault="003B1452" w:rsidP="003B1452">
          <w:pPr>
            <w:pStyle w:val="Footer"/>
            <w:rPr>
              <w:sz w:val="16"/>
              <w:szCs w:val="16"/>
              <w:lang w:val="en-US" w:eastAsia="ja-JP" w:bidi="ar-SA"/>
            </w:rPr>
          </w:pPr>
          <w:r w:rsidRPr="0005091C">
            <w:rPr>
              <w:sz w:val="16"/>
              <w:szCs w:val="16"/>
              <w:lang w:val="en-US" w:eastAsia="ja-JP" w:bidi="ar-SA"/>
            </w:rPr>
            <w:t>MBSA20</w:t>
          </w:r>
          <w:r>
            <w:rPr>
              <w:sz w:val="16"/>
              <w:szCs w:val="16"/>
              <w:lang w:val="en-US" w:eastAsia="ja-JP" w:bidi="ar-SA"/>
            </w:rPr>
            <w:t>201</w:t>
          </w:r>
          <w:r w:rsidRPr="0005091C">
            <w:rPr>
              <w:sz w:val="16"/>
              <w:szCs w:val="16"/>
              <w:lang w:val="en-US" w:eastAsia="ja-JP" w:bidi="ar-SA"/>
            </w:rPr>
            <w:t>Agr(</w:t>
          </w:r>
          <w:proofErr w:type="spellStart"/>
          <w:r w:rsidRPr="0005091C">
            <w:rPr>
              <w:sz w:val="16"/>
              <w:szCs w:val="16"/>
              <w:lang w:val="en-US" w:eastAsia="ja-JP" w:bidi="ar-SA"/>
            </w:rPr>
            <w:t>CountrySpecificProv</w:t>
          </w:r>
          <w:proofErr w:type="spellEnd"/>
          <w:r w:rsidRPr="0005091C">
            <w:rPr>
              <w:sz w:val="16"/>
              <w:szCs w:val="16"/>
              <w:lang w:val="en-US" w:eastAsia="ja-JP" w:bidi="ar-SA"/>
            </w:rPr>
            <w:t>)(WW)(PTB)(</w:t>
          </w:r>
          <w:r>
            <w:rPr>
              <w:sz w:val="16"/>
              <w:szCs w:val="16"/>
              <w:lang w:val="en-US" w:eastAsia="ja-JP" w:bidi="ar-SA"/>
            </w:rPr>
            <w:t>Oct2019</w:t>
          </w:r>
          <w:r w:rsidRPr="0005091C">
            <w:rPr>
              <w:sz w:val="16"/>
              <w:szCs w:val="16"/>
              <w:lang w:val="en-US" w:eastAsia="ja-JP" w:bidi="ar-SA"/>
            </w:rPr>
            <w:t>)</w:t>
          </w:r>
        </w:p>
      </w:tc>
      <w:tc>
        <w:tcPr>
          <w:tcW w:w="4193" w:type="dxa"/>
        </w:tcPr>
        <w:p w14:paraId="1CACB923" w14:textId="77777777" w:rsidR="003B1452" w:rsidRPr="0005091C" w:rsidRDefault="003B1452" w:rsidP="003B1452">
          <w:pPr>
            <w:pStyle w:val="Footer"/>
            <w:jc w:val="right"/>
            <w:rPr>
              <w:sz w:val="16"/>
              <w:szCs w:val="16"/>
              <w:lang w:val="en-US" w:eastAsia="ja-JP" w:bidi="ar-SA"/>
            </w:rPr>
          </w:pPr>
          <w:r w:rsidRPr="0005091C">
            <w:rPr>
              <w:sz w:val="16"/>
              <w:szCs w:val="16"/>
              <w:lang w:val="en-US" w:eastAsia="ja-JP" w:bidi="ar-SA"/>
            </w:rPr>
            <w:t xml:space="preserve">Page </w:t>
          </w:r>
          <w:r w:rsidRPr="0005091C">
            <w:rPr>
              <w:sz w:val="16"/>
              <w:szCs w:val="16"/>
              <w:lang w:val="en-US" w:eastAsia="ja-JP" w:bidi="ar-SA"/>
            </w:rPr>
            <w:fldChar w:fldCharType="begin"/>
          </w:r>
          <w:r w:rsidRPr="0005091C">
            <w:rPr>
              <w:sz w:val="16"/>
              <w:szCs w:val="16"/>
              <w:lang w:val="en-US" w:eastAsia="ja-JP" w:bidi="ar-SA"/>
            </w:rPr>
            <w:instrText xml:space="preserve"> PAGE  \* Arabic  \* MERGEFORMAT </w:instrText>
          </w:r>
          <w:r w:rsidRPr="0005091C">
            <w:rPr>
              <w:sz w:val="16"/>
              <w:szCs w:val="16"/>
              <w:lang w:val="en-US" w:eastAsia="ja-JP" w:bidi="ar-SA"/>
            </w:rPr>
            <w:fldChar w:fldCharType="separate"/>
          </w:r>
          <w:r>
            <w:rPr>
              <w:noProof/>
              <w:sz w:val="16"/>
              <w:szCs w:val="16"/>
              <w:lang w:val="en-US" w:eastAsia="ja-JP" w:bidi="ar-SA"/>
            </w:rPr>
            <w:t>1</w:t>
          </w:r>
          <w:r w:rsidRPr="0005091C">
            <w:rPr>
              <w:sz w:val="16"/>
              <w:szCs w:val="16"/>
              <w:lang w:val="en-US" w:eastAsia="ja-JP" w:bidi="ar-SA"/>
            </w:rPr>
            <w:fldChar w:fldCharType="end"/>
          </w:r>
          <w:r w:rsidRPr="0005091C">
            <w:rPr>
              <w:sz w:val="16"/>
              <w:szCs w:val="16"/>
              <w:lang w:val="en-US" w:eastAsia="ja-JP" w:bidi="ar-SA"/>
            </w:rPr>
            <w:t xml:space="preserve"> of </w:t>
          </w:r>
          <w:r w:rsidRPr="0005091C">
            <w:rPr>
              <w:sz w:val="16"/>
              <w:szCs w:val="16"/>
              <w:lang w:val="en-US" w:eastAsia="ja-JP" w:bidi="ar-SA"/>
            </w:rPr>
            <w:fldChar w:fldCharType="begin"/>
          </w:r>
          <w:r w:rsidRPr="0005091C">
            <w:rPr>
              <w:sz w:val="16"/>
              <w:szCs w:val="16"/>
              <w:lang w:val="en-US" w:eastAsia="ja-JP" w:bidi="ar-SA"/>
            </w:rPr>
            <w:instrText xml:space="preserve"> NUMPAGES  \* Arabic  \* MERGEFORMAT </w:instrText>
          </w:r>
          <w:r w:rsidRPr="0005091C">
            <w:rPr>
              <w:sz w:val="16"/>
              <w:szCs w:val="16"/>
              <w:lang w:val="en-US" w:eastAsia="ja-JP" w:bidi="ar-SA"/>
            </w:rPr>
            <w:fldChar w:fldCharType="separate"/>
          </w:r>
          <w:r>
            <w:rPr>
              <w:noProof/>
              <w:sz w:val="16"/>
              <w:szCs w:val="16"/>
              <w:lang w:val="en-US" w:eastAsia="ja-JP" w:bidi="ar-SA"/>
            </w:rPr>
            <w:t>10</w:t>
          </w:r>
          <w:r w:rsidRPr="0005091C">
            <w:rPr>
              <w:sz w:val="16"/>
              <w:szCs w:val="16"/>
              <w:lang w:val="en-US" w:eastAsia="ja-JP" w:bidi="ar-SA"/>
            </w:rPr>
            <w:fldChar w:fldCharType="end"/>
          </w:r>
        </w:p>
        <w:p w14:paraId="2947282B" w14:textId="77777777" w:rsidR="003B1452" w:rsidRPr="0005091C" w:rsidRDefault="003B1452" w:rsidP="003B1452">
          <w:pPr>
            <w:pStyle w:val="Footer"/>
            <w:jc w:val="right"/>
            <w:rPr>
              <w:sz w:val="16"/>
              <w:szCs w:val="16"/>
              <w:lang w:val="en-US" w:eastAsia="ja-JP" w:bidi="ar-SA"/>
            </w:rPr>
          </w:pPr>
          <w:r w:rsidRPr="0005091C">
            <w:rPr>
              <w:sz w:val="16"/>
              <w:szCs w:val="16"/>
              <w:lang w:val="en-US" w:eastAsia="ja-JP" w:bidi="ar-SA"/>
            </w:rPr>
            <w:t>Document X20-100</w:t>
          </w:r>
          <w:r>
            <w:rPr>
              <w:sz w:val="16"/>
              <w:szCs w:val="16"/>
              <w:lang w:val="en-US" w:eastAsia="ja-JP" w:bidi="ar-SA"/>
            </w:rPr>
            <w:t>10</w:t>
          </w:r>
        </w:p>
      </w:tc>
    </w:tr>
  </w:tbl>
  <w:p w14:paraId="6FD8A7DA" w14:textId="77777777" w:rsidR="003B1452" w:rsidRPr="00BE3A76" w:rsidRDefault="003B1452" w:rsidP="00C32720">
    <w:pPr>
      <w:pStyle w:val="Footer"/>
      <w:rPr>
        <w:sz w:val="16"/>
        <w:szCs w:val="16"/>
        <w:lang w:val="en-US" w:eastAsia="ja-JP" w:bidi="ar-S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36"/>
      <w:gridCol w:w="4193"/>
    </w:tblGrid>
    <w:tr w:rsidR="00135BAF" w:rsidRPr="0005091C" w14:paraId="63667B3E" w14:textId="77777777" w:rsidTr="003B1452">
      <w:trPr>
        <w:jc w:val="center"/>
      </w:trPr>
      <w:tc>
        <w:tcPr>
          <w:tcW w:w="4836" w:type="dxa"/>
        </w:tcPr>
        <w:p w14:paraId="4226D501" w14:textId="4D42EB69" w:rsidR="00135BAF" w:rsidRPr="0005091C" w:rsidRDefault="002052C3" w:rsidP="0005091C">
          <w:pPr>
            <w:pStyle w:val="Footer"/>
            <w:rPr>
              <w:sz w:val="16"/>
              <w:szCs w:val="16"/>
              <w:lang w:val="en-US" w:eastAsia="ja-JP" w:bidi="ar-SA"/>
            </w:rPr>
          </w:pPr>
          <w:r w:rsidRPr="0005091C">
            <w:rPr>
              <w:sz w:val="16"/>
              <w:szCs w:val="16"/>
              <w:lang w:val="en-US" w:eastAsia="ja-JP" w:bidi="ar-SA"/>
            </w:rPr>
            <w:t>MBSA20</w:t>
          </w:r>
          <w:r w:rsidR="003B1452">
            <w:rPr>
              <w:sz w:val="16"/>
              <w:szCs w:val="16"/>
              <w:lang w:val="en-US" w:eastAsia="ja-JP" w:bidi="ar-SA"/>
            </w:rPr>
            <w:t>201</w:t>
          </w:r>
          <w:r w:rsidRPr="0005091C">
            <w:rPr>
              <w:sz w:val="16"/>
              <w:szCs w:val="16"/>
              <w:lang w:val="en-US" w:eastAsia="ja-JP" w:bidi="ar-SA"/>
            </w:rPr>
            <w:t>Agr(</w:t>
          </w:r>
          <w:proofErr w:type="spellStart"/>
          <w:r w:rsidRPr="0005091C">
            <w:rPr>
              <w:sz w:val="16"/>
              <w:szCs w:val="16"/>
              <w:lang w:val="en-US" w:eastAsia="ja-JP" w:bidi="ar-SA"/>
            </w:rPr>
            <w:t>CountrySpecificProv</w:t>
          </w:r>
          <w:proofErr w:type="spellEnd"/>
          <w:r w:rsidRPr="0005091C">
            <w:rPr>
              <w:sz w:val="16"/>
              <w:szCs w:val="16"/>
              <w:lang w:val="en-US" w:eastAsia="ja-JP" w:bidi="ar-SA"/>
            </w:rPr>
            <w:t>)(WW)(</w:t>
          </w:r>
          <w:r w:rsidR="00490776" w:rsidRPr="0005091C">
            <w:rPr>
              <w:sz w:val="16"/>
              <w:szCs w:val="16"/>
              <w:lang w:val="en-US" w:eastAsia="ja-JP" w:bidi="ar-SA"/>
            </w:rPr>
            <w:t>PTB</w:t>
          </w:r>
          <w:r w:rsidRPr="0005091C">
            <w:rPr>
              <w:sz w:val="16"/>
              <w:szCs w:val="16"/>
              <w:lang w:val="en-US" w:eastAsia="ja-JP" w:bidi="ar-SA"/>
            </w:rPr>
            <w:t>)(</w:t>
          </w:r>
          <w:r w:rsidR="003B1452">
            <w:rPr>
              <w:sz w:val="16"/>
              <w:szCs w:val="16"/>
              <w:lang w:val="en-US" w:eastAsia="ja-JP" w:bidi="ar-SA"/>
            </w:rPr>
            <w:t>Oct2019</w:t>
          </w:r>
          <w:r w:rsidRPr="0005091C">
            <w:rPr>
              <w:sz w:val="16"/>
              <w:szCs w:val="16"/>
              <w:lang w:val="en-US" w:eastAsia="ja-JP" w:bidi="ar-SA"/>
            </w:rPr>
            <w:t>)</w:t>
          </w:r>
        </w:p>
      </w:tc>
      <w:tc>
        <w:tcPr>
          <w:tcW w:w="4193" w:type="dxa"/>
        </w:tcPr>
        <w:p w14:paraId="45331270" w14:textId="687D1A1D" w:rsidR="00135BAF" w:rsidRPr="0005091C" w:rsidRDefault="00135BAF" w:rsidP="0005091C">
          <w:pPr>
            <w:pStyle w:val="Footer"/>
            <w:jc w:val="right"/>
            <w:rPr>
              <w:sz w:val="16"/>
              <w:szCs w:val="16"/>
              <w:lang w:val="en-US" w:eastAsia="ja-JP" w:bidi="ar-SA"/>
            </w:rPr>
          </w:pPr>
          <w:r w:rsidRPr="0005091C">
            <w:rPr>
              <w:sz w:val="16"/>
              <w:szCs w:val="16"/>
              <w:lang w:val="en-US" w:eastAsia="ja-JP" w:bidi="ar-SA"/>
            </w:rPr>
            <w:t xml:space="preserve">Page </w:t>
          </w:r>
          <w:r w:rsidRPr="0005091C">
            <w:rPr>
              <w:sz w:val="16"/>
              <w:szCs w:val="16"/>
              <w:lang w:val="en-US" w:eastAsia="ja-JP" w:bidi="ar-SA"/>
            </w:rPr>
            <w:fldChar w:fldCharType="begin"/>
          </w:r>
          <w:r w:rsidRPr="0005091C">
            <w:rPr>
              <w:sz w:val="16"/>
              <w:szCs w:val="16"/>
              <w:lang w:val="en-US" w:eastAsia="ja-JP" w:bidi="ar-SA"/>
            </w:rPr>
            <w:instrText xml:space="preserve"> PAGE  \* Arabic  \* MERGEFORMAT </w:instrText>
          </w:r>
          <w:r w:rsidRPr="0005091C">
            <w:rPr>
              <w:sz w:val="16"/>
              <w:szCs w:val="16"/>
              <w:lang w:val="en-US" w:eastAsia="ja-JP" w:bidi="ar-SA"/>
            </w:rPr>
            <w:fldChar w:fldCharType="separate"/>
          </w:r>
          <w:r w:rsidR="0005091C">
            <w:rPr>
              <w:noProof/>
              <w:sz w:val="16"/>
              <w:szCs w:val="16"/>
              <w:lang w:val="en-US" w:eastAsia="ja-JP" w:bidi="ar-SA"/>
            </w:rPr>
            <w:t>1</w:t>
          </w:r>
          <w:r w:rsidRPr="0005091C">
            <w:rPr>
              <w:sz w:val="16"/>
              <w:szCs w:val="16"/>
              <w:lang w:val="en-US" w:eastAsia="ja-JP" w:bidi="ar-SA"/>
            </w:rPr>
            <w:fldChar w:fldCharType="end"/>
          </w:r>
          <w:r w:rsidRPr="0005091C">
            <w:rPr>
              <w:sz w:val="16"/>
              <w:szCs w:val="16"/>
              <w:lang w:val="en-US" w:eastAsia="ja-JP" w:bidi="ar-SA"/>
            </w:rPr>
            <w:t xml:space="preserve"> of </w:t>
          </w:r>
          <w:r w:rsidRPr="0005091C">
            <w:rPr>
              <w:sz w:val="16"/>
              <w:szCs w:val="16"/>
              <w:lang w:val="en-US" w:eastAsia="ja-JP" w:bidi="ar-SA"/>
            </w:rPr>
            <w:fldChar w:fldCharType="begin"/>
          </w:r>
          <w:r w:rsidRPr="0005091C">
            <w:rPr>
              <w:sz w:val="16"/>
              <w:szCs w:val="16"/>
              <w:lang w:val="en-US" w:eastAsia="ja-JP" w:bidi="ar-SA"/>
            </w:rPr>
            <w:instrText xml:space="preserve"> NUMPAGES  \* Arabic  \* MERGEFORMAT </w:instrText>
          </w:r>
          <w:r w:rsidRPr="0005091C">
            <w:rPr>
              <w:sz w:val="16"/>
              <w:szCs w:val="16"/>
              <w:lang w:val="en-US" w:eastAsia="ja-JP" w:bidi="ar-SA"/>
            </w:rPr>
            <w:fldChar w:fldCharType="separate"/>
          </w:r>
          <w:r w:rsidR="0005091C">
            <w:rPr>
              <w:noProof/>
              <w:sz w:val="16"/>
              <w:szCs w:val="16"/>
              <w:lang w:val="en-US" w:eastAsia="ja-JP" w:bidi="ar-SA"/>
            </w:rPr>
            <w:t>10</w:t>
          </w:r>
          <w:r w:rsidRPr="0005091C">
            <w:rPr>
              <w:sz w:val="16"/>
              <w:szCs w:val="16"/>
              <w:lang w:val="en-US" w:eastAsia="ja-JP" w:bidi="ar-SA"/>
            </w:rPr>
            <w:fldChar w:fldCharType="end"/>
          </w:r>
        </w:p>
        <w:p w14:paraId="66C6603A" w14:textId="4C8E0FC9" w:rsidR="009C38C5" w:rsidRPr="0005091C" w:rsidRDefault="009C38C5" w:rsidP="0005091C">
          <w:pPr>
            <w:pStyle w:val="Footer"/>
            <w:jc w:val="right"/>
            <w:rPr>
              <w:sz w:val="16"/>
              <w:szCs w:val="16"/>
              <w:lang w:val="en-US" w:eastAsia="ja-JP" w:bidi="ar-SA"/>
            </w:rPr>
          </w:pPr>
          <w:r w:rsidRPr="0005091C">
            <w:rPr>
              <w:sz w:val="16"/>
              <w:szCs w:val="16"/>
              <w:lang w:val="en-US" w:eastAsia="ja-JP" w:bidi="ar-SA"/>
            </w:rPr>
            <w:t>Document X20-100</w:t>
          </w:r>
          <w:r w:rsidR="003B1452">
            <w:rPr>
              <w:sz w:val="16"/>
              <w:szCs w:val="16"/>
              <w:lang w:val="en-US" w:eastAsia="ja-JP" w:bidi="ar-SA"/>
            </w:rPr>
            <w:t>10</w:t>
          </w:r>
        </w:p>
      </w:tc>
    </w:tr>
  </w:tbl>
  <w:p w14:paraId="16B8469B" w14:textId="77777777" w:rsidR="00135BAF" w:rsidRPr="0005091C" w:rsidRDefault="00135BAF" w:rsidP="0005091C">
    <w:pPr>
      <w:pStyle w:val="Footer"/>
      <w:rPr>
        <w:sz w:val="16"/>
        <w:szCs w:val="16"/>
        <w:lang w:val="en-US" w:eastAsia="ja-JP"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2B3B7A3" w14:textId="77777777" w:rsidR="00DF2744" w:rsidRDefault="00DF2744" w:rsidP="00135BAF">
      <w:pPr>
        <w:spacing w:before="0"/>
      </w:pPr>
      <w:r>
        <w:separator/>
      </w:r>
    </w:p>
  </w:footnote>
  <w:footnote w:type="continuationSeparator" w:id="0">
    <w:p w14:paraId="7342E852" w14:textId="77777777" w:rsidR="00DF2744" w:rsidRDefault="00DF2744" w:rsidP="00135BAF">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E84DBB" w14:textId="11DD27E7" w:rsidR="0038410A" w:rsidRDefault="00DF2744">
    <w:pPr>
      <w:pStyle w:val="Header"/>
    </w:pPr>
    <w:r>
      <w:pict w14:anchorId="6C50880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2" type="#_x0000_t75" style="position:absolute;left:0;text-align:left;margin-left:0;margin-top:0;width:451.2pt;height:254.35pt;z-index:-251657216;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48DCFB" w14:textId="497D9CA7" w:rsidR="0038410A" w:rsidRDefault="00DF2744">
    <w:pPr>
      <w:pStyle w:val="Header"/>
    </w:pPr>
    <w:r>
      <w:pict w14:anchorId="72EF9FD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3" type="#_x0000_t75" style="position:absolute;left:0;text-align:left;margin-left:0;margin-top:0;width:451.2pt;height:254.35pt;z-index:-25165619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D9FAB0" w14:textId="6DBEEC77" w:rsidR="00135BAF" w:rsidRDefault="00DF2744" w:rsidP="00135BAF">
    <w:pPr>
      <w:pStyle w:val="Header"/>
      <w:tabs>
        <w:tab w:val="clear" w:pos="4680"/>
        <w:tab w:val="clear" w:pos="9360"/>
      </w:tabs>
    </w:pPr>
    <w:r>
      <w:pict w14:anchorId="5082933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 o:spid="_x0000_s2061" type="#_x0000_t75" style="position:absolute;left:0;text-align:left;margin-left:0;margin-top:0;width:451.2pt;height:254.35pt;z-index:-251658240;mso-position-horizontal:center;mso-position-horizontal-relative:margin;mso-position-vertical:center;mso-position-vertical-relative:margin" o:allowincell="f">
          <v:imagedata r:id="rId1" o:title="K2 BW Image" gain="19661f" blacklevel="22938f"/>
          <w10:wrap anchorx="margin" anchory="margin"/>
        </v:shape>
      </w:pict>
    </w:r>
    <w:r w:rsidR="00C36C80">
      <w:rPr>
        <w:noProof/>
        <w:lang w:val="en-US" w:eastAsia="en-US" w:bidi="ar-SA"/>
      </w:rPr>
      <w:drawing>
        <wp:inline distT="0" distB="0" distL="0" distR="0" wp14:anchorId="365FB8CF" wp14:editId="1141B1F2">
          <wp:extent cx="5943600" cy="581025"/>
          <wp:effectExtent l="0" t="0" r="0" b="9525"/>
          <wp:docPr id="3" name="Picture 3" descr="C:\Users\v-keschu\Desktop\newheadersizecorrected.png"/>
          <wp:cNvGraphicFramePr/>
          <a:graphic xmlns:a="http://schemas.openxmlformats.org/drawingml/2006/main">
            <a:graphicData uri="http://schemas.openxmlformats.org/drawingml/2006/picture">
              <pic:pic xmlns:pic="http://schemas.openxmlformats.org/drawingml/2006/picture">
                <pic:nvPicPr>
                  <pic:cNvPr id="1" name="Picture 1" descr="C:\Users\v-keschu\Desktop\newheadersizecorrected.png"/>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943600" cy="5810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E261E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1E55F41"/>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3493791"/>
    <w:multiLevelType w:val="hybridMultilevel"/>
    <w:tmpl w:val="AAC6FC14"/>
    <w:lvl w:ilvl="0" w:tplc="1E3897FC">
      <w:start w:val="1"/>
      <w:numFmt w:val="upperLetter"/>
      <w:lvlText w:val="%1."/>
      <w:lvlJc w:val="left"/>
      <w:pPr>
        <w:ind w:left="720" w:hanging="360"/>
      </w:pPr>
      <w:rPr>
        <w:rFonts w:hint="default"/>
        <w:b/>
        <w:bCs/>
      </w:rPr>
    </w:lvl>
    <w:lvl w:ilvl="1" w:tplc="F2C29BB0">
      <w:start w:val="2"/>
      <w:numFmt w:val="bullet"/>
      <w:lvlText w:val="•"/>
      <w:lvlJc w:val="left"/>
      <w:pPr>
        <w:ind w:left="1800" w:hanging="720"/>
      </w:pPr>
      <w:rPr>
        <w:rFonts w:ascii="Arial" w:eastAsia="MS Mincho"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7C6F76"/>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937444E"/>
    <w:multiLevelType w:val="hybridMultilevel"/>
    <w:tmpl w:val="7116B49E"/>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CE32092"/>
    <w:multiLevelType w:val="hybridMultilevel"/>
    <w:tmpl w:val="EFBEE664"/>
    <w:lvl w:ilvl="0" w:tplc="0FF0EEFC">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A44402"/>
    <w:multiLevelType w:val="hybridMultilevel"/>
    <w:tmpl w:val="6A98B750"/>
    <w:lvl w:ilvl="0" w:tplc="337EDB28">
      <w:start w:val="17"/>
      <w:numFmt w:val="lowerLetter"/>
      <w:lvlText w:val="%1."/>
      <w:lvlJc w:val="left"/>
      <w:pPr>
        <w:ind w:left="144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1273278"/>
    <w:multiLevelType w:val="hybridMultilevel"/>
    <w:tmpl w:val="B18E4B54"/>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1AE77F9"/>
    <w:multiLevelType w:val="hybridMultilevel"/>
    <w:tmpl w:val="79F62D7C"/>
    <w:lvl w:ilvl="0" w:tplc="86D06F7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14F77310"/>
    <w:multiLevelType w:val="hybridMultilevel"/>
    <w:tmpl w:val="22B4C5B2"/>
    <w:lvl w:ilvl="0" w:tplc="E0F46AC4">
      <w:start w:val="3"/>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5F621C7"/>
    <w:multiLevelType w:val="hybridMultilevel"/>
    <w:tmpl w:val="04720284"/>
    <w:lvl w:ilvl="0" w:tplc="55180402">
      <w:start w:val="4"/>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7746608"/>
    <w:multiLevelType w:val="hybridMultilevel"/>
    <w:tmpl w:val="FAD0C5EA"/>
    <w:lvl w:ilvl="0" w:tplc="8C8A141A">
      <w:start w:val="1"/>
      <w:numFmt w:val="low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18E06D34"/>
    <w:multiLevelType w:val="hybridMultilevel"/>
    <w:tmpl w:val="10BA01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B9849CF"/>
    <w:multiLevelType w:val="hybridMultilevel"/>
    <w:tmpl w:val="A39E5456"/>
    <w:lvl w:ilvl="0" w:tplc="D1C65670">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1A618FA"/>
    <w:multiLevelType w:val="hybridMultilevel"/>
    <w:tmpl w:val="CF3A65F2"/>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15:restartNumberingAfterBreak="0">
    <w:nsid w:val="23E12254"/>
    <w:multiLevelType w:val="hybridMultilevel"/>
    <w:tmpl w:val="77F8C9C0"/>
    <w:lvl w:ilvl="0" w:tplc="505EBF44">
      <w:start w:val="1"/>
      <w:numFmt w:val="lowerRoman"/>
      <w:lvlText w:val="(%1)"/>
      <w:lvlJc w:val="left"/>
      <w:pPr>
        <w:ind w:left="2160" w:hanging="360"/>
      </w:pPr>
      <w:rPr>
        <w:rFonts w:ascii="Arial" w:eastAsia="Times New Roman" w:hAnsi="Arial" w:cs="Arial"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56B296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CC715B1"/>
    <w:multiLevelType w:val="hybridMultilevel"/>
    <w:tmpl w:val="A7120F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02A7563"/>
    <w:multiLevelType w:val="hybridMultilevel"/>
    <w:tmpl w:val="487C1664"/>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1FE131B"/>
    <w:multiLevelType w:val="hybridMultilevel"/>
    <w:tmpl w:val="57E43308"/>
    <w:lvl w:ilvl="0" w:tplc="0409000F">
      <w:start w:val="1"/>
      <w:numFmt w:val="decimal"/>
      <w:lvlText w:val="%1."/>
      <w:lvlJc w:val="left"/>
      <w:pPr>
        <w:ind w:left="720" w:hanging="360"/>
      </w:pPr>
    </w:lvl>
    <w:lvl w:ilvl="1" w:tplc="49D624D8">
      <w:start w:val="1"/>
      <w:numFmt w:val="lowerLetter"/>
      <w:lvlText w:val="%2."/>
      <w:lvlJc w:val="left"/>
      <w:pPr>
        <w:ind w:left="1260" w:hanging="360"/>
      </w:pPr>
      <w:rPr>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21F03EB"/>
    <w:multiLevelType w:val="hybridMultilevel"/>
    <w:tmpl w:val="191EE75A"/>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586023B"/>
    <w:multiLevelType w:val="hybridMultilevel"/>
    <w:tmpl w:val="3482B492"/>
    <w:lvl w:ilvl="0" w:tplc="7A3CB8EA">
      <w:start w:val="3"/>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59B3453"/>
    <w:multiLevelType w:val="multilevel"/>
    <w:tmpl w:val="51083548"/>
    <w:lvl w:ilvl="0">
      <w:start w:val="1"/>
      <w:numFmt w:val="lowerLetter"/>
      <w:lvlText w:val="%1."/>
      <w:lvlJc w:val="left"/>
      <w:pPr>
        <w:tabs>
          <w:tab w:val="num" w:pos="1080"/>
        </w:tabs>
        <w:ind w:left="1080" w:hanging="360"/>
      </w:pPr>
      <w:rPr>
        <w:rFonts w:hint="default"/>
        <w:b/>
      </w:rPr>
    </w:lvl>
    <w:lvl w:ilvl="1">
      <w:start w:val="1"/>
      <w:numFmt w:val="lowerRoman"/>
      <w:lvlText w:val="(%2)"/>
      <w:lvlJc w:val="left"/>
      <w:pPr>
        <w:tabs>
          <w:tab w:val="num" w:pos="1800"/>
        </w:tabs>
        <w:ind w:left="1800" w:hanging="360"/>
      </w:pPr>
      <w:rPr>
        <w:rFonts w:hint="default"/>
        <w:b/>
      </w:rPr>
    </w:lvl>
    <w:lvl w:ilvl="2">
      <w:start w:val="1"/>
      <w:numFmt w:val="lowerLetter"/>
      <w:lvlText w:val="%3."/>
      <w:lvlJc w:val="left"/>
      <w:pPr>
        <w:tabs>
          <w:tab w:val="num" w:pos="2520"/>
        </w:tabs>
        <w:ind w:left="2520" w:hanging="360"/>
      </w:pPr>
      <w:rPr>
        <w:rFonts w:hint="default"/>
      </w:rPr>
    </w:lvl>
    <w:lvl w:ilvl="3">
      <w:start w:val="1"/>
      <w:numFmt w:val="lowerLetter"/>
      <w:lvlText w:val="%4."/>
      <w:lvlJc w:val="left"/>
      <w:pPr>
        <w:tabs>
          <w:tab w:val="num" w:pos="3240"/>
        </w:tabs>
        <w:ind w:left="3240" w:hanging="360"/>
      </w:pPr>
      <w:rPr>
        <w:rFonts w:hint="default"/>
      </w:rPr>
    </w:lvl>
    <w:lvl w:ilvl="4">
      <w:start w:val="1"/>
      <w:numFmt w:val="lowerLetter"/>
      <w:lvlText w:val="%5."/>
      <w:lvlJc w:val="left"/>
      <w:pPr>
        <w:tabs>
          <w:tab w:val="num" w:pos="3960"/>
        </w:tabs>
        <w:ind w:left="3960" w:hanging="360"/>
      </w:pPr>
      <w:rPr>
        <w:rFonts w:hint="default"/>
      </w:rPr>
    </w:lvl>
    <w:lvl w:ilvl="5">
      <w:start w:val="1"/>
      <w:numFmt w:val="lowerLetter"/>
      <w:lvlText w:val="%6."/>
      <w:lvlJc w:val="left"/>
      <w:pPr>
        <w:tabs>
          <w:tab w:val="num" w:pos="4680"/>
        </w:tabs>
        <w:ind w:left="4680" w:hanging="360"/>
      </w:pPr>
      <w:rPr>
        <w:rFonts w:hint="default"/>
      </w:rPr>
    </w:lvl>
    <w:lvl w:ilvl="6">
      <w:start w:val="1"/>
      <w:numFmt w:val="lowerLetter"/>
      <w:lvlText w:val="%7."/>
      <w:lvlJc w:val="left"/>
      <w:pPr>
        <w:tabs>
          <w:tab w:val="num" w:pos="5400"/>
        </w:tabs>
        <w:ind w:left="5400" w:hanging="360"/>
      </w:pPr>
      <w:rPr>
        <w:rFonts w:hint="default"/>
      </w:rPr>
    </w:lvl>
    <w:lvl w:ilvl="7">
      <w:start w:val="1"/>
      <w:numFmt w:val="lowerLetter"/>
      <w:lvlText w:val="%8."/>
      <w:lvlJc w:val="left"/>
      <w:pPr>
        <w:tabs>
          <w:tab w:val="num" w:pos="6120"/>
        </w:tabs>
        <w:ind w:left="6120" w:hanging="360"/>
      </w:pPr>
      <w:rPr>
        <w:rFonts w:hint="default"/>
      </w:rPr>
    </w:lvl>
    <w:lvl w:ilvl="8">
      <w:start w:val="1"/>
      <w:numFmt w:val="lowerLetter"/>
      <w:lvlText w:val="%9."/>
      <w:lvlJc w:val="left"/>
      <w:pPr>
        <w:tabs>
          <w:tab w:val="num" w:pos="6840"/>
        </w:tabs>
        <w:ind w:left="6840" w:hanging="360"/>
      </w:pPr>
      <w:rPr>
        <w:rFonts w:hint="default"/>
      </w:rPr>
    </w:lvl>
  </w:abstractNum>
  <w:abstractNum w:abstractNumId="23" w15:restartNumberingAfterBreak="0">
    <w:nsid w:val="3ACC5133"/>
    <w:multiLevelType w:val="multilevel"/>
    <w:tmpl w:val="EB92FE1E"/>
    <w:lvl w:ilvl="0">
      <w:start w:val="1"/>
      <w:numFmt w:val="lowerLetter"/>
      <w:lvlText w:val="%1."/>
      <w:lvlJc w:val="left"/>
      <w:pPr>
        <w:tabs>
          <w:tab w:val="num" w:pos="1080"/>
        </w:tabs>
        <w:ind w:left="1080" w:hanging="360"/>
      </w:pPr>
      <w:rPr>
        <w:b/>
      </w:rPr>
    </w:lvl>
    <w:lvl w:ilvl="1">
      <w:start w:val="1"/>
      <w:numFmt w:val="lowerRoman"/>
      <w:lvlText w:val="(%2)"/>
      <w:lvlJc w:val="left"/>
      <w:pPr>
        <w:tabs>
          <w:tab w:val="num" w:pos="1800"/>
        </w:tabs>
        <w:ind w:left="1800" w:hanging="360"/>
      </w:pPr>
      <w:rPr>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24" w15:restartNumberingAfterBreak="0">
    <w:nsid w:val="3FD458CC"/>
    <w:multiLevelType w:val="hybridMultilevel"/>
    <w:tmpl w:val="E3BC202E"/>
    <w:lvl w:ilvl="0" w:tplc="7A3CB8EA">
      <w:start w:val="3"/>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0D02FC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35E240D"/>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8B76AD3"/>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A321D2A"/>
    <w:multiLevelType w:val="hybridMultilevel"/>
    <w:tmpl w:val="DBFA911C"/>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D0D226F"/>
    <w:multiLevelType w:val="hybridMultilevel"/>
    <w:tmpl w:val="7916DA42"/>
    <w:lvl w:ilvl="0" w:tplc="7F2E7914">
      <w:start w:val="1"/>
      <w:numFmt w:val="lowerRoman"/>
      <w:lvlText w:val="(%1)"/>
      <w:lvlJc w:val="left"/>
      <w:pPr>
        <w:ind w:left="720" w:hanging="360"/>
      </w:pPr>
      <w:rPr>
        <w:rFonts w:hint="default"/>
        <w:b/>
      </w:rPr>
    </w:lvl>
    <w:lvl w:ilvl="1" w:tplc="7F2E7914">
      <w:start w:val="1"/>
      <w:numFmt w:val="lowerRoman"/>
      <w:lvlText w:val="(%2)"/>
      <w:lvlJc w:val="left"/>
      <w:pPr>
        <w:ind w:left="1440" w:hanging="360"/>
      </w:pPr>
      <w:rPr>
        <w:rFonts w:hint="default"/>
        <w:b/>
      </w:rPr>
    </w:lvl>
    <w:lvl w:ilvl="2" w:tplc="7F2E7914">
      <w:start w:val="1"/>
      <w:numFmt w:val="lowerRoman"/>
      <w:lvlText w:val="(%3)"/>
      <w:lvlJc w:val="left"/>
      <w:pPr>
        <w:ind w:left="2160" w:hanging="180"/>
      </w:pPr>
      <w:rPr>
        <w:rFonts w:hint="default"/>
        <w:b/>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18E7ADE"/>
    <w:multiLevelType w:val="hybridMultilevel"/>
    <w:tmpl w:val="BF3AC3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2430C46"/>
    <w:multiLevelType w:val="hybridMultilevel"/>
    <w:tmpl w:val="FF4A4E0C"/>
    <w:lvl w:ilvl="0" w:tplc="094AAB4E">
      <w:start w:val="1"/>
      <w:numFmt w:val="lowerLetter"/>
      <w:lvlText w:val="%1."/>
      <w:lvlJc w:val="left"/>
      <w:pPr>
        <w:ind w:left="720" w:hanging="360"/>
      </w:pPr>
      <w:rPr>
        <w:rFonts w:hint="default"/>
        <w:b/>
      </w:rPr>
    </w:lvl>
    <w:lvl w:ilvl="1" w:tplc="094AAB4E">
      <w:start w:val="1"/>
      <w:numFmt w:val="lowerLetter"/>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36171E4"/>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536D33FA"/>
    <w:multiLevelType w:val="hybridMultilevel"/>
    <w:tmpl w:val="247C20E6"/>
    <w:lvl w:ilvl="0" w:tplc="B810F1DA">
      <w:start w:val="1"/>
      <w:numFmt w:val="decimal"/>
      <w:lvlText w:val="%1)"/>
      <w:lvlJc w:val="left"/>
      <w:pPr>
        <w:ind w:left="1800" w:hanging="360"/>
      </w:pPr>
      <w:rPr>
        <w:rFonts w:hint="default"/>
        <w:b/>
        <w:bCs/>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4" w15:restartNumberingAfterBreak="0">
    <w:nsid w:val="58F1595E"/>
    <w:multiLevelType w:val="hybridMultilevel"/>
    <w:tmpl w:val="9404DEE2"/>
    <w:lvl w:ilvl="0" w:tplc="DB165A3E">
      <w:start w:val="1"/>
      <w:numFmt w:val="lowerRoman"/>
      <w:lvlText w:val="(%1)"/>
      <w:lvlJc w:val="left"/>
      <w:pPr>
        <w:ind w:left="2520" w:hanging="360"/>
      </w:pPr>
      <w:rPr>
        <w:rFonts w:ascii="Arial" w:eastAsia="Times New Roman" w:hAnsi="Arial" w:cs="Arial"/>
        <w:b/>
        <w:i w:val="0"/>
      </w:rPr>
    </w:lvl>
    <w:lvl w:ilvl="1" w:tplc="38464388">
      <w:start w:val="1"/>
      <w:numFmt w:val="lowerLetter"/>
      <w:lvlText w:val="%2."/>
      <w:lvlJc w:val="left"/>
      <w:pPr>
        <w:ind w:left="3600" w:hanging="720"/>
      </w:pPr>
      <w:rPr>
        <w:rFonts w:hint="default"/>
      </w:r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5" w15:restartNumberingAfterBreak="0">
    <w:nsid w:val="5CDA540F"/>
    <w:multiLevelType w:val="hybridMultilevel"/>
    <w:tmpl w:val="7F24113C"/>
    <w:lvl w:ilvl="0" w:tplc="86ACF84C">
      <w:start w:val="1"/>
      <w:numFmt w:val="lowerLetter"/>
      <w:lvlText w:val="%1."/>
      <w:lvlJc w:val="left"/>
      <w:pPr>
        <w:ind w:left="1080" w:hanging="72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EFA70F0"/>
    <w:multiLevelType w:val="hybridMultilevel"/>
    <w:tmpl w:val="C97C12E2"/>
    <w:lvl w:ilvl="0" w:tplc="E1C26672">
      <w:start w:val="6"/>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FB5676D"/>
    <w:multiLevelType w:val="hybridMultilevel"/>
    <w:tmpl w:val="F8AECD9E"/>
    <w:lvl w:ilvl="0" w:tplc="5C02205C">
      <w:start w:val="1"/>
      <w:numFmt w:val="lowerRoman"/>
      <w:lvlText w:val="(%1)"/>
      <w:lvlJc w:val="left"/>
      <w:pPr>
        <w:ind w:left="720" w:hanging="360"/>
      </w:pPr>
      <w:rPr>
        <w:rFonts w:ascii="Arial" w:eastAsia="Times New Roman" w:hAnsi="Arial" w:cs="Arial" w:hint="default"/>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FF916B2"/>
    <w:multiLevelType w:val="hybridMultilevel"/>
    <w:tmpl w:val="C9147C52"/>
    <w:lvl w:ilvl="0" w:tplc="B810F1DA">
      <w:start w:val="1"/>
      <w:numFmt w:val="decimal"/>
      <w:lvlText w:val="%1)"/>
      <w:lvlJc w:val="left"/>
      <w:pPr>
        <w:ind w:left="1800" w:hanging="360"/>
      </w:pPr>
      <w:rPr>
        <w:rFonts w:hint="default"/>
        <w:b/>
        <w:bCs/>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9" w15:restartNumberingAfterBreak="0">
    <w:nsid w:val="60237728"/>
    <w:multiLevelType w:val="hybridMultilevel"/>
    <w:tmpl w:val="A594C8F0"/>
    <w:lvl w:ilvl="0" w:tplc="DB165A3E">
      <w:start w:val="1"/>
      <w:numFmt w:val="lowerRoman"/>
      <w:lvlText w:val="(%1)"/>
      <w:lvlJc w:val="left"/>
      <w:pPr>
        <w:ind w:left="720" w:hanging="360"/>
      </w:pPr>
      <w:rPr>
        <w:rFonts w:ascii="Arial" w:eastAsia="Times New Roman" w:hAnsi="Arial" w:cs="Arial"/>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20A5792"/>
    <w:multiLevelType w:val="hybridMultilevel"/>
    <w:tmpl w:val="6622B1FC"/>
    <w:lvl w:ilvl="0" w:tplc="5A06119A">
      <w:start w:val="6"/>
      <w:numFmt w:val="lowerLetter"/>
      <w:lvlText w:val="%1."/>
      <w:lvlJc w:val="left"/>
      <w:pPr>
        <w:ind w:left="108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15:restartNumberingAfterBreak="0">
    <w:nsid w:val="62925642"/>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62A8033B"/>
    <w:multiLevelType w:val="hybridMultilevel"/>
    <w:tmpl w:val="539E563C"/>
    <w:lvl w:ilvl="0" w:tplc="BCC088E8">
      <w:start w:val="1"/>
      <w:numFmt w:val="lowerLetter"/>
      <w:lvlText w:val="%1."/>
      <w:lvlJc w:val="left"/>
      <w:pPr>
        <w:ind w:left="72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3" w15:restartNumberingAfterBreak="0">
    <w:nsid w:val="62B517B2"/>
    <w:multiLevelType w:val="hybridMultilevel"/>
    <w:tmpl w:val="57A4BBB2"/>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2C7422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62DD074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63A32B27"/>
    <w:multiLevelType w:val="hybridMultilevel"/>
    <w:tmpl w:val="B8A4DF76"/>
    <w:lvl w:ilvl="0" w:tplc="E7822CF2">
      <w:start w:val="1"/>
      <w:numFmt w:val="lowerLetter"/>
      <w:lvlText w:val="%1."/>
      <w:lvlJc w:val="left"/>
      <w:pPr>
        <w:ind w:left="720" w:hanging="360"/>
      </w:pPr>
      <w:rPr>
        <w:b/>
        <w:bCs/>
      </w:rPr>
    </w:lvl>
    <w:lvl w:ilvl="1" w:tplc="6A220F3E">
      <w:start w:val="1"/>
      <w:numFmt w:val="lowerRoman"/>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8944890"/>
    <w:multiLevelType w:val="hybridMultilevel"/>
    <w:tmpl w:val="15105A30"/>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8" w15:restartNumberingAfterBreak="0">
    <w:nsid w:val="68E73787"/>
    <w:multiLevelType w:val="hybridMultilevel"/>
    <w:tmpl w:val="10143852"/>
    <w:lvl w:ilvl="0" w:tplc="266EAEE4">
      <w:start w:val="1"/>
      <w:numFmt w:val="lowerRoman"/>
      <w:lvlText w:val="(%1)"/>
      <w:lvlJc w:val="left"/>
      <w:pPr>
        <w:ind w:left="1440" w:hanging="360"/>
      </w:pPr>
      <w:rPr>
        <w:rFonts w:ascii="Arial" w:eastAsia="Times New Roman" w:hAnsi="Arial" w:hint="default"/>
        <w:b/>
        <w:i w:val="0"/>
        <w:color w:val="auto"/>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9" w15:restartNumberingAfterBreak="0">
    <w:nsid w:val="6F875900"/>
    <w:multiLevelType w:val="hybridMultilevel"/>
    <w:tmpl w:val="3008186E"/>
    <w:lvl w:ilvl="0" w:tplc="B8007F9A">
      <w:start w:val="8"/>
      <w:numFmt w:val="lowerLetter"/>
      <w:lvlText w:val="%1."/>
      <w:lvlJc w:val="left"/>
      <w:pPr>
        <w:ind w:left="1353"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0" w15:restartNumberingAfterBreak="0">
    <w:nsid w:val="70386B87"/>
    <w:multiLevelType w:val="hybridMultilevel"/>
    <w:tmpl w:val="DB36315E"/>
    <w:lvl w:ilvl="0" w:tplc="0BA64790">
      <w:start w:val="1"/>
      <w:numFmt w:val="lowerRoman"/>
      <w:lvlText w:val="(%1)"/>
      <w:lvlJc w:val="left"/>
      <w:pPr>
        <w:ind w:left="1440" w:hanging="360"/>
      </w:pPr>
      <w:rPr>
        <w:rFonts w:ascii="Arial" w:eastAsia="Times New Roman" w:hAnsi="Arial" w:hint="default"/>
        <w:b/>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70C2178F"/>
    <w:multiLevelType w:val="hybridMultilevel"/>
    <w:tmpl w:val="50AE7B8E"/>
    <w:lvl w:ilvl="0" w:tplc="A876483C">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736E0F0C"/>
    <w:multiLevelType w:val="hybridMultilevel"/>
    <w:tmpl w:val="DB36315E"/>
    <w:lvl w:ilvl="0" w:tplc="0BA64790">
      <w:start w:val="1"/>
      <w:numFmt w:val="lowerRoman"/>
      <w:lvlText w:val="(%1)"/>
      <w:lvlJc w:val="left"/>
      <w:pPr>
        <w:ind w:left="1440" w:hanging="360"/>
      </w:pPr>
      <w:rPr>
        <w:rFonts w:ascii="Arial" w:eastAsia="Times New Roman" w:hAnsi="Arial" w:hint="default"/>
        <w:b/>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76254684"/>
    <w:multiLevelType w:val="hybridMultilevel"/>
    <w:tmpl w:val="E620E0E2"/>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79F50D4F"/>
    <w:multiLevelType w:val="hybridMultilevel"/>
    <w:tmpl w:val="62920ABE"/>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A042F38"/>
    <w:multiLevelType w:val="hybridMultilevel"/>
    <w:tmpl w:val="71925126"/>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7F681615"/>
    <w:multiLevelType w:val="hybridMultilevel"/>
    <w:tmpl w:val="A8B0F4EA"/>
    <w:lvl w:ilvl="0" w:tplc="DB165A3E">
      <w:start w:val="1"/>
      <w:numFmt w:val="lowerRoman"/>
      <w:lvlText w:val="(%1)"/>
      <w:lvlJc w:val="left"/>
      <w:pPr>
        <w:ind w:left="2160" w:hanging="360"/>
      </w:pPr>
      <w:rPr>
        <w:rFonts w:ascii="Arial" w:eastAsia="Times New Roman" w:hAnsi="Arial" w:cs="Arial"/>
        <w:b/>
        <w:i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7"/>
  </w:num>
  <w:num w:numId="2">
    <w:abstractNumId w:val="39"/>
  </w:num>
  <w:num w:numId="3">
    <w:abstractNumId w:val="55"/>
  </w:num>
  <w:num w:numId="4">
    <w:abstractNumId w:val="4"/>
  </w:num>
  <w:num w:numId="5">
    <w:abstractNumId w:val="53"/>
  </w:num>
  <w:num w:numId="6">
    <w:abstractNumId w:val="43"/>
  </w:num>
  <w:num w:numId="7">
    <w:abstractNumId w:val="46"/>
  </w:num>
  <w:num w:numId="8">
    <w:abstractNumId w:val="38"/>
  </w:num>
  <w:num w:numId="9">
    <w:abstractNumId w:val="30"/>
  </w:num>
  <w:num w:numId="10">
    <w:abstractNumId w:val="18"/>
  </w:num>
  <w:num w:numId="11">
    <w:abstractNumId w:val="20"/>
  </w:num>
  <w:num w:numId="12">
    <w:abstractNumId w:val="28"/>
  </w:num>
  <w:num w:numId="13">
    <w:abstractNumId w:val="17"/>
  </w:num>
  <w:num w:numId="14">
    <w:abstractNumId w:val="54"/>
  </w:num>
  <w:num w:numId="15">
    <w:abstractNumId w:val="31"/>
  </w:num>
  <w:num w:numId="16">
    <w:abstractNumId w:val="5"/>
  </w:num>
  <w:num w:numId="17">
    <w:abstractNumId w:val="13"/>
  </w:num>
  <w:num w:numId="18">
    <w:abstractNumId w:val="2"/>
  </w:num>
  <w:num w:numId="19">
    <w:abstractNumId w:val="29"/>
  </w:num>
  <w:num w:numId="20">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3"/>
  </w:num>
  <w:num w:numId="22">
    <w:abstractNumId w:val="51"/>
  </w:num>
  <w:num w:numId="23">
    <w:abstractNumId w:val="0"/>
  </w:num>
  <w:num w:numId="24">
    <w:abstractNumId w:val="47"/>
  </w:num>
  <w:num w:numId="25">
    <w:abstractNumId w:val="14"/>
  </w:num>
  <w:num w:numId="26">
    <w:abstractNumId w:val="56"/>
  </w:num>
  <w:num w:numId="27">
    <w:abstractNumId w:val="34"/>
  </w:num>
  <w:num w:numId="28">
    <w:abstractNumId w:val="40"/>
  </w:num>
  <w:num w:numId="29">
    <w:abstractNumId w:val="36"/>
  </w:num>
  <w:num w:numId="30">
    <w:abstractNumId w:val="12"/>
  </w:num>
  <w:num w:numId="31">
    <w:abstractNumId w:val="37"/>
  </w:num>
  <w:num w:numId="32">
    <w:abstractNumId w:val="11"/>
  </w:num>
  <w:num w:numId="33">
    <w:abstractNumId w:val="35"/>
  </w:num>
  <w:num w:numId="34">
    <w:abstractNumId w:val="22"/>
  </w:num>
  <w:num w:numId="35">
    <w:abstractNumId w:val="15"/>
  </w:num>
  <w:num w:numId="36">
    <w:abstractNumId w:val="24"/>
  </w:num>
  <w:num w:numId="37">
    <w:abstractNumId w:val="26"/>
  </w:num>
  <w:num w:numId="38">
    <w:abstractNumId w:val="16"/>
  </w:num>
  <w:num w:numId="39">
    <w:abstractNumId w:val="44"/>
  </w:num>
  <w:num w:numId="40">
    <w:abstractNumId w:val="27"/>
  </w:num>
  <w:num w:numId="41">
    <w:abstractNumId w:val="6"/>
  </w:num>
  <w:num w:numId="42">
    <w:abstractNumId w:val="45"/>
  </w:num>
  <w:num w:numId="43">
    <w:abstractNumId w:val="41"/>
  </w:num>
  <w:num w:numId="44">
    <w:abstractNumId w:val="32"/>
  </w:num>
  <w:num w:numId="45">
    <w:abstractNumId w:val="50"/>
  </w:num>
  <w:num w:numId="46">
    <w:abstractNumId w:val="1"/>
  </w:num>
  <w:num w:numId="47">
    <w:abstractNumId w:val="3"/>
  </w:num>
  <w:num w:numId="48">
    <w:abstractNumId w:val="25"/>
  </w:num>
  <w:num w:numId="49">
    <w:abstractNumId w:val="8"/>
  </w:num>
  <w:num w:numId="50">
    <w:abstractNumId w:val="21"/>
  </w:num>
  <w:num w:numId="51">
    <w:abstractNumId w:val="49"/>
  </w:num>
  <w:num w:numId="52">
    <w:abstractNumId w:val="9"/>
  </w:num>
  <w:num w:numId="53">
    <w:abstractNumId w:val="10"/>
  </w:num>
  <w:num w:numId="54">
    <w:abstractNumId w:val="48"/>
  </w:num>
  <w:num w:numId="55">
    <w:abstractNumId w:val="42"/>
  </w:num>
  <w:num w:numId="56">
    <w:abstractNumId w:val="19"/>
  </w:num>
  <w:num w:numId="57">
    <w:abstractNumId w:val="52"/>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hdrShapeDefaults>
    <o:shapedefaults v:ext="edit" spidmax="2064"/>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74E8C"/>
    <w:rsid w:val="00033D68"/>
    <w:rsid w:val="0005091C"/>
    <w:rsid w:val="00066878"/>
    <w:rsid w:val="00083830"/>
    <w:rsid w:val="00095235"/>
    <w:rsid w:val="000C754A"/>
    <w:rsid w:val="000E1C87"/>
    <w:rsid w:val="00122A75"/>
    <w:rsid w:val="00135BAF"/>
    <w:rsid w:val="001660A7"/>
    <w:rsid w:val="00181899"/>
    <w:rsid w:val="001858E7"/>
    <w:rsid w:val="0020332C"/>
    <w:rsid w:val="002052C3"/>
    <w:rsid w:val="002237A3"/>
    <w:rsid w:val="0024259A"/>
    <w:rsid w:val="00264931"/>
    <w:rsid w:val="00275917"/>
    <w:rsid w:val="002B614E"/>
    <w:rsid w:val="002D193A"/>
    <w:rsid w:val="002F4512"/>
    <w:rsid w:val="00305E25"/>
    <w:rsid w:val="00312FCA"/>
    <w:rsid w:val="003138E5"/>
    <w:rsid w:val="00346127"/>
    <w:rsid w:val="00374E8C"/>
    <w:rsid w:val="0038410A"/>
    <w:rsid w:val="00392B94"/>
    <w:rsid w:val="003B1452"/>
    <w:rsid w:val="003D11D6"/>
    <w:rsid w:val="003D68A5"/>
    <w:rsid w:val="003E40E6"/>
    <w:rsid w:val="003E7C79"/>
    <w:rsid w:val="00404D8A"/>
    <w:rsid w:val="0045633F"/>
    <w:rsid w:val="004765DF"/>
    <w:rsid w:val="00483738"/>
    <w:rsid w:val="00490776"/>
    <w:rsid w:val="004D01B9"/>
    <w:rsid w:val="004D624E"/>
    <w:rsid w:val="004D7362"/>
    <w:rsid w:val="004F12FC"/>
    <w:rsid w:val="004F28A8"/>
    <w:rsid w:val="00512626"/>
    <w:rsid w:val="00512CB6"/>
    <w:rsid w:val="00515B2A"/>
    <w:rsid w:val="005534D9"/>
    <w:rsid w:val="00555967"/>
    <w:rsid w:val="00556312"/>
    <w:rsid w:val="005634F2"/>
    <w:rsid w:val="005A0CAB"/>
    <w:rsid w:val="005E272E"/>
    <w:rsid w:val="00602E3B"/>
    <w:rsid w:val="006104F2"/>
    <w:rsid w:val="00640CCA"/>
    <w:rsid w:val="00641E1F"/>
    <w:rsid w:val="00665288"/>
    <w:rsid w:val="006738DF"/>
    <w:rsid w:val="00691A1E"/>
    <w:rsid w:val="00736158"/>
    <w:rsid w:val="00753095"/>
    <w:rsid w:val="00792A9C"/>
    <w:rsid w:val="007C458C"/>
    <w:rsid w:val="007E13EA"/>
    <w:rsid w:val="007E5E82"/>
    <w:rsid w:val="007F24FE"/>
    <w:rsid w:val="00835503"/>
    <w:rsid w:val="0085590C"/>
    <w:rsid w:val="00873C81"/>
    <w:rsid w:val="0088333F"/>
    <w:rsid w:val="00885A8A"/>
    <w:rsid w:val="00887D20"/>
    <w:rsid w:val="0089029D"/>
    <w:rsid w:val="008B4B9A"/>
    <w:rsid w:val="008C225D"/>
    <w:rsid w:val="008E1EF9"/>
    <w:rsid w:val="008F1A68"/>
    <w:rsid w:val="008F70E7"/>
    <w:rsid w:val="00924DE4"/>
    <w:rsid w:val="009515DA"/>
    <w:rsid w:val="009649F1"/>
    <w:rsid w:val="00967E5E"/>
    <w:rsid w:val="00997BDF"/>
    <w:rsid w:val="009A26C4"/>
    <w:rsid w:val="009C38C5"/>
    <w:rsid w:val="00A00EDE"/>
    <w:rsid w:val="00A12BB1"/>
    <w:rsid w:val="00A25F2E"/>
    <w:rsid w:val="00A356F2"/>
    <w:rsid w:val="00A82520"/>
    <w:rsid w:val="00AA6021"/>
    <w:rsid w:val="00AB7196"/>
    <w:rsid w:val="00B1406A"/>
    <w:rsid w:val="00B471C1"/>
    <w:rsid w:val="00B74597"/>
    <w:rsid w:val="00BA3E74"/>
    <w:rsid w:val="00BC2241"/>
    <w:rsid w:val="00BC390A"/>
    <w:rsid w:val="00BE3A76"/>
    <w:rsid w:val="00BE678E"/>
    <w:rsid w:val="00BF1141"/>
    <w:rsid w:val="00C32720"/>
    <w:rsid w:val="00C36C80"/>
    <w:rsid w:val="00C61E01"/>
    <w:rsid w:val="00C7130E"/>
    <w:rsid w:val="00CB79FA"/>
    <w:rsid w:val="00CC1049"/>
    <w:rsid w:val="00D15BA2"/>
    <w:rsid w:val="00D16A2D"/>
    <w:rsid w:val="00D17FF3"/>
    <w:rsid w:val="00D5280E"/>
    <w:rsid w:val="00D64DB4"/>
    <w:rsid w:val="00D92D70"/>
    <w:rsid w:val="00D95884"/>
    <w:rsid w:val="00DA015D"/>
    <w:rsid w:val="00DF2744"/>
    <w:rsid w:val="00E74A34"/>
    <w:rsid w:val="00ED5580"/>
    <w:rsid w:val="00EE0E8A"/>
    <w:rsid w:val="00EF3013"/>
    <w:rsid w:val="00F3569F"/>
    <w:rsid w:val="00FF7E9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64"/>
    <o:shapelayout v:ext="edit">
      <o:idmap v:ext="edit" data="1"/>
    </o:shapelayout>
  </w:shapeDefaults>
  <w:decimalSymbol w:val="."/>
  <w:listSeparator w:val=","/>
  <w14:docId w14:val="08398F5E"/>
  <w15:docId w15:val="{0FDAA83E-3E85-4831-9522-F085B5BA2A69}"/>
  <w:documentProtection w:edit="forms" w:enforcement="true" w:cryptProviderType="rsaFull" w:cryptAlgorithmClass="hash" w:cryptAlgorithmType="typeAny" w:cryptAlgorithmSid="4" w:cryptSpinCount="50000" w:hash="shJ5uCMmZcdhamiMO7l1w5YEVnM=" w:salt="dOuP0+vxJGHJcq2eVCsHnw=="/>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99"/>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iPriority w:val="99"/>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8E1EF9"/>
    <w:rPr>
      <w:rFonts w:ascii="Arial" w:eastAsia="MS Mincho" w:hAnsi="Arial" w:cs="Arial"/>
      <w:color w:val="000000"/>
      <w:sz w:val="20"/>
      <w:szCs w:val="20"/>
    </w:rPr>
  </w:style>
  <w:style w:type="character" w:customStyle="1" w:styleId="LogoportMarkup">
    <w:name w:val="LogoportMarkup"/>
    <w:basedOn w:val="DefaultParagraphFont"/>
    <w:rsid w:val="004D7362"/>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4D7362"/>
    <w:rPr>
      <w:rFonts w:ascii="Courier New" w:hAnsi="Courier New" w:cs="Courier New"/>
      <w:b w:val="0"/>
      <w:i w:val="0"/>
      <w:color w:val="808080"/>
      <w:sz w:val="1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microsoft.com/japan/licensing/product.mspx" TargetMode="Externa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5C52D865D0CB4498EEC55A294A1530F" ma:contentTypeVersion="12" ma:contentTypeDescription="Create a new document." ma:contentTypeScope="" ma:versionID="d5ee21ff0920ca6788ca0b60ae3711b2">
  <xsd:schema xmlns:xsd="http://www.w3.org/2001/XMLSchema" xmlns:xs="http://www.w3.org/2001/XMLSchema" xmlns:p="http://schemas.microsoft.com/office/2006/metadata/properties" xmlns:ns2="230e9df3-be65-4c73-a93b-d1236ebd677e" xmlns:ns3="cb40a819-c2c9-4d15-af53-9c1dd3c293b5" xmlns:ns4="c4794c23-d227-4666-a8d0-747ccd3f81a3" targetNamespace="http://schemas.microsoft.com/office/2006/metadata/properties" ma:root="true" ma:fieldsID="45390b6eb0b9cb8a9d836fc466698aa9" ns2:_="" ns3:_="" ns4:_="">
    <xsd:import namespace="230e9df3-be65-4c73-a93b-d1236ebd677e"/>
    <xsd:import namespace="cb40a819-c2c9-4d15-af53-9c1dd3c293b5"/>
    <xsd:import namespace="c4794c23-d227-4666-a8d0-747ccd3f81a3"/>
    <xsd:element name="properties">
      <xsd:complexType>
        <xsd:sequence>
          <xsd:element name="documentManagement">
            <xsd:complexType>
              <xsd:all>
                <xsd:element ref="ns2:l46dced6587843b1901ea2be625ffc24" minOccurs="0"/>
                <xsd:element ref="ns2:TaxCatchAll" minOccurs="0"/>
                <xsd:element ref="ns2:pf408e84c90b463c88d98a4ca8fa4a76" minOccurs="0"/>
                <xsd:element ref="ns2:g1de90bf09944605b5395c5ca240cb6c" minOccurs="0"/>
                <xsd:element ref="ns3: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l46dced6587843b1901ea2be625ffc24" ma:index="3" nillable="true" ma:taxonomy="true" ma:internalName="l46dced6587843b1901ea2be625ffc24" ma:taxonomyFieldName="LCA_x0020_Fiscal_x0020_Year" ma:displayName="LCA Fiscal Year" ma:default="17;#Fiscal Year 2016|3a14a61a-c35e-44de-8ad5-95b6c87d55bf" ma:fieldId="{546dced6-5878-43b1-901e-a2be625ffc24}" ma:sspId="e385fb40-52d4-4fae-9c5b-3e8ff8a5878e" ma:termSetId="1ff17673-2e33-487a-8972-141f162c1e69" ma:anchorId="a9740f40-517f-4b4b-8cda-c688f2faebb0" ma:open="false" ma:isKeyword="false">
      <xsd:complexType>
        <xsd:sequence>
          <xsd:element ref="pc:Terms" minOccurs="0" maxOccurs="1"/>
        </xsd:sequence>
      </xsd:complexType>
    </xsd:element>
    <xsd:element name="TaxCatchAll" ma:index="4" nillable="true" ma:displayName="Taxonomy Catch All Column" ma:description="" ma:hidden="true" ma:list="{dbc7eb37-e4d9-4000-abdf-c1582428097b}" ma:internalName="TaxCatchAll" ma:showField="CatchAllData" ma:web="c4794c23-d227-4666-a8d0-747ccd3f81a3">
      <xsd:complexType>
        <xsd:complexContent>
          <xsd:extension base="dms:MultiChoiceLookup">
            <xsd:sequence>
              <xsd:element name="Value" type="dms:Lookup" maxOccurs="unbounded" minOccurs="0" nillable="true"/>
            </xsd:sequence>
          </xsd:extension>
        </xsd:complexContent>
      </xsd:complexType>
    </xsd:element>
    <xsd:element name="pf408e84c90b463c88d98a4ca8fa4a76" ma:index="6" nillable="true" ma:taxonomy="true" ma:internalName="pf408e84c90b463c88d98a4ca8fa4a76" ma:taxonomyFieldName="lcapracticegroup" ma:displayName="LCA Practice Group" ma:readOnly="false" ma:default="12;#Worldwide Sales Group (LCA)|1d16be35-564c-4ad3-8159-4e0ae4cdba01" ma:fieldId="{9f408e84-c90b-463c-88d9-8a4ca8fa4a76}" ma:sspId="e385fb40-52d4-4fae-9c5b-3e8ff8a5878e" ma:termSetId="dad97345-7d30-4e98-8710-86d8b6a8f016" ma:anchorId="00000000-0000-0000-0000-000000000000" ma:open="false" ma:isKeyword="false">
      <xsd:complexType>
        <xsd:sequence>
          <xsd:element ref="pc:Terms" minOccurs="0" maxOccurs="1"/>
        </xsd:sequence>
      </xsd:complexType>
    </xsd:element>
    <xsd:element name="g1de90bf09944605b5395c5ca240cb6c" ma:index="8" nillable="true" ma:taxonomy="true" ma:internalName="g1de90bf09944605b5395c5ca240cb6c" ma:taxonomyFieldName="lcaregion" ma:displayName="LCA Region" ma:readOnly="false" ma:default="9;#United States Area|ea9d7a8d-1619-469c-b0a4-ef1cd3c07355" ma:fieldId="{01de90bf-0994-4605-b539-5c5ca240cb6c}" ma:sspId="e385fb40-52d4-4fae-9c5b-3e8ff8a5878e" ma:termSetId="0783b91d-a0ba-4884-b8b9-b67dfb338116"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b40a819-c2c9-4d15-af53-9c1dd3c293b5" elementFormDefault="qualified">
    <xsd:import namespace="http://schemas.microsoft.com/office/2006/documentManagement/types"/>
    <xsd:import namespace="http://schemas.microsoft.com/office/infopath/2007/PartnerControls"/>
    <xsd:element name="SharedWithUsers" ma:index="15"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4794c23-d227-4666-a8d0-747ccd3f81a3" elementFormDefault="qualified">
    <xsd:import namespace="http://schemas.microsoft.com/office/2006/documentManagement/types"/>
    <xsd:import namespace="http://schemas.microsoft.com/office/infopath/2007/PartnerControls"/>
    <xsd:element name="SharedWithDetails" ma:index="16"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f408e84c90b463c88d98a4ca8fa4a76 xmlns="230e9df3-be65-4c73-a93b-d1236ebd677e">
      <Terms xmlns="http://schemas.microsoft.com/office/infopath/2007/PartnerControls">
        <TermInfo xmlns="http://schemas.microsoft.com/office/infopath/2007/PartnerControls">
          <TermName xmlns="http://schemas.microsoft.com/office/infopath/2007/PartnerControls">Worldwide Sales Group (LCA)</TermName>
          <TermId xmlns="http://schemas.microsoft.com/office/infopath/2007/PartnerControls">1d16be35-564c-4ad3-8159-4e0ae4cdba01</TermId>
        </TermInfo>
      </Terms>
    </pf408e84c90b463c88d98a4ca8fa4a76>
    <l46dced6587843b1901ea2be625ffc24 xmlns="230e9df3-be65-4c73-a93b-d1236ebd677e">
      <Terms xmlns="http://schemas.microsoft.com/office/infopath/2007/PartnerControls">
        <TermInfo xmlns="http://schemas.microsoft.com/office/infopath/2007/PartnerControls">
          <TermName xmlns="http://schemas.microsoft.com/office/infopath/2007/PartnerControls">Fiscal Year 2016</TermName>
          <TermId xmlns="http://schemas.microsoft.com/office/infopath/2007/PartnerControls">3a14a61a-c35e-44de-8ad5-95b6c87d55bf</TermId>
        </TermInfo>
      </Terms>
    </l46dced6587843b1901ea2be625ffc24>
    <TaxCatchAll xmlns="230e9df3-be65-4c73-a93b-d1236ebd677e">
      <Value>12</Value>
      <Value>17</Value>
      <Value>9</Value>
    </TaxCatchAll>
    <g1de90bf09944605b5395c5ca240cb6c xmlns="230e9df3-be65-4c73-a93b-d1236ebd677e">
      <Terms xmlns="http://schemas.microsoft.com/office/infopath/2007/PartnerControls">
        <TermInfo xmlns="http://schemas.microsoft.com/office/infopath/2007/PartnerControls">
          <TermName xmlns="http://schemas.microsoft.com/office/infopath/2007/PartnerControls">United States Area</TermName>
          <TermId xmlns="http://schemas.microsoft.com/office/infopath/2007/PartnerControls">ea9d7a8d-1619-469c-b0a4-ef1cd3c07355</TermId>
        </TermInfo>
      </Terms>
    </g1de90bf09944605b5395c5ca240cb6c>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4A4BC3-8127-483B-B482-C100D6AE7DA3}">
  <ds:schemaRefs>
    <ds:schemaRef ds:uri="http://schemas.microsoft.com/sharepoint/v3/contenttype/forms"/>
  </ds:schemaRefs>
</ds:datastoreItem>
</file>

<file path=customXml/itemProps2.xml><?xml version="1.0" encoding="utf-8"?>
<ds:datastoreItem xmlns:ds="http://schemas.openxmlformats.org/officeDocument/2006/customXml" ds:itemID="{70544BE0-CB79-499B-8677-08C723A34F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0e9df3-be65-4c73-a93b-d1236ebd677e"/>
    <ds:schemaRef ds:uri="cb40a819-c2c9-4d15-af53-9c1dd3c293b5"/>
    <ds:schemaRef ds:uri="c4794c23-d227-4666-a8d0-747ccd3f81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022D7C7-95A5-476A-AA28-282AF4536F4B}">
  <ds:schemaRefs>
    <ds:schemaRef ds:uri="http://schemas.microsoft.com/office/2006/metadata/properties"/>
    <ds:schemaRef ds:uri="http://schemas.microsoft.com/office/infopath/2007/PartnerControls"/>
    <ds:schemaRef ds:uri="230e9df3-be65-4c73-a93b-d1236ebd677e"/>
  </ds:schemaRefs>
</ds:datastoreItem>
</file>

<file path=customXml/itemProps4.xml><?xml version="1.0" encoding="utf-8"?>
<ds:datastoreItem xmlns:ds="http://schemas.openxmlformats.org/officeDocument/2006/customXml" ds:itemID="{EFE12FFB-1748-443A-9A99-77EE39E92D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334</TotalTime>
  <Pages>10</Pages>
  <Words>4790</Words>
  <Characters>27306</Characters>
  <Application>Microsoft Office Word</Application>
  <DocSecurity>0</DocSecurity>
  <Lines>227</Lines>
  <Paragraphs>64</Paragraphs>
  <ScaleCrop>false</ScaleCrop>
  <HeadingPairs>
    <vt:vector size="2" baseType="variant">
      <vt:variant>
        <vt:lpstr>Title</vt:lpstr>
      </vt:variant>
      <vt:variant>
        <vt:i4>1</vt:i4>
      </vt:variant>
    </vt:vector>
  </HeadingPairs>
  <TitlesOfParts>
    <vt:vector size="1" baseType="lpstr">
      <vt:lpstr/>
    </vt:vector>
  </TitlesOfParts>
  <Company>Lionbridge</Company>
  <LinksUpToDate>false</LinksUpToDate>
  <CharactersWithSpaces>32032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Loren Hall (LCA)</dc:creator>
  <cp:lastModifiedBy>Elizabeth Brownell</cp:lastModifiedBy>
  <cp:revision>67</cp:revision>
  <cp:lastPrinted>2016-07-26T16:11:00Z</cp:lastPrinted>
  <dcterms:created xsi:type="dcterms:W3CDTF">2015-05-15T21:45:00Z</dcterms:created>
  <dcterms:modified xsi:type="dcterms:W3CDTF">2019-10-01T22:29:00Z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0x01010075C52D865D0CB4498EEC55A294A1530F</vt:lpwstr>
  </property>
  <property fmtid="{D5CDD505-2E9C-101B-9397-08002B2CF9AE}" pid="3" name="_docset_NoMedatataSyncRequired">
    <vt:lpwstr>False</vt:lpwstr>
  </property>
  <property fmtid="{D5CDD505-2E9C-101B-9397-08002B2CF9AE}" pid="4" name="LCA Fiscal Year">
    <vt:lpwstr>17;#Fiscal Year 2016|3a14a61a-c35e-44de-8ad5-95b6c87d55bf</vt:lpwstr>
  </property>
  <property fmtid="{D5CDD505-2E9C-101B-9397-08002B2CF9AE}" pid="5" name="lcaregion">
    <vt:lpwstr>9;#United States Area|ea9d7a8d-1619-469c-b0a4-ef1cd3c07355</vt:lpwstr>
  </property>
  <property fmtid="{D5CDD505-2E9C-101B-9397-08002B2CF9AE}" pid="6" name="lcapracticegroup">
    <vt:lpwstr>12;#Worldwide Sales Group (LCA)|1d16be35-564c-4ad3-8159-4e0ae4cdba01</vt:lpwstr>
  </property>
</Properties>
</file>