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4D7362" w:rsidRDefault="00374E8C" w:rsidP="0034678D">
      <w:pPr>
        <w:spacing w:before="240"/>
        <w:jc w:val="left"/>
      </w:pPr>
      <w:bookmarkStart w:id="0" w:name="_Toc261346423"/>
      <w:r>
        <w:rPr>
          <w:sz w:val="32"/>
          <w:szCs w:val="32"/>
        </w:rPr>
        <w:t>Disposições Específicas para Determinados Países</w:t>
      </w:r>
    </w:p>
    <w:p w14:paraId="576679B2" w14:textId="106BD5E2" w:rsidR="00374E8C" w:rsidRPr="004D7362" w:rsidRDefault="00374E8C" w:rsidP="00374E8C">
      <w:pPr>
        <w:spacing w:before="360"/>
      </w:pPr>
      <w:r>
        <w:t>As disposições específicas para determinados países que se seguem substituirão ou complementarão as disposições equivalentes no Microsoft Business and Services Agreement conforme assinalado:</w:t>
      </w:r>
    </w:p>
    <w:p w14:paraId="115790C9" w14:textId="567FA0AD" w:rsidR="00374E8C" w:rsidRPr="004D7362" w:rsidRDefault="00374E8C" w:rsidP="00404D8A">
      <w:pPr>
        <w:pStyle w:val="Heading1"/>
        <w:numPr>
          <w:ilvl w:val="0"/>
          <w:numId w:val="30"/>
        </w:numPr>
        <w:spacing w:after="0"/>
        <w:ind w:hanging="720"/>
      </w:pPr>
      <w:r>
        <w:rPr>
          <w:rFonts w:cs="Arial"/>
        </w:rPr>
        <w:t>Disposições específicas de país determinadas pela localização.</w:t>
      </w:r>
      <w:bookmarkEnd w:id="0"/>
    </w:p>
    <w:p w14:paraId="675A30CE" w14:textId="491FB839" w:rsidR="00374E8C" w:rsidRPr="004D7362" w:rsidRDefault="00374E8C" w:rsidP="00374E8C">
      <w:r>
        <w:t>Para os Clientes localizados em qualquer país identificado nesta secção 1, as seguintes disposições específicas de cada país substituirão ou serão acrescidas às disposições equivalentes conforme assinalado:</w:t>
      </w:r>
    </w:p>
    <w:p w14:paraId="0A0F3B1C" w14:textId="77777777" w:rsidR="00374E8C" w:rsidRPr="004D7362" w:rsidRDefault="00374E8C" w:rsidP="00374E8C">
      <w:pPr>
        <w:keepNext/>
        <w:shd w:val="clear" w:color="auto" w:fill="000000"/>
        <w:spacing w:after="120"/>
      </w:pPr>
      <w:r>
        <w:rPr>
          <w:b/>
          <w:bCs/>
          <w:color w:val="FFFFFF"/>
        </w:rPr>
        <w:t>Austrália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17B9103B" w:rsidR="00374E8C" w:rsidRPr="00B471C1" w:rsidRDefault="00374E8C" w:rsidP="00676517">
            <w:pPr>
              <w:spacing w:after="120"/>
              <w:ind w:left="86" w:right="86"/>
              <w:rPr>
                <w:b/>
                <w:bCs/>
              </w:rPr>
            </w:pPr>
            <w:r>
              <w:rPr>
                <w:b/>
                <w:bCs/>
              </w:rPr>
              <w:t xml:space="preserve">Complementar a secção denominada </w:t>
            </w:r>
            <w:r w:rsidR="00676517">
              <w:rPr>
                <w:b/>
                <w:bCs/>
              </w:rPr>
              <w:t>“</w:t>
            </w:r>
            <w:r>
              <w:rPr>
                <w:b/>
                <w:bCs/>
              </w:rPr>
              <w:t>Garantias</w:t>
            </w:r>
            <w:r w:rsidR="00676517">
              <w:rPr>
                <w:b/>
                <w:bCs/>
              </w:rPr>
              <w:t>”</w:t>
            </w:r>
            <w:r>
              <w:rPr>
                <w:b/>
                <w:bCs/>
              </w:rPr>
              <w:t xml:space="preserve"> com o seguinte:</w:t>
            </w:r>
          </w:p>
        </w:tc>
      </w:tr>
    </w:tbl>
    <w:p w14:paraId="2E2C40DC" w14:textId="6733F88E" w:rsidR="00374E8C" w:rsidRPr="004D7362" w:rsidRDefault="00374E8C" w:rsidP="00374E8C">
      <w:pPr>
        <w:spacing w:after="240"/>
        <w:ind w:left="1080" w:hanging="360"/>
      </w:pPr>
      <w:r>
        <w:rPr>
          <w:b/>
          <w:bCs/>
        </w:rPr>
        <w:t>d.</w:t>
      </w:r>
      <w:r>
        <w:rPr>
          <w:b/>
          <w:bCs/>
        </w:rPr>
        <w:tab/>
        <w:t>Ressarcimentos do consumidor.</w:t>
      </w:r>
      <w:r w:rsidR="00676517">
        <w:t xml:space="preserve"> </w:t>
      </w:r>
      <w:r>
        <w:t>Não obstante qualquer disposição do presente contrato (ou qualquer Contrato Suplementar), os consumidores podem beneficiar de determinados direitos ou ressarcimentos, em conformidade com a lei Competition and Consumer Act 2010 (Cth, Lei de 2010 sobre a Concorrência e o Consumo) e leis semelhantes de estados federais e territórios da Austrália, à luz das quais a responsabilidade não pode ser excluída. Se for esse o caso, até ao limite máximo permitido pela lei, tal responsabilidade estará limitada, ao critério da Microsoft, no caso de bens, à (1) substituição dos bens ou à (2) correção dos defeitos dos bens e, no caso de Serviços Profissionais, à (1) repetição do fornecimento dos Serviços Profissionais ou ao (2) custo da repetição do fornecimento dos Serviços Profissionais.</w:t>
      </w:r>
      <w:r w:rsidR="00676517">
        <w:t xml:space="preserve"> </w:t>
      </w:r>
      <w:r>
        <w:t>A lei australiana requer que a Microsoft notifique os compradores sobre os artigos da Microsoft que: Os nossos artigos são fornecidos com garantias que não podem ser excluídas ao abrigo da Consumer Law (Lei de Consumo) australiana. O Cliente tem direito à obtenção de uma substituição ou reembolso no caso de falha grave e de uma compensação por qualquer outra perda ou dano considerado razoavelmente previsível. O Cliente tem também direito à reparação ou substituição dos artigos se estes não forem de qualidade aceitável e se a falha não originar uma falha grave.</w:t>
      </w:r>
    </w:p>
    <w:p w14:paraId="074C11C2" w14:textId="0BA5FBA6" w:rsidR="00374E8C" w:rsidRPr="004D7362" w:rsidRDefault="00374E8C" w:rsidP="00374E8C">
      <w:pPr>
        <w:keepNext/>
        <w:shd w:val="clear" w:color="auto" w:fill="000000"/>
        <w:spacing w:before="360" w:after="120"/>
      </w:pPr>
      <w:r>
        <w:rPr>
          <w:b/>
          <w:bCs/>
          <w:color w:val="FFFFFF"/>
        </w:rPr>
        <w:t>Bangladeche, Índia, Indonésia, Myanmar, República Popular da China, Filipinas, Sri Lanka, Tailândia e Vietname.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093DB6F5" w:rsidR="00374E8C" w:rsidRPr="00B471C1" w:rsidRDefault="00374E8C" w:rsidP="00C7585B">
            <w:pPr>
              <w:keepNext/>
              <w:spacing w:after="120"/>
              <w:ind w:left="86" w:right="86"/>
              <w:rPr>
                <w:b/>
                <w:bCs/>
              </w:rPr>
            </w:pPr>
            <w:r>
              <w:rPr>
                <w:b/>
                <w:bCs/>
              </w:rPr>
              <w:t xml:space="preserve">Substituir a subsecção denominada </w:t>
            </w:r>
            <w:r w:rsidR="00C7585B">
              <w:rPr>
                <w:b/>
                <w:bCs/>
              </w:rPr>
              <w:t>“</w:t>
            </w:r>
            <w:r>
              <w:rPr>
                <w:b/>
                <w:bCs/>
              </w:rPr>
              <w:t>Resolução de litígios</w:t>
            </w:r>
            <w:r w:rsidR="00C7585B">
              <w:rPr>
                <w:b/>
                <w:bCs/>
              </w:rPr>
              <w:t>”</w:t>
            </w:r>
            <w:r>
              <w:rPr>
                <w:b/>
                <w:bCs/>
              </w:rPr>
              <w:t xml:space="preserve"> pelo seguinte:</w:t>
            </w:r>
          </w:p>
        </w:tc>
      </w:tr>
    </w:tbl>
    <w:p w14:paraId="60D30881" w14:textId="520FCFCB" w:rsidR="00374E8C" w:rsidRPr="004D7362" w:rsidRDefault="00374E8C" w:rsidP="00B471C1">
      <w:pPr>
        <w:ind w:left="1080"/>
      </w:pPr>
      <w:r>
        <w:rPr>
          <w:b/>
          <w:bCs/>
        </w:rPr>
        <w:t>Resolução de litígios.</w:t>
      </w:r>
      <w:r w:rsidR="00676517">
        <w:rPr>
          <w:b/>
          <w:bCs/>
        </w:rPr>
        <w:t xml:space="preserve"> </w:t>
      </w:r>
      <w:r>
        <w:rPr>
          <w:bCs/>
        </w:rPr>
        <w:t>No caso de intentarem uma ação judicial ao abrigo do presente contrato em qualquer um dos países acima listados, (incluindo qualquer contrato que incorpore estes termos), as partes concordam que a ação seja finalmente resolvida por arbitragem, em conformidade com os termos da presente secção.</w:t>
      </w:r>
      <w:r w:rsidR="00676517">
        <w:rPr>
          <w:b/>
          <w:bCs/>
        </w:rPr>
        <w:t xml:space="preserve"> </w:t>
      </w:r>
      <w:r>
        <w:t>A decisão de um árbitro será definitiva, vinculativa e incontestável e poderá ser utilizada como uma base para o respetivo julgamento nos países acima mencionados ou noutro local.</w:t>
      </w:r>
      <w:r w:rsidR="00676517">
        <w:t xml:space="preserve"> </w:t>
      </w:r>
      <w:r>
        <w:t>Até ao limite máximo permitido pela lei aplicável, as partes renunciam aos respetivos direitos de qualquer forma de recurso ou a qualquer outro recurso semelhante para um tribunal.</w:t>
      </w:r>
      <w:r w:rsidR="00676517">
        <w:t xml:space="preserve"> </w:t>
      </w:r>
      <w:r>
        <w:t>Estas eleições do foro não impedem que qualquer das partes promova medidas cautelares relativamente a uma violação dos direitos de propriedade intelectual ou das obrigações de confidencialidade em qualquer jurisdição competente.</w:t>
      </w:r>
      <w:r w:rsidR="00676517">
        <w:t xml:space="preserve"> </w:t>
      </w:r>
      <w:r>
        <w:t>O idioma da arbitragem será o inglês.</w:t>
      </w:r>
      <w:r w:rsidR="00676517">
        <w:t xml:space="preserve"> </w:t>
      </w:r>
      <w:r>
        <w:t>Para além disso, aplicam-se também os seguintes termos para os países abaixo listados.</w:t>
      </w:r>
    </w:p>
    <w:p w14:paraId="1AFA36C6" w14:textId="5096C382" w:rsidR="00374E8C" w:rsidRPr="004D7362" w:rsidRDefault="00374E8C" w:rsidP="00374E8C">
      <w:pPr>
        <w:ind w:left="1080"/>
      </w:pPr>
      <w:r>
        <w:rPr>
          <w:b/>
          <w:bCs/>
        </w:rPr>
        <w:t>Bangladeche, Indonésia, Sri Lanka, Tailândia e Vietname.</w:t>
      </w:r>
      <w:r w:rsidR="00676517">
        <w:t xml:space="preserve"> </w:t>
      </w:r>
      <w:r>
        <w:t xml:space="preserve">Quaisquer litígios resultantes ou relacionados com este contrato (incluindo qualquer Contrato Suplementar), incluindo qualquer questão relacionada com a existência, validade ou cessação do mesmo, deverão ser apresentados e resolvidos por arbitragem em </w:t>
      </w:r>
      <w:r>
        <w:lastRenderedPageBreak/>
        <w:t>Singapura, em conformidade com as Regras de Arbitragem do Centro de Arbitragem Internacional de Singapura (</w:t>
      </w:r>
      <w:r w:rsidR="0060213B">
        <w:t>“</w:t>
      </w:r>
      <w:r>
        <w:t>SIAC</w:t>
      </w:r>
      <w:r w:rsidR="00791D78">
        <w:t>”</w:t>
      </w:r>
      <w:r>
        <w:t>), cujas regras serão consideradas como estando incorporadas por referência nesta secção.</w:t>
      </w:r>
      <w:r w:rsidR="00676517">
        <w:t xml:space="preserve"> </w:t>
      </w:r>
      <w:r>
        <w:t>O Tribunal deverá consistir num árbitro nomeado pelo Presidente do SIAC.</w:t>
      </w:r>
      <w:r w:rsidR="00676517">
        <w:t xml:space="preserve"> </w:t>
      </w:r>
      <w:r>
        <w:rPr>
          <w:bCs/>
        </w:rPr>
        <w:t>A arbitragem</w:t>
      </w:r>
      <w:r>
        <w:t xml:space="preserve"> será realizada na língua inglesa.</w:t>
      </w:r>
    </w:p>
    <w:p w14:paraId="0C1411B7" w14:textId="138B58E5" w:rsidR="00374E8C" w:rsidRPr="004D7362" w:rsidRDefault="00374E8C" w:rsidP="00374E8C">
      <w:pPr>
        <w:ind w:left="1080"/>
      </w:pPr>
      <w:r>
        <w:rPr>
          <w:b/>
        </w:rPr>
        <w:t>Índia.</w:t>
      </w:r>
      <w:r w:rsidR="00676517">
        <w:t xml:space="preserve"> </w:t>
      </w:r>
      <w:r>
        <w:t>A arbitragem deverá ser efetuada em conformidade com as Regras de Arbitragem do Centro de Arbitragem Internacional de Singapura (</w:t>
      </w:r>
      <w:r w:rsidR="008A7EE5">
        <w:t>“</w:t>
      </w:r>
      <w:r>
        <w:t>SIAC</w:t>
      </w:r>
      <w:r w:rsidR="008A7EE5">
        <w:t>”</w:t>
      </w:r>
      <w:r>
        <w:t>), cujas regras serão consideradas como estando incorporadas por referência nesta subsecção. O Tribunal deverá consistir num árbitro nomeado pelo Presidente do SIAC. O local de arbitragem será Singapura e o idioma da arbitragem será o inglês.</w:t>
      </w:r>
      <w:r w:rsidR="00676517">
        <w:t xml:space="preserve"> </w:t>
      </w:r>
      <w:r>
        <w:t>A decisão do árbitro será definitiva e vinculativa.</w:t>
      </w:r>
      <w:r w:rsidR="00676517">
        <w:t xml:space="preserve"> </w:t>
      </w:r>
      <w:r>
        <w:t>Os tribunais de Nova Deli serão considerados como tendo jurisdição competente para processar quaisquer ações relacionadas com a aplicação da decisão e/ou pela decisão de qualquer proteção provisória.</w:t>
      </w:r>
    </w:p>
    <w:p w14:paraId="78F84D67" w14:textId="2557C73C" w:rsidR="00374E8C" w:rsidRPr="004D7362" w:rsidRDefault="00374E8C" w:rsidP="00374E8C">
      <w:pPr>
        <w:ind w:left="1080"/>
      </w:pPr>
      <w:r>
        <w:rPr>
          <w:b/>
        </w:rPr>
        <w:t>República Popular da China (“RPC”).</w:t>
      </w:r>
      <w:r w:rsidR="00676517">
        <w:rPr>
          <w:b/>
        </w:rPr>
        <w:t xml:space="preserve"> </w:t>
      </w:r>
      <w:r>
        <w:t>Quaisquer litígios resultantes ou relacionados com este contrato (incluindo qualquer Contrato Suplementar), incluindo qualquer questão relacionada com a existência, validade ou cessação do mesmo, serão submetidos à arbitragem vinculativa na China International Economic and Trade Arbitration Commission (</w:t>
      </w:r>
      <w:r w:rsidR="00575849">
        <w:t>“</w:t>
      </w:r>
      <w:r>
        <w:t>CIETAC</w:t>
      </w:r>
      <w:r w:rsidR="00575849">
        <w:t>”</w:t>
      </w:r>
      <w:r>
        <w:t>) em Pequim, em conformidade com as suas regras em vigor periodicamente.</w:t>
      </w:r>
    </w:p>
    <w:p w14:paraId="68BE63E6" w14:textId="12E1F0B4" w:rsidR="00374E8C" w:rsidRPr="004D7362" w:rsidRDefault="00374E8C" w:rsidP="00374E8C">
      <w:pPr>
        <w:ind w:left="1080"/>
      </w:pPr>
      <w:r>
        <w:rPr>
          <w:b/>
        </w:rPr>
        <w:t>Filipinas.</w:t>
      </w:r>
      <w:r w:rsidR="00676517">
        <w:t xml:space="preserve"> </w:t>
      </w:r>
      <w:r>
        <w:t>Quaisquer litígios resultantes ou relacionados com este Contrato (incluindo qualquer Contrato Suplementar), incluindo qualquer questão relacionada com a existência, validade ou cessação do mesmo, deverão ser apresentados e resolvidos por arbitragem em Singapura, em conformidade com as Regras de Arbitragem do Centro de Arbitragem Internacional de Singapura (</w:t>
      </w:r>
      <w:r w:rsidR="003F5DA8">
        <w:t>“</w:t>
      </w:r>
      <w:r>
        <w:t>SIAC</w:t>
      </w:r>
      <w:r w:rsidR="003F5DA8">
        <w:t>”</w:t>
      </w:r>
      <w:r>
        <w:t>), cujas regras serão consideradas como estando incorporadas por referência nesta secção.</w:t>
      </w:r>
      <w:r w:rsidR="00676517">
        <w:t xml:space="preserve"> </w:t>
      </w:r>
      <w:r>
        <w:t>O Tribunal deverá consistir num árbitro nomeado pelo Presidente do SIAC.</w:t>
      </w:r>
    </w:p>
    <w:p w14:paraId="6B0B5594" w14:textId="2553E152" w:rsidR="00374E8C" w:rsidRPr="004D7362" w:rsidRDefault="00374E8C" w:rsidP="00374E8C">
      <w:pPr>
        <w:ind w:left="1080"/>
      </w:pPr>
      <w:r>
        <w:t>Qualquer litígio resultante de ou relacionado com qualquer Declaração de Serviços, incluindo qualquer questão relacionada com a existência, validade ou cessação da mesma, deverá ser resolvido por arbitragem, em conformidade com as Regras de Arbitragem da UNCITRAL em vigor à data do litígio.</w:t>
      </w:r>
      <w:r w:rsidR="00676517">
        <w:t xml:space="preserve"> </w:t>
      </w:r>
      <w:r>
        <w:t>O foro da arbitragem será Singapura.</w:t>
      </w:r>
      <w:r w:rsidR="00676517">
        <w:t xml:space="preserve"> </w:t>
      </w:r>
      <w:r>
        <w:rPr>
          <w:bCs/>
        </w:rPr>
        <w:t>A arbitragem</w:t>
      </w:r>
      <w:r>
        <w:t xml:space="preserve"> será realizada na língua inglesa.</w:t>
      </w:r>
    </w:p>
    <w:p w14:paraId="2CDF059A" w14:textId="77777777" w:rsidR="00374E8C" w:rsidRPr="004D7362" w:rsidRDefault="00374E8C" w:rsidP="00374E8C">
      <w:pPr>
        <w:keepNext/>
        <w:shd w:val="clear" w:color="auto" w:fill="000000"/>
        <w:spacing w:before="360" w:after="120"/>
      </w:pPr>
      <w:r>
        <w:rPr>
          <w:b/>
          <w:bCs/>
          <w:color w:val="FFFFFF"/>
        </w:rPr>
        <w:t>Bangladeche, Indonésia e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557B00CE" w:rsidR="00374E8C" w:rsidRPr="00B471C1" w:rsidRDefault="00374E8C" w:rsidP="00FE6A27">
            <w:pPr>
              <w:keepNext/>
              <w:spacing w:after="120"/>
              <w:ind w:left="86" w:right="86"/>
              <w:rPr>
                <w:b/>
                <w:bCs/>
              </w:rPr>
            </w:pPr>
            <w:r>
              <w:rPr>
                <w:b/>
                <w:bCs/>
              </w:rPr>
              <w:t>Substituir a terceira frase da subsecção denominada “Lei aplicável</w:t>
            </w:r>
            <w:r w:rsidR="00FE6A27">
              <w:rPr>
                <w:b/>
                <w:bCs/>
              </w:rPr>
              <w:t>”</w:t>
            </w:r>
            <w:r>
              <w:rPr>
                <w:b/>
                <w:bCs/>
              </w:rPr>
              <w:t>, pelo seguinte:</w:t>
            </w:r>
          </w:p>
        </w:tc>
      </w:tr>
    </w:tbl>
    <w:p w14:paraId="30EBF0E2" w14:textId="7E118FF0" w:rsidR="00374E8C" w:rsidRPr="004D7362" w:rsidRDefault="000C754A" w:rsidP="00374E8C">
      <w:r>
        <w:t>Quaisquer litígios decorrentes ou referentes aos Serviços Profissionais serão regidos em conformidade com as leis de Singapura.</w:t>
      </w:r>
    </w:p>
    <w:p w14:paraId="6684DD73" w14:textId="77777777" w:rsidR="00374E8C" w:rsidRPr="004D7362" w:rsidRDefault="00374E8C" w:rsidP="00374E8C">
      <w:pPr>
        <w:keepNext/>
        <w:shd w:val="clear" w:color="auto" w:fill="000000"/>
        <w:spacing w:before="360" w:after="120"/>
      </w:pPr>
      <w:r>
        <w:rPr>
          <w:b/>
          <w:bCs/>
          <w:color w:val="FFFFFF"/>
        </w:rPr>
        <w:t>Índia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7902B469" w:rsidR="00374E8C" w:rsidRPr="00B471C1" w:rsidRDefault="00374E8C" w:rsidP="00021A72">
            <w:pPr>
              <w:keepNext/>
              <w:spacing w:after="120"/>
              <w:ind w:left="86" w:right="86"/>
              <w:rPr>
                <w:b/>
                <w:bCs/>
              </w:rPr>
            </w:pPr>
            <w:r>
              <w:rPr>
                <w:b/>
                <w:bCs/>
              </w:rPr>
              <w:t>Substituir a primeira frase da subsecção denominada “Lei aplicável</w:t>
            </w:r>
            <w:r w:rsidR="00021A72">
              <w:rPr>
                <w:b/>
                <w:bCs/>
              </w:rPr>
              <w:t>”</w:t>
            </w:r>
            <w:r>
              <w:rPr>
                <w:b/>
                <w:bCs/>
              </w:rPr>
              <w:t>, pelo seguinte:</w:t>
            </w:r>
          </w:p>
        </w:tc>
      </w:tr>
    </w:tbl>
    <w:p w14:paraId="55E12EEB" w14:textId="5FA1D9B9" w:rsidR="00374E8C" w:rsidRPr="004D7362" w:rsidRDefault="00374E8C" w:rsidP="00374E8C">
      <w:r>
        <w:t>Os termos de cada Contrato Suplementar celebrado com qualquer Afiliada da Microsoft localizada na Índia serão regidos e interpretados em conformidade com as leis da Índia.</w:t>
      </w:r>
    </w:p>
    <w:p w14:paraId="3AD1D9CB" w14:textId="77777777" w:rsidR="00374E8C" w:rsidRPr="004D7362" w:rsidRDefault="00374E8C" w:rsidP="00374E8C">
      <w:pPr>
        <w:keepNext/>
        <w:shd w:val="clear" w:color="auto" w:fill="000000"/>
        <w:spacing w:before="360" w:after="120"/>
      </w:pPr>
      <w:r>
        <w:rPr>
          <w:b/>
          <w:bCs/>
          <w:color w:val="FFFFFF"/>
        </w:rPr>
        <w:t>Japão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64339B2E" w:rsidR="00374E8C" w:rsidRPr="00B471C1" w:rsidRDefault="00374E8C" w:rsidP="009C6EA4">
            <w:pPr>
              <w:spacing w:after="120"/>
              <w:ind w:left="86" w:right="86"/>
              <w:rPr>
                <w:b/>
                <w:bCs/>
              </w:rPr>
            </w:pPr>
            <w:r>
              <w:rPr>
                <w:b/>
                <w:bCs/>
              </w:rPr>
              <w:t>Substituir o URL identificado na Secção denominada “Definições</w:t>
            </w:r>
            <w:r w:rsidR="009C6EA4">
              <w:rPr>
                <w:b/>
                <w:bCs/>
              </w:rPr>
              <w:t>”</w:t>
            </w:r>
            <w:r>
              <w:rPr>
                <w:b/>
                <w:bCs/>
              </w:rPr>
              <w:t xml:space="preserve"> na definição do Site sobre Licenciamento em Volume pelo seguinte:</w:t>
            </w:r>
          </w:p>
        </w:tc>
      </w:tr>
    </w:tbl>
    <w:p w14:paraId="1F5382D4" w14:textId="7C72D245" w:rsidR="00374E8C" w:rsidRPr="004D7362" w:rsidRDefault="009D4D34"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2EC30CB5" w:rsidR="00D5280E" w:rsidRPr="00B471C1" w:rsidRDefault="00D5280E" w:rsidP="003B2CDB">
            <w:pPr>
              <w:keepNext/>
              <w:spacing w:after="120"/>
              <w:ind w:left="86" w:right="86"/>
              <w:rPr>
                <w:b/>
                <w:bCs/>
              </w:rPr>
            </w:pPr>
            <w:r>
              <w:rPr>
                <w:b/>
                <w:bCs/>
              </w:rPr>
              <w:lastRenderedPageBreak/>
              <w:t xml:space="preserve">Substituir a subsecção denominada </w:t>
            </w:r>
            <w:r w:rsidR="00A662D8">
              <w:rPr>
                <w:b/>
                <w:bCs/>
              </w:rPr>
              <w:t>“</w:t>
            </w:r>
            <w:r>
              <w:rPr>
                <w:b/>
                <w:bCs/>
              </w:rPr>
              <w:t>Lei aplicável</w:t>
            </w:r>
            <w:r w:rsidR="00A662D8">
              <w:rPr>
                <w:b/>
                <w:bCs/>
              </w:rPr>
              <w:t>”</w:t>
            </w:r>
            <w:r>
              <w:rPr>
                <w:b/>
                <w:bCs/>
              </w:rPr>
              <w:t xml:space="preserve"> pelo seguinte:</w:t>
            </w:r>
          </w:p>
        </w:tc>
      </w:tr>
    </w:tbl>
    <w:p w14:paraId="1AC9C3B2" w14:textId="31FE1CE7" w:rsidR="00D5280E" w:rsidRPr="004D7362" w:rsidRDefault="00D5280E" w:rsidP="00D5280E">
      <w:pPr>
        <w:spacing w:after="240"/>
      </w:pPr>
      <w:r>
        <w:t>Os termos de cada Contrato Suplementar ou Declaração de Serviços serão regulados e interpretados em conformidade com as leis do Japão. A Convenção das Nações Unidas de 1980 sobre os Contratos de Compra e Venda Internacional de Mercadorias e os instrumentos com ela relacionados não se aplicarão ao presente contrato.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51349B3F" w:rsidR="00374E8C" w:rsidRPr="00B471C1" w:rsidRDefault="00374E8C" w:rsidP="00AA302E">
            <w:pPr>
              <w:spacing w:after="120"/>
              <w:ind w:left="86" w:right="86"/>
              <w:rPr>
                <w:b/>
                <w:bCs/>
              </w:rPr>
            </w:pPr>
            <w:r>
              <w:rPr>
                <w:b/>
                <w:bCs/>
              </w:rPr>
              <w:t xml:space="preserve">Substituir a subsecção denominada </w:t>
            </w:r>
            <w:r w:rsidR="00AA302E">
              <w:rPr>
                <w:b/>
                <w:bCs/>
              </w:rPr>
              <w:t>“</w:t>
            </w:r>
            <w:r>
              <w:rPr>
                <w:b/>
                <w:bCs/>
              </w:rPr>
              <w:t>Resolução de litígios</w:t>
            </w:r>
            <w:r w:rsidR="00AA302E">
              <w:rPr>
                <w:b/>
                <w:bCs/>
              </w:rPr>
              <w:t>”</w:t>
            </w:r>
            <w:r>
              <w:rPr>
                <w:b/>
                <w:bCs/>
              </w:rPr>
              <w:t xml:space="preserve"> pelo seguinte:</w:t>
            </w:r>
          </w:p>
        </w:tc>
      </w:tr>
    </w:tbl>
    <w:p w14:paraId="2F94BFF2" w14:textId="45F91A1F" w:rsidR="00374E8C" w:rsidRPr="004D7362" w:rsidRDefault="00374E8C" w:rsidP="00374E8C">
      <w:pPr>
        <w:spacing w:after="240"/>
      </w:pPr>
      <w:r>
        <w:rPr>
          <w:color w:val="auto"/>
        </w:rPr>
        <w:t>Quaisquer litígios resultantes ou relacionados com o presente contrato (incluindo qualquer Contrato Suplementar ou Declaração de Serviços que incorpore estes termos) incluindo qualquer questão relacionada com a existência, validade ou cessação do mesmo, estão sujeitos à jurisdição competente e exclusiva da comarca do distrito de Tóquio.</w:t>
      </w:r>
      <w:r w:rsidR="00676517">
        <w:rPr>
          <w:color w:val="auto"/>
        </w:rPr>
        <w:t xml:space="preserve"> </w:t>
      </w:r>
      <w:r>
        <w:t>Esta eleição do foro não impede que qualquer das partes promova medidas cautelares relativamente a uma violação dos direitos de propriedade intelectual ou das obrigações de confidencialidade em qualquer jurisdição competente.</w:t>
      </w:r>
    </w:p>
    <w:p w14:paraId="26DAF03A" w14:textId="2D3B96D9" w:rsidR="00374E8C" w:rsidRPr="004D7362" w:rsidRDefault="00374E8C" w:rsidP="00D5280E">
      <w:pPr>
        <w:keepNext/>
        <w:shd w:val="clear" w:color="auto" w:fill="000000"/>
        <w:spacing w:before="360" w:after="120"/>
      </w:pPr>
      <w:r>
        <w:rPr>
          <w:b/>
          <w:bCs/>
          <w:color w:val="FFFFFF"/>
        </w:rPr>
        <w:t>Nova Zelândia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62BBA83D" w:rsidR="00374E8C" w:rsidRPr="00B471C1" w:rsidRDefault="00374E8C" w:rsidP="00D70CEA">
            <w:pPr>
              <w:keepNext/>
              <w:spacing w:after="120"/>
              <w:ind w:left="86" w:right="86"/>
              <w:rPr>
                <w:b/>
                <w:bCs/>
              </w:rPr>
            </w:pPr>
            <w:r>
              <w:rPr>
                <w:b/>
                <w:bCs/>
              </w:rPr>
              <w:t xml:space="preserve">Complementar a secção denominada </w:t>
            </w:r>
            <w:r w:rsidR="00D70CEA">
              <w:rPr>
                <w:b/>
                <w:bCs/>
              </w:rPr>
              <w:t>“</w:t>
            </w:r>
            <w:r>
              <w:rPr>
                <w:b/>
                <w:bCs/>
              </w:rPr>
              <w:t>Disposições Gerais</w:t>
            </w:r>
            <w:r w:rsidR="00D70CEA">
              <w:rPr>
                <w:b/>
                <w:bCs/>
              </w:rPr>
              <w:t>”</w:t>
            </w:r>
            <w:r>
              <w:rPr>
                <w:b/>
                <w:bCs/>
              </w:rPr>
              <w:t xml:space="preserve"> com o seguinte:</w:t>
            </w:r>
          </w:p>
        </w:tc>
      </w:tr>
    </w:tbl>
    <w:p w14:paraId="075B5088" w14:textId="2B038510" w:rsidR="00374E8C" w:rsidRPr="004D7362" w:rsidRDefault="0089029D" w:rsidP="00374E8C">
      <w:pPr>
        <w:ind w:left="1080" w:hanging="360"/>
      </w:pPr>
      <w:r>
        <w:rPr>
          <w:b/>
          <w:bCs/>
        </w:rPr>
        <w:t>o.</w:t>
      </w:r>
      <w:r>
        <w:rPr>
          <w:b/>
          <w:bCs/>
        </w:rPr>
        <w:tab/>
        <w:t>Responsabilidade prevista na lei.</w:t>
      </w:r>
    </w:p>
    <w:p w14:paraId="552D294D" w14:textId="2DEC3F8C" w:rsidR="00374E8C" w:rsidRPr="004D7362" w:rsidRDefault="00374E8C" w:rsidP="00374E8C">
      <w:pPr>
        <w:pStyle w:val="ListParagraph"/>
        <w:numPr>
          <w:ilvl w:val="0"/>
          <w:numId w:val="27"/>
        </w:numPr>
        <w:ind w:left="1440"/>
        <w:contextualSpacing w:val="0"/>
      </w:pPr>
      <w:r>
        <w:rPr>
          <w:b/>
          <w:bCs/>
        </w:rPr>
        <w:t>Empresa.</w:t>
      </w:r>
      <w:r w:rsidR="00676517">
        <w:rPr>
          <w:b/>
          <w:bCs/>
        </w:rPr>
        <w:t xml:space="preserve"> </w:t>
      </w:r>
      <w:r>
        <w:rPr>
          <w:bCs/>
        </w:rPr>
        <w:t xml:space="preserve">Sempre que Microsoft agir na qualidade de fornecedor (em conformidade com a definição deste termo na Lei de Garantias do Consumidor de 1993 (Consumer Guarantee Act - </w:t>
      </w:r>
      <w:r w:rsidR="00C90D8A">
        <w:rPr>
          <w:bCs/>
        </w:rPr>
        <w:t>“</w:t>
      </w:r>
      <w:r>
        <w:rPr>
          <w:bCs/>
        </w:rPr>
        <w:t>CGA</w:t>
      </w:r>
      <w:r w:rsidR="00C90D8A">
        <w:rPr>
          <w:bCs/>
        </w:rPr>
        <w:t>”</w:t>
      </w:r>
      <w:r>
        <w:rPr>
          <w:bCs/>
        </w:rPr>
        <w:t>)) dos Produtos ou Serviços Profissionais, o Cliente confirma que os Produtos ou Serviços Profissionais fornecidos pela Microsoft ao abrigo de um Contrato Suplementar ou Declaração de Serviços são adquiridos para uma empresa (em conformidade com a definição deste termo na CGA) e o Cliente aceita que a CGA não se aplica aos Produtos ou Serviços Profissionais fornecidos pela Microsoft.</w:t>
      </w:r>
    </w:p>
    <w:p w14:paraId="40965C25" w14:textId="4FCC6F6E" w:rsidR="00374E8C" w:rsidRPr="004D7362" w:rsidRDefault="00374E8C" w:rsidP="00374E8C">
      <w:pPr>
        <w:pStyle w:val="ListParagraph"/>
        <w:numPr>
          <w:ilvl w:val="0"/>
          <w:numId w:val="27"/>
        </w:numPr>
        <w:ind w:left="1440"/>
        <w:contextualSpacing w:val="0"/>
      </w:pPr>
      <w:r>
        <w:rPr>
          <w:b/>
          <w:bCs/>
        </w:rPr>
        <w:t>Consumidores.</w:t>
      </w:r>
      <w:r w:rsidR="00676517">
        <w:rPr>
          <w:b/>
          <w:bCs/>
        </w:rPr>
        <w:t xml:space="preserve"> </w:t>
      </w:r>
      <w:r>
        <w:rPr>
          <w:bCs/>
        </w:rPr>
        <w:t>Nada no presente contrato (ou qualquer Contrato Suplementar ou Declaração de Serviços que incorpore estes termos) se destina a limitar os direitos de um “consumidor” ao abrigo da CGA, sempre que essa Lei for aplicável, exceto na medida permitida por essa Lei, e os termos do presente contrato devem ser modificados na medida necessária para que esta intenção produza efeito.</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Disposições específicas de país determinadas pela lei aplicável.</w:t>
      </w:r>
      <w:bookmarkEnd w:id="1"/>
    </w:p>
    <w:p w14:paraId="3E12C8B3" w14:textId="66E2E9C8" w:rsidR="00374E8C" w:rsidRPr="004D7362" w:rsidRDefault="00374E8C" w:rsidP="00565038">
      <w:r>
        <w:t>Em qualquer caso em que se aplique a lei de qualquer uma das jurisdições infra referidas em conformidade com os termos deste contrato ou por determinação de um tribunal, as seguintes disposições específicas de país substituirão ou serão acrescidas às disposições equivalentes conforme assinalado:</w:t>
      </w:r>
    </w:p>
    <w:p w14:paraId="61910AFA" w14:textId="77777777" w:rsidR="00374E8C" w:rsidRPr="004D7362" w:rsidRDefault="00374E8C" w:rsidP="00565038">
      <w:pPr>
        <w:keepNext/>
        <w:shd w:val="clear" w:color="auto" w:fill="000000"/>
        <w:spacing w:after="120"/>
      </w:pPr>
      <w:r>
        <w:rPr>
          <w:b/>
          <w:bCs/>
          <w:color w:val="FFFFFF"/>
        </w:rPr>
        <w:t>Áustria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43706809" w:rsidR="00374E8C" w:rsidRPr="00B471C1" w:rsidRDefault="00374E8C" w:rsidP="001D315E">
            <w:pPr>
              <w:keepNext/>
              <w:spacing w:after="120"/>
              <w:ind w:left="86" w:right="86"/>
              <w:rPr>
                <w:b/>
                <w:bCs/>
              </w:rPr>
            </w:pPr>
            <w:r>
              <w:rPr>
                <w:b/>
                <w:bCs/>
              </w:rPr>
              <w:t xml:space="preserve">Complementar a secção denominada </w:t>
            </w:r>
            <w:r w:rsidR="001D315E">
              <w:rPr>
                <w:b/>
                <w:bCs/>
              </w:rPr>
              <w:t>“</w:t>
            </w:r>
            <w:r>
              <w:rPr>
                <w:b/>
                <w:bCs/>
              </w:rPr>
              <w:t>Garantias</w:t>
            </w:r>
            <w:r w:rsidR="001D315E">
              <w:rPr>
                <w:b/>
                <w:bCs/>
              </w:rPr>
              <w:t>”</w:t>
            </w:r>
            <w:r>
              <w:rPr>
                <w:b/>
                <w:bCs/>
              </w:rPr>
              <w:t xml:space="preserve"> com o seguinte:</w:t>
            </w:r>
          </w:p>
        </w:tc>
      </w:tr>
    </w:tbl>
    <w:p w14:paraId="67ECE681" w14:textId="644F31C8" w:rsidR="00374E8C" w:rsidRPr="00D20B54" w:rsidRDefault="00374E8C" w:rsidP="002052C3">
      <w:pPr>
        <w:pStyle w:val="ListParagraph"/>
        <w:numPr>
          <w:ilvl w:val="0"/>
          <w:numId w:val="53"/>
        </w:numPr>
        <w:ind w:left="1080"/>
        <w:rPr>
          <w:spacing w:val="-2"/>
        </w:rPr>
      </w:pPr>
      <w:r w:rsidRPr="00D20B54">
        <w:rPr>
          <w:b/>
          <w:bCs/>
          <w:spacing w:val="-2"/>
        </w:rPr>
        <w:t>Características Acordadas; Ações por Defeitos na qualidade e Defeitos no título.</w:t>
      </w:r>
      <w:r w:rsidR="00676517" w:rsidRPr="00D20B54">
        <w:rPr>
          <w:spacing w:val="-2"/>
        </w:rPr>
        <w:t xml:space="preserve"> </w:t>
      </w:r>
      <w:r w:rsidRPr="00D20B54">
        <w:rPr>
          <w:spacing w:val="-2"/>
        </w:rPr>
        <w:t xml:space="preserve">Na medida em que seja exigido que a Microsoft forneça uma coisa móvel ainda por produzir (herzustellende, bewegliche Sache) ou na medida em que os Serviços Profissionais da Microsoft sejam, excecionalmente, considerados execuções do trabalho (Werkleistungen), as seguintes disposições d. a i. desta secção aplicar-se-ão às ações propostas por defeitos na qualidade ou defeitos no título (conjuntamente referidos como </w:t>
      </w:r>
      <w:r w:rsidR="00382378" w:rsidRPr="00D20B54">
        <w:rPr>
          <w:spacing w:val="-2"/>
        </w:rPr>
        <w:t>“</w:t>
      </w:r>
      <w:r w:rsidRPr="00D20B54">
        <w:rPr>
          <w:spacing w:val="-2"/>
        </w:rPr>
        <w:t>Defeitos</w:t>
      </w:r>
      <w:r w:rsidR="00382378" w:rsidRPr="00D20B54">
        <w:rPr>
          <w:spacing w:val="-2"/>
        </w:rPr>
        <w:t>”</w:t>
      </w:r>
      <w:r w:rsidRPr="00D20B54">
        <w:rPr>
          <w:spacing w:val="-2"/>
        </w:rPr>
        <w:t>) mas não se aplicarão nos casos em que as ações sejam por danos ou reembolso de despesas. As disposições incluídas na secção denominada “Limitação de Responsabilidade” aplicar-se-ão às ações por danos ou despesas resultantes dos Defeitos.</w:t>
      </w:r>
    </w:p>
    <w:p w14:paraId="0653D38F" w14:textId="240483D8" w:rsidR="00374E8C" w:rsidRPr="004D7362" w:rsidRDefault="00374E8C" w:rsidP="002052C3">
      <w:pPr>
        <w:pStyle w:val="ListParagraph"/>
        <w:numPr>
          <w:ilvl w:val="0"/>
          <w:numId w:val="53"/>
        </w:numPr>
        <w:ind w:left="1080"/>
        <w:contextualSpacing w:val="0"/>
      </w:pPr>
      <w:r>
        <w:rPr>
          <w:b/>
          <w:bCs/>
        </w:rPr>
        <w:lastRenderedPageBreak/>
        <w:t>Garantia em caso de não divulgação dolosa de um Defeito.</w:t>
      </w:r>
      <w:r w:rsidR="00676517">
        <w:t xml:space="preserve"> </w:t>
      </w:r>
      <w:r>
        <w:t>Os direitos do cliente e a respetiva extinção serão exclusivamente determinados em conformidade com a lei aplicável no caso de não divulgação dolosa de um Defeito (arglistiges Verschweigen).</w:t>
      </w:r>
    </w:p>
    <w:p w14:paraId="58E7CF9E" w14:textId="09D89E38" w:rsidR="00374E8C" w:rsidRPr="004D7362" w:rsidRDefault="00374E8C" w:rsidP="002052C3">
      <w:pPr>
        <w:pStyle w:val="ListParagraph"/>
        <w:numPr>
          <w:ilvl w:val="0"/>
          <w:numId w:val="53"/>
        </w:numPr>
        <w:ind w:left="1080"/>
        <w:contextualSpacing w:val="0"/>
      </w:pPr>
      <w:r>
        <w:rPr>
          <w:b/>
          <w:bCs/>
        </w:rPr>
        <w:t>Características Específicas do Software.</w:t>
      </w:r>
      <w:r w:rsidR="00676517">
        <w:t xml:space="preserve"> </w:t>
      </w:r>
      <w:r>
        <w:t>A Microsoft informará o Cliente mediante notificação expressa que, devido ao atual estado da tecnologia, não é possível desenvolver produtos de software complexos totalmente isentos de defeitos técnicos. As características contratualmente especificadas (vertragliche Beschaffenheit) do software a ser fornecido pela Microsoft não exigem que o software esteja totalmente isento de erros de programação mas unicamente que o software não apresente erros de programação que prejudiquem substancialmente a respetiva utilização.</w:t>
      </w:r>
    </w:p>
    <w:p w14:paraId="5014C2DB" w14:textId="155C2534" w:rsidR="00374E8C" w:rsidRPr="004D7362" w:rsidRDefault="00374E8C" w:rsidP="002052C3">
      <w:pPr>
        <w:pStyle w:val="ListParagraph"/>
        <w:numPr>
          <w:ilvl w:val="0"/>
          <w:numId w:val="53"/>
        </w:numPr>
        <w:ind w:left="1080"/>
        <w:contextualSpacing w:val="0"/>
      </w:pPr>
      <w:r>
        <w:rPr>
          <w:b/>
          <w:bCs/>
        </w:rPr>
        <w:t>Obrigação de notificar por escrito qualquer Defeito.</w:t>
      </w:r>
      <w:r w:rsidR="00676517">
        <w:t xml:space="preserve"> </w:t>
      </w:r>
      <w:r>
        <w:t>Na medida em que seja exigido que a Microsoft forneça coisa móvel ainda por produzir, o Cliente apenas poderá propor uma ação contra a Microsoft se tiver cumprido devidamente a obrigação de notificar a Microsoft de todos os Defeitos, em conformidade com o parágrafo § 377 do Código Comercial Austríaco (UGB).</w:t>
      </w:r>
      <w:r w:rsidR="00676517">
        <w:t xml:space="preserve"> </w:t>
      </w:r>
      <w:r>
        <w:t>O Cliente deverá fornecer imediatamente à Microsoft uma notificação por escrito de qualquer Defeito aparente detetado pelo Cliente durante a verificação do mesmo, em conformidade com o parágrafo § 377 do Código Comercial Austríaco (UGB), mas o mais tardar no período de duas semanas após a entrega. O Cliente deverá notificar a Microsoft por escrito de quaisquer Defeitos ocultos imediatamente após a descoberta.</w:t>
      </w:r>
    </w:p>
    <w:p w14:paraId="478418F6" w14:textId="648BB393" w:rsidR="00374E8C" w:rsidRPr="004D7362" w:rsidRDefault="00374E8C" w:rsidP="002052C3">
      <w:pPr>
        <w:pStyle w:val="ListParagraph"/>
        <w:numPr>
          <w:ilvl w:val="0"/>
          <w:numId w:val="53"/>
        </w:numPr>
        <w:ind w:left="1080"/>
        <w:contextualSpacing w:val="0"/>
      </w:pPr>
      <w:r>
        <w:rPr>
          <w:b/>
          <w:bCs/>
        </w:rPr>
        <w:t>Reembolso por Defeitos não abrangido pela garantia limitada.</w:t>
      </w:r>
      <w:r w:rsidR="00676517">
        <w:t xml:space="preserve"> </w:t>
      </w:r>
      <w:r>
        <w:t>No caso de a Microsoft provar que não houve qualquer Defeito pelo qual fosse responsável baseado nesta secção, a Microsoft terá o direito de exigir o reembolso das despesas incorridas com os esforços de ressarcimentos, com base nos valores habitualmente praticados pela Microsoft.</w:t>
      </w:r>
    </w:p>
    <w:p w14:paraId="31BE6132" w14:textId="4B95E3CA" w:rsidR="00374E8C" w:rsidRPr="004D7362" w:rsidRDefault="00374E8C" w:rsidP="002052C3">
      <w:pPr>
        <w:pStyle w:val="ListParagraph"/>
        <w:numPr>
          <w:ilvl w:val="0"/>
          <w:numId w:val="53"/>
        </w:numPr>
        <w:spacing w:after="240"/>
        <w:ind w:left="1080"/>
        <w:contextualSpacing w:val="0"/>
      </w:pPr>
      <w:r>
        <w:rPr>
          <w:b/>
          <w:bCs/>
        </w:rPr>
        <w:t>Exclusão de garantia para Defeitos causados por alteração.</w:t>
      </w:r>
      <w:r w:rsidR="00676517">
        <w:t xml:space="preserve"> </w:t>
      </w:r>
      <w:r>
        <w:t>O Cliente não poderá propor uma ação ao abrigo desta secção se o Cliente ou um terceiro tiver alterado o elemento móvel ainda não produzido fornecido ou a execução do trabalho sem o consentimento da Microsoft, a menos que o Cliente possa provar que o Defeito em questão não foi causado por essa alteração.</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5DD720D3" w:rsidR="00374E8C" w:rsidRPr="00B471C1" w:rsidRDefault="00374E8C" w:rsidP="006362C7">
            <w:pPr>
              <w:spacing w:after="120"/>
              <w:ind w:left="86" w:right="86"/>
              <w:rPr>
                <w:b/>
                <w:bCs/>
              </w:rPr>
            </w:pPr>
            <w:r>
              <w:rPr>
                <w:b/>
                <w:bCs/>
              </w:rPr>
              <w:t>Para fins dos Serviços Profissionais, substituir a secção denominada “Limitação de responsabilidade</w:t>
            </w:r>
            <w:r w:rsidR="006362C7">
              <w:rPr>
                <w:b/>
                <w:bCs/>
              </w:rPr>
              <w:t>”</w:t>
            </w:r>
            <w:r>
              <w:rPr>
                <w:b/>
                <w:bCs/>
              </w:rPr>
              <w:t xml:space="preserve"> pelo seguinte:</w:t>
            </w:r>
          </w:p>
        </w:tc>
      </w:tr>
    </w:tbl>
    <w:p w14:paraId="51B739DE" w14:textId="0A5C1018" w:rsidR="00374E8C" w:rsidRPr="004D7362" w:rsidRDefault="00404D8A" w:rsidP="00565038">
      <w:pPr>
        <w:keepNext/>
        <w:ind w:left="720" w:hanging="720"/>
      </w:pPr>
      <w:r>
        <w:rPr>
          <w:b/>
          <w:bCs/>
          <w:i/>
          <w:iCs/>
          <w:sz w:val="26"/>
          <w:szCs w:val="26"/>
        </w:rPr>
        <w:t>7.</w:t>
      </w:r>
      <w:r>
        <w:rPr>
          <w:b/>
          <w:bCs/>
          <w:i/>
          <w:iCs/>
          <w:sz w:val="26"/>
          <w:szCs w:val="26"/>
        </w:rPr>
        <w:tab/>
        <w:t>Limitação de responsabilidade.</w:t>
      </w:r>
    </w:p>
    <w:p w14:paraId="7D33D9C7" w14:textId="77777777" w:rsidR="00374E8C" w:rsidRPr="004D7362" w:rsidRDefault="00374E8C" w:rsidP="00374E8C">
      <w:r>
        <w:t>A responsabilidade da Microsoft por qualquer dano relacionado com a prestação dos Serviços Profissionais, seja por violação de contrato, Defeitos ou ato ilícito, será limitada ao seguinte:</w:t>
      </w:r>
    </w:p>
    <w:p w14:paraId="4936A938" w14:textId="731A8F09" w:rsidR="00374E8C" w:rsidRPr="004D7362" w:rsidRDefault="00374E8C" w:rsidP="00374E8C">
      <w:pPr>
        <w:ind w:left="1080" w:hanging="360"/>
      </w:pPr>
      <w:r>
        <w:rPr>
          <w:b/>
          <w:bCs/>
        </w:rPr>
        <w:t>a.</w:t>
      </w:r>
      <w:r>
        <w:rPr>
          <w:b/>
          <w:bCs/>
        </w:rPr>
        <w:tab/>
        <w:t xml:space="preserve">Responsabilidade em caso de intenção, negligência grosseira </w:t>
      </w:r>
      <w:r w:rsidR="008932F5">
        <w:rPr>
          <w:b/>
          <w:bCs/>
        </w:rPr>
        <w:t>“</w:t>
      </w:r>
      <w:r>
        <w:rPr>
          <w:b/>
          <w:bCs/>
        </w:rPr>
        <w:t>grave</w:t>
      </w:r>
      <w:r w:rsidR="008932F5">
        <w:rPr>
          <w:b/>
          <w:bCs/>
        </w:rPr>
        <w:t>”</w:t>
      </w:r>
      <w:r>
        <w:rPr>
          <w:b/>
          <w:bCs/>
        </w:rPr>
        <w:t>, responsabilidade pelo produto, não divulgação dolosa e ações baseadas em danos que atentem contra a vida, a integridade física ou a saúde.</w:t>
      </w:r>
      <w:r w:rsidR="00676517">
        <w:t xml:space="preserve"> </w:t>
      </w:r>
      <w:r>
        <w:t xml:space="preserve">Nos casos de atos cometidas com o intuito de ou com </w:t>
      </w:r>
      <w:r>
        <w:rPr>
          <w:bCs/>
        </w:rPr>
        <w:t xml:space="preserve">negligência grosseira </w:t>
      </w:r>
      <w:r w:rsidR="00793F3C">
        <w:rPr>
          <w:bCs/>
        </w:rPr>
        <w:t>“</w:t>
      </w:r>
      <w:r>
        <w:rPr>
          <w:bCs/>
        </w:rPr>
        <w:t>grave</w:t>
      </w:r>
      <w:r w:rsidR="00793F3C">
        <w:rPr>
          <w:bCs/>
        </w:rPr>
        <w:t>”</w:t>
      </w:r>
      <w:r>
        <w:t>, ações ao abrigo da Lei sobre Responsabilidade por Produtos, não divulgação dolosa de um Defeito, bem como de ações baseadas em danos que atentem contra a vida, a integridade física ou a saúde, a responsabilidade da Microsoft será determinada em conformidade com a lei aplicável.</w:t>
      </w:r>
    </w:p>
    <w:p w14:paraId="5106A1FC" w14:textId="42DA7638" w:rsidR="00374E8C" w:rsidRPr="004D7362" w:rsidRDefault="00374E8C" w:rsidP="00374E8C">
      <w:pPr>
        <w:ind w:left="1080" w:hanging="360"/>
      </w:pPr>
      <w:r>
        <w:rPr>
          <w:b/>
          <w:bCs/>
        </w:rPr>
        <w:t>b.</w:t>
      </w:r>
      <w:r>
        <w:rPr>
          <w:b/>
          <w:bCs/>
        </w:rPr>
        <w:tab/>
        <w:t xml:space="preserve">Limitação em caso de negligência grosseira </w:t>
      </w:r>
      <w:r w:rsidR="00512C23">
        <w:rPr>
          <w:b/>
          <w:bCs/>
        </w:rPr>
        <w:t>“</w:t>
      </w:r>
      <w:r>
        <w:rPr>
          <w:b/>
          <w:bCs/>
        </w:rPr>
        <w:t>simples</w:t>
      </w:r>
      <w:r w:rsidR="00512C23">
        <w:rPr>
          <w:b/>
          <w:bCs/>
        </w:rPr>
        <w:t>”</w:t>
      </w:r>
      <w:r>
        <w:rPr>
          <w:b/>
          <w:bCs/>
        </w:rPr>
        <w:t>.</w:t>
      </w:r>
      <w:r w:rsidR="00676517">
        <w:t xml:space="preserve"> </w:t>
      </w:r>
      <w:r>
        <w:t xml:space="preserve">Em caso de negligência grosseira </w:t>
      </w:r>
      <w:r w:rsidR="007E54CD">
        <w:t>“</w:t>
      </w:r>
      <w:r>
        <w:t>simples</w:t>
      </w:r>
      <w:r w:rsidR="007E54CD">
        <w:t>”</w:t>
      </w:r>
      <w:r>
        <w:t>, a responsabilidade da Microsoft será limitada ao reembolso dos danos típicos e previsíveis mas apenas até ao montante da compensação do Cliente pelos Serviços Profissionais que não foram devidamente prestados ou, no caso de estarem envolvidos vários Serviços Profissionais, até ao montante total dos mesmos.</w:t>
      </w:r>
      <w:r w:rsidR="00676517">
        <w:t xml:space="preserve"> </w:t>
      </w:r>
      <w:r>
        <w:t>No caso de Serviços Profissionais prestados ao Cliente sem quaisquer encargos, a responsabilidade total da Microsoft perante o Cliente não poderá ultrapassar o montante de 5.000 dólares americanos ou o montante equivalente na moeda local.</w:t>
      </w:r>
    </w:p>
    <w:p w14:paraId="068115D2" w14:textId="70A6AAFC" w:rsidR="00374E8C" w:rsidRPr="004D7362" w:rsidRDefault="00374E8C" w:rsidP="00374E8C">
      <w:pPr>
        <w:ind w:left="1080"/>
      </w:pPr>
      <w:r>
        <w:t xml:space="preserve">No caso de negligência grosseira </w:t>
      </w:r>
      <w:r w:rsidR="002B7333">
        <w:t>“</w:t>
      </w:r>
      <w:r>
        <w:t>simples</w:t>
      </w:r>
      <w:r w:rsidR="002B7333">
        <w:t>”</w:t>
      </w:r>
      <w:r>
        <w:t xml:space="preserve">, a Microsoft não deverá ser responsabilizada, em circunstância alguma, por perda indireta ou danos consequentes (incluindo, sem limitação, a perda de lucros antecipados, perda de goodwill, perda de dados, perda </w:t>
      </w:r>
      <w:r>
        <w:lastRenderedPageBreak/>
        <w:t>resultante da interrupção de atividade ou perdas semelhantes) resultantes ou relacionados com qualquer Declaração de Serviços, Componentes Distribuíveis de Serviços, Fixes, Produtos ou quaisquer outros materiais ou informações.</w:t>
      </w:r>
    </w:p>
    <w:p w14:paraId="212EC187" w14:textId="6FD64FB3" w:rsidR="00374E8C" w:rsidRPr="004D7362" w:rsidRDefault="00374E8C" w:rsidP="00374E8C">
      <w:pPr>
        <w:ind w:left="1080" w:hanging="360"/>
      </w:pPr>
      <w:r>
        <w:rPr>
          <w:b/>
          <w:bCs/>
        </w:rPr>
        <w:t>c.</w:t>
      </w:r>
      <w:r>
        <w:rPr>
          <w:b/>
          <w:bCs/>
        </w:rPr>
        <w:tab/>
        <w:t>Prova de intenção ou negligência grosseira.</w:t>
      </w:r>
      <w:r w:rsidR="00676517">
        <w:t xml:space="preserve"> </w:t>
      </w:r>
      <w:r>
        <w:t>O Cliente deverá provar a existência de intenção ou negligência grosseira.</w:t>
      </w:r>
    </w:p>
    <w:p w14:paraId="19C32047" w14:textId="5B39CE63" w:rsidR="00374E8C" w:rsidRPr="004D7362" w:rsidRDefault="00374E8C" w:rsidP="00374E8C">
      <w:pPr>
        <w:ind w:left="1080" w:hanging="360"/>
      </w:pPr>
      <w:r>
        <w:rPr>
          <w:b/>
          <w:bCs/>
        </w:rPr>
        <w:t>d.</w:t>
      </w:r>
      <w:r>
        <w:rPr>
          <w:b/>
          <w:bCs/>
        </w:rPr>
        <w:tab/>
        <w:t>Limitação em caso de negligência ligeira.</w:t>
      </w:r>
      <w:r w:rsidR="00676517">
        <w:t xml:space="preserve"> </w:t>
      </w:r>
      <w:r>
        <w:t>A responsabilidade da Microsoft por negligência ligeira será excluída.</w:t>
      </w:r>
    </w:p>
    <w:p w14:paraId="6DB9FB2A" w14:textId="0EE6AA6F" w:rsidR="00374E8C" w:rsidRPr="004D7362" w:rsidRDefault="00374E8C" w:rsidP="00374E8C">
      <w:pPr>
        <w:ind w:left="1080" w:hanging="360"/>
      </w:pPr>
      <w:r>
        <w:rPr>
          <w:b/>
          <w:bCs/>
        </w:rPr>
        <w:t>e.</w:t>
      </w:r>
      <w:r>
        <w:rPr>
          <w:b/>
          <w:bCs/>
        </w:rPr>
        <w:tab/>
        <w:t>Responsabilidade pela perda de dados e custos de recuperação.</w:t>
      </w:r>
      <w:r w:rsidR="00676517">
        <w:t xml:space="preserve"> </w:t>
      </w:r>
      <w:r>
        <w:t>O Cliente é obrigado a guardar todos e quaisquer dados e programas antes do compromisso assumido com a Microsoft. A Microsoft não deverá ser responsabilizada, em circunstância alguma, pela perda de dados ou programas, ou pelos custos da recuperação de dados ou programas, na medida em que tal pode ser evitado com o cumprimento desta obrigação. Para além disso, a Microsoft parte do princípio de que o software padrão não sofreu qualquer alteração ou modificação, a não ser que o Cliente tenha indicado essas alterações ou modificações detalhadamente por escrito anteriormente ao compromisso assumido com a Microsoft.</w:t>
      </w:r>
    </w:p>
    <w:p w14:paraId="12E55D04" w14:textId="7992142B" w:rsidR="00374E8C" w:rsidRPr="004D7362" w:rsidRDefault="00374E8C" w:rsidP="00374E8C">
      <w:pPr>
        <w:ind w:left="1080" w:hanging="360"/>
      </w:pPr>
      <w:r>
        <w:rPr>
          <w:b/>
          <w:bCs/>
        </w:rPr>
        <w:t>f.</w:t>
      </w:r>
      <w:r>
        <w:rPr>
          <w:b/>
          <w:bCs/>
        </w:rPr>
        <w:tab/>
        <w:t>Período limitado para pedidos de indemnização.</w:t>
      </w:r>
      <w:r w:rsidR="00676517">
        <w:t xml:space="preserve"> </w:t>
      </w:r>
      <w:r>
        <w:t>Qualquer ação por danos resultantes de Defeitos expirará no prazo de um ano.</w:t>
      </w:r>
      <w:r w:rsidR="00676517">
        <w:t xml:space="preserve"> </w:t>
      </w:r>
      <w:r>
        <w:t>Nos casos de execuções do trabalho, o período de limitação terá início na data de aceitação (Abnahme).</w:t>
      </w:r>
    </w:p>
    <w:p w14:paraId="042E2585" w14:textId="77777777" w:rsidR="00374E8C" w:rsidRPr="004D7362" w:rsidRDefault="00374E8C" w:rsidP="00374E8C">
      <w:pPr>
        <w:ind w:left="1080"/>
      </w:pPr>
      <w:r>
        <w:t>Quaisquer outras ações contra a Microsoft por danos expirarão no prazo de dois anos a contar da data de ocorrência da causa da ação.</w:t>
      </w:r>
    </w:p>
    <w:p w14:paraId="7962023B" w14:textId="77777777" w:rsidR="00374E8C" w:rsidRPr="004D7362" w:rsidRDefault="00374E8C" w:rsidP="00374E8C">
      <w:pPr>
        <w:ind w:left="1080"/>
      </w:pPr>
      <w:r>
        <w:t>A disposição incluída nesta subsecção denominada “Período limitado para pedidos de indemnização” não se aplicará nos casos regulados pela subsecção acima denominada “Responsabilidade em caso de intenção, responsabilidade pelo produto, não divulgação dolosa e ações baseadas em danos que atentem contra a vida, a integridade física ou a saúde”. Nesses casos, aplicar-se-á a lei aplicável.</w:t>
      </w:r>
    </w:p>
    <w:p w14:paraId="7D5D4BDC" w14:textId="77777777" w:rsidR="0088333F" w:rsidRPr="004D7362" w:rsidRDefault="0088333F" w:rsidP="006738DF">
      <w:pPr>
        <w:keepNext/>
        <w:shd w:val="clear" w:color="auto" w:fill="000000"/>
        <w:spacing w:before="360" w:after="120"/>
      </w:pPr>
      <w:r>
        <w:rPr>
          <w:b/>
          <w:bCs/>
          <w:color w:val="FFFFFF"/>
        </w:rPr>
        <w:t xml:space="preserve">Canadá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49647FD0" w:rsidR="0088333F" w:rsidRPr="00A13DC6" w:rsidRDefault="0088333F" w:rsidP="001B6F33">
            <w:pPr>
              <w:keepNext/>
              <w:spacing w:after="120"/>
              <w:ind w:left="86" w:right="86"/>
              <w:rPr>
                <w:b/>
                <w:bCs/>
              </w:rPr>
            </w:pPr>
            <w:r>
              <w:rPr>
                <w:b/>
                <w:bCs/>
              </w:rPr>
              <w:t>Substituir a subsecção denominada “Exclusão de Responsabilidade</w:t>
            </w:r>
            <w:r w:rsidR="00C90A31">
              <w:rPr>
                <w:b/>
                <w:bCs/>
              </w:rPr>
              <w:t>”</w:t>
            </w:r>
            <w:r>
              <w:rPr>
                <w:b/>
                <w:bCs/>
              </w:rPr>
              <w:t xml:space="preserve"> na Secção “Garantias</w:t>
            </w:r>
            <w:r w:rsidR="001B6F33">
              <w:rPr>
                <w:b/>
                <w:bCs/>
              </w:rPr>
              <w:t>”</w:t>
            </w:r>
            <w:r>
              <w:rPr>
                <w:b/>
                <w:bCs/>
              </w:rPr>
              <w:t xml:space="preserve"> pelo seguinte:</w:t>
            </w:r>
          </w:p>
        </w:tc>
      </w:tr>
    </w:tbl>
    <w:p w14:paraId="2AC68687" w14:textId="0B671D9D" w:rsidR="0088333F" w:rsidRPr="004D7362" w:rsidRDefault="00404D8A" w:rsidP="00404D8A">
      <w:pPr>
        <w:pStyle w:val="ListParagraph"/>
        <w:ind w:left="1080" w:hanging="360"/>
      </w:pPr>
      <w:r>
        <w:rPr>
          <w:b/>
          <w:iCs/>
        </w:rPr>
        <w:t>c.</w:t>
      </w:r>
      <w:r>
        <w:rPr>
          <w:b/>
          <w:iCs/>
        </w:rPr>
        <w:tab/>
        <w:t>Exclusão de Responsabilidade.</w:t>
      </w:r>
      <w:r w:rsidR="00676517">
        <w:rPr>
          <w:b/>
          <w:iCs/>
        </w:rPr>
        <w:t xml:space="preserve"> </w:t>
      </w:r>
      <w:r>
        <w:rPr>
          <w:b/>
          <w:iCs/>
        </w:rPr>
        <w:t>Com exceção das garantias limitadas supra, a Microsoft não fornece outras garantias e exclui quaisquer outras garantias expressas ou quaisquer garantias ou condições implícitas ou legais, incluindo garantias e condições de qualidade, título, não violação de direitos de propriedade intelectual, comercialização e adequação a um fim específico.</w:t>
      </w:r>
    </w:p>
    <w:p w14:paraId="5560C37F" w14:textId="72FF7B79" w:rsidR="00374E8C" w:rsidRPr="004D7362" w:rsidRDefault="00374E8C" w:rsidP="00374E8C">
      <w:pPr>
        <w:keepNext/>
        <w:shd w:val="clear" w:color="auto" w:fill="000000"/>
        <w:spacing w:before="360" w:after="120"/>
      </w:pPr>
      <w:r>
        <w:rPr>
          <w:b/>
          <w:bCs/>
          <w:color w:val="FFFFFF"/>
        </w:rPr>
        <w:t>República Checa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7EF62CAA" w:rsidR="00374E8C" w:rsidRPr="00B471C1" w:rsidRDefault="00374E8C" w:rsidP="00FD1AA7">
            <w:pPr>
              <w:spacing w:after="120"/>
              <w:ind w:left="86" w:right="86"/>
              <w:rPr>
                <w:b/>
                <w:bCs/>
              </w:rPr>
            </w:pPr>
            <w:r>
              <w:rPr>
                <w:b/>
                <w:bCs/>
              </w:rPr>
              <w:t xml:space="preserve">Complementar a secção denominada </w:t>
            </w:r>
            <w:r w:rsidR="00FD1AA7">
              <w:rPr>
                <w:b/>
                <w:bCs/>
              </w:rPr>
              <w:t>“</w:t>
            </w:r>
            <w:r>
              <w:rPr>
                <w:b/>
                <w:bCs/>
              </w:rPr>
              <w:t>Garantias</w:t>
            </w:r>
            <w:r w:rsidR="00FD1AA7">
              <w:rPr>
                <w:b/>
                <w:bCs/>
              </w:rPr>
              <w:t>”</w:t>
            </w:r>
            <w:r>
              <w:rPr>
                <w:b/>
                <w:bCs/>
              </w:rPr>
              <w:t xml:space="preserve"> com o seguinte:</w:t>
            </w:r>
          </w:p>
        </w:tc>
      </w:tr>
    </w:tbl>
    <w:p w14:paraId="562101A3" w14:textId="5E7C4BED" w:rsidR="00374E8C" w:rsidRPr="004D7362" w:rsidRDefault="00404D8A" w:rsidP="00122A75">
      <w:pPr>
        <w:spacing w:after="240"/>
        <w:ind w:left="1080" w:hanging="360"/>
      </w:pPr>
      <w:r>
        <w:rPr>
          <w:b/>
        </w:rPr>
        <w:t>d.</w:t>
      </w:r>
      <w:r>
        <w:rPr>
          <w:b/>
        </w:rPr>
        <w:tab/>
        <w:t>Componentes Distribuíveis de Serviços.</w:t>
      </w:r>
      <w:r w:rsidR="00676517">
        <w:rPr>
          <w:b/>
        </w:rPr>
        <w:t xml:space="preserve"> </w:t>
      </w:r>
      <w:r>
        <w:t>Os Componentes Distribuíveis de Serviços da Microsoft são desenvolvidos em conformidade com os conhecimentos técnicos e científicos mais recentes.</w:t>
      </w:r>
      <w:r w:rsidR="00676517">
        <w:t xml:space="preserve"> </w:t>
      </w:r>
      <w:r>
        <w:t>A Microsoft informará o Cliente mediante notificação expressa que, devido ao atual estado da tecnologia, não é possível desenvolver software complexo totalmente isento de defeitos técnicos, os quais poderão vir a ocorrer no futuro.</w:t>
      </w:r>
      <w:r w:rsidR="00676517">
        <w:t xml:space="preserve"> </w:t>
      </w:r>
      <w:r>
        <w:t>O software fornecido pela Microsoft não necessita de estar totalmente isento de erros de programação mas terá um desempenho substancialmente em conformidade com a documentação do utilizador fornecida pela Microsoft ou, não havendo a respetiva documentação, em conformidade com o que de relevante se encontrar na Declaração de Serviços, os padrões da indústria.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3B2CDB">
        <w:trPr>
          <w:cantSplit/>
          <w:jc w:val="center"/>
        </w:trPr>
        <w:tc>
          <w:tcPr>
            <w:tcW w:w="9029" w:type="dxa"/>
            <w:shd w:val="clear" w:color="auto" w:fill="C6D9F1"/>
          </w:tcPr>
          <w:p w14:paraId="07443905" w14:textId="24A85E18" w:rsidR="00374E8C" w:rsidRPr="00B471C1" w:rsidRDefault="00374E8C" w:rsidP="008A7890">
            <w:pPr>
              <w:spacing w:after="120"/>
              <w:ind w:left="86" w:right="86"/>
              <w:rPr>
                <w:b/>
                <w:bCs/>
              </w:rPr>
            </w:pPr>
            <w:r>
              <w:rPr>
                <w:b/>
                <w:bCs/>
              </w:rPr>
              <w:lastRenderedPageBreak/>
              <w:t>Complementar o primeiro parágrafo da Secção denominada “Limitação de responsabilidade</w:t>
            </w:r>
            <w:r w:rsidR="008A7890">
              <w:rPr>
                <w:b/>
                <w:bCs/>
              </w:rPr>
              <w:t>”</w:t>
            </w:r>
            <w:r>
              <w:rPr>
                <w:b/>
                <w:bCs/>
              </w:rPr>
              <w:t xml:space="preserve"> com o seguinte:</w:t>
            </w:r>
          </w:p>
        </w:tc>
      </w:tr>
    </w:tbl>
    <w:p w14:paraId="0922865E" w14:textId="77777777" w:rsidR="00924DE4" w:rsidRPr="004D7362" w:rsidRDefault="00924DE4" w:rsidP="002052C3">
      <w:pPr>
        <w:ind w:left="1080"/>
      </w:pPr>
      <w:r>
        <w:t>As limitações incluídas neste p</w:t>
      </w:r>
      <w:bookmarkStart w:id="2" w:name="_GoBack"/>
      <w:bookmarkEnd w:id="2"/>
      <w:r>
        <w:t>arágrafo refletem os danos que as partes expressamente aceitam que podem ser previstos no momento da conclusão do presente contrato, tendo em consideração todas as circunstâncias que as partes conheciam ou que deviam conhecer numa atuação diligente e que podem resultar de uma violação das obrigações da Microsoft, previstas neste contrato. A limitação de responsabilidade desta secção não se aplica às responsabilidades resultantes de negligência grosseira ou dolo provocado pelas partes.</w:t>
      </w:r>
    </w:p>
    <w:p w14:paraId="0C8980C5" w14:textId="39817C94" w:rsidR="00924DE4" w:rsidRPr="004D7362" w:rsidRDefault="008E1EF9" w:rsidP="00924DE4">
      <w:pPr>
        <w:spacing w:after="240"/>
        <w:ind w:left="1080"/>
      </w:pPr>
      <w:r>
        <w:t>A elegibilidade de qualquer parte contratual para quaisquer danos potencialmente incorridos ao abrigo deste contrato será satisfeita por uma compensação monetária. A Secção 2951 (1) do Código Civil (Lei n.º 89/2012 Col.), como alterada, não se aplicará.</w:t>
      </w:r>
    </w:p>
    <w:p w14:paraId="4B0C429B" w14:textId="77777777" w:rsidR="008E1EF9" w:rsidRPr="004D7362" w:rsidRDefault="008E1EF9" w:rsidP="008E1EF9">
      <w:pPr>
        <w:keepNext/>
        <w:shd w:val="clear" w:color="auto" w:fill="000000"/>
        <w:spacing w:before="360" w:after="120"/>
      </w:pPr>
      <w:r>
        <w:rPr>
          <w:b/>
          <w:bCs/>
          <w:color w:val="FFFFFF"/>
        </w:rPr>
        <w:t xml:space="preserve">Inglaterra e País de Gales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77777777" w:rsidR="008E1EF9" w:rsidRPr="00B471C1" w:rsidRDefault="008E1EF9" w:rsidP="00A13DC6">
            <w:pPr>
              <w:spacing w:after="120"/>
              <w:ind w:left="86" w:right="86"/>
              <w:rPr>
                <w:b/>
                <w:bCs/>
              </w:rPr>
            </w:pPr>
            <w:r>
              <w:rPr>
                <w:b/>
                <w:bCs/>
              </w:rPr>
              <w:t>Substituir a subsecção da “Limitação de responsabilidade” denominada “Exclusões” pelo seguinte:</w:t>
            </w:r>
          </w:p>
        </w:tc>
      </w:tr>
    </w:tbl>
    <w:p w14:paraId="0AB82C34" w14:textId="11E83077" w:rsidR="008E1EF9" w:rsidRPr="004D7362" w:rsidRDefault="008E1EF9" w:rsidP="002052C3">
      <w:pPr>
        <w:pStyle w:val="ListParagraph"/>
        <w:numPr>
          <w:ilvl w:val="0"/>
          <w:numId w:val="50"/>
        </w:numPr>
        <w:spacing w:after="240"/>
        <w:ind w:left="1080"/>
        <w:contextualSpacing w:val="0"/>
      </w:pPr>
      <w:r>
        <w:rPr>
          <w:b/>
        </w:rPr>
        <w:t>Exclusões</w:t>
      </w:r>
      <w:r w:rsidRPr="000B02B0">
        <w:rPr>
          <w:b/>
        </w:rPr>
        <w:t>.</w:t>
      </w:r>
      <w:r w:rsidR="00676517">
        <w:t xml:space="preserve"> </w:t>
      </w:r>
      <w:r>
        <w:t xml:space="preserve">Em caso algum será cada parte responsável por </w:t>
      </w:r>
      <w:r>
        <w:rPr>
          <w:iCs/>
        </w:rPr>
        <w:t>perda de receitas ou perda de poupanças antecipadas (diretas ou indiretas), danos indiretos</w:t>
      </w:r>
      <w:r>
        <w:t>, incidentais, especiais, punitivos ou consequentes, incluindo a perda de utilização, perda de informações comerciais ou interrupção de negócio, independentemente da causa ou teoria de responsabilidade.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0E55AC24" w:rsidR="008E1EF9" w:rsidRPr="00B471C1" w:rsidRDefault="008E1EF9" w:rsidP="004A57FA">
            <w:pPr>
              <w:spacing w:after="120"/>
              <w:ind w:left="86" w:right="86"/>
              <w:rPr>
                <w:b/>
                <w:bCs/>
              </w:rPr>
            </w:pPr>
            <w:r>
              <w:rPr>
                <w:b/>
                <w:bCs/>
              </w:rPr>
              <w:t xml:space="preserve">Complementar a secção denominada </w:t>
            </w:r>
            <w:r w:rsidR="004A57FA">
              <w:rPr>
                <w:b/>
                <w:bCs/>
              </w:rPr>
              <w:t>“</w:t>
            </w:r>
            <w:r>
              <w:rPr>
                <w:b/>
                <w:bCs/>
              </w:rPr>
              <w:t>Limitação de responsabilidade</w:t>
            </w:r>
            <w:r w:rsidR="004A57FA">
              <w:rPr>
                <w:b/>
                <w:bCs/>
              </w:rPr>
              <w:t>”</w:t>
            </w:r>
            <w:r>
              <w:rPr>
                <w:b/>
                <w:bCs/>
              </w:rPr>
              <w:t xml:space="preserve"> com a seguinte subsecção:</w:t>
            </w:r>
          </w:p>
        </w:tc>
      </w:tr>
    </w:tbl>
    <w:p w14:paraId="6C12A147" w14:textId="4A1B732E" w:rsidR="008E1EF9" w:rsidRPr="004D7362" w:rsidRDefault="008E1EF9" w:rsidP="002052C3">
      <w:pPr>
        <w:pStyle w:val="ListParagraph"/>
        <w:numPr>
          <w:ilvl w:val="0"/>
          <w:numId w:val="49"/>
        </w:numPr>
        <w:spacing w:after="240"/>
        <w:jc w:val="left"/>
      </w:pPr>
      <w:r>
        <w:rPr>
          <w:b/>
        </w:rPr>
        <w:t>Responsabilidade por morte ou danos pessoais.</w:t>
      </w:r>
      <w:r w:rsidR="00676517">
        <w:t xml:space="preserve"> </w:t>
      </w:r>
      <w:r>
        <w:t>Nada do que se encontra previsto neste contrato deverá excluir a responsabilidade por morte ou danos pessoais, causados por negligência ou a responsabilidade por manobras fraudulentas.</w:t>
      </w:r>
    </w:p>
    <w:p w14:paraId="647549B6" w14:textId="77777777" w:rsidR="00374E8C" w:rsidRPr="004D7362" w:rsidRDefault="00374E8C" w:rsidP="00374E8C">
      <w:pPr>
        <w:keepNext/>
        <w:shd w:val="clear" w:color="auto" w:fill="000000"/>
        <w:spacing w:before="360" w:after="120"/>
      </w:pPr>
      <w:r>
        <w:rPr>
          <w:b/>
          <w:bCs/>
          <w:color w:val="FFFFFF"/>
        </w:rPr>
        <w:t>Alemanha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5297DCE3" w:rsidR="00374E8C" w:rsidRPr="00B471C1" w:rsidRDefault="00512CB6" w:rsidP="00854E6D">
            <w:pPr>
              <w:keepNext/>
              <w:spacing w:after="120"/>
              <w:ind w:left="86" w:right="86"/>
              <w:rPr>
                <w:b/>
                <w:bCs/>
              </w:rPr>
            </w:pPr>
            <w:r>
              <w:rPr>
                <w:b/>
                <w:bCs/>
              </w:rPr>
              <w:t>Substituir a Secção denominada “Garantias</w:t>
            </w:r>
            <w:r w:rsidR="00854E6D">
              <w:rPr>
                <w:b/>
                <w:bCs/>
              </w:rPr>
              <w:t>”</w:t>
            </w:r>
            <w:r>
              <w:rPr>
                <w:b/>
                <w:bCs/>
              </w:rPr>
              <w:t xml:space="preserve"> pelo seguinte:</w:t>
            </w:r>
          </w:p>
        </w:tc>
      </w:tr>
    </w:tbl>
    <w:p w14:paraId="39CD23C0" w14:textId="77777777" w:rsidR="008C225D" w:rsidRPr="004D7362" w:rsidRDefault="008C225D" w:rsidP="00565038">
      <w:pPr>
        <w:keepNext/>
        <w:ind w:left="720" w:hanging="720"/>
      </w:pPr>
      <w:r>
        <w:rPr>
          <w:b/>
          <w:bCs/>
          <w:i/>
          <w:iCs/>
          <w:sz w:val="26"/>
          <w:szCs w:val="26"/>
        </w:rPr>
        <w:t>5.</w:t>
      </w:r>
      <w:r>
        <w:rPr>
          <w:b/>
          <w:bCs/>
          <w:i/>
          <w:iCs/>
          <w:sz w:val="26"/>
          <w:szCs w:val="26"/>
        </w:rPr>
        <w:tab/>
        <w:t>Garantias. </w:t>
      </w:r>
    </w:p>
    <w:p w14:paraId="130ABD38" w14:textId="3C8DA489" w:rsidR="00374E8C" w:rsidRPr="004D7362" w:rsidRDefault="008C225D" w:rsidP="00D5280E">
      <w:pPr>
        <w:pStyle w:val="ListParagraph"/>
        <w:numPr>
          <w:ilvl w:val="1"/>
          <w:numId w:val="56"/>
        </w:numPr>
        <w:ind w:left="1080"/>
      </w:pPr>
      <w:r>
        <w:t>Sujeito à secção 5(b), as seguintes disposições serão aplicadas às ações judiciais por defeitos na qualidade ou defeitos no título (conjuntamente referidos como “Defeitos</w:t>
      </w:r>
      <w:r w:rsidR="003051A8">
        <w:t>”</w:t>
      </w:r>
      <w:r>
        <w:t>), mas não serão aplicadas quando as ações judiciais forem intentadas por danos ou reembolso de despesas.</w:t>
      </w:r>
      <w:r w:rsidR="00676517">
        <w:t xml:space="preserve"> </w:t>
      </w:r>
      <w:r>
        <w:t>Em vez disso, as disposições contidas na secção denominada “Limitação de responsabilidade</w:t>
      </w:r>
      <w:r w:rsidR="00AF01E7">
        <w:t>”</w:t>
      </w:r>
      <w:r>
        <w:t xml:space="preserve"> serão aplicadas às ações judiciais intentadas por danos ou despesas resultantes dos Defeitos.</w:t>
      </w:r>
    </w:p>
    <w:p w14:paraId="75B01B8C" w14:textId="7750342C" w:rsidR="00374E8C" w:rsidRPr="004D7362" w:rsidRDefault="00374E8C" w:rsidP="002052C3">
      <w:pPr>
        <w:pStyle w:val="ListParagraph"/>
        <w:numPr>
          <w:ilvl w:val="0"/>
          <w:numId w:val="45"/>
        </w:numPr>
        <w:contextualSpacing w:val="0"/>
      </w:pPr>
      <w:r>
        <w:t>Os direitos do cliente e a respetiva extinção serão exclusivamente determinados em conformidade com a lei aplicável no caso de não divulgação dolosa de um Defeito (arglistiges Verschweigen).</w:t>
      </w:r>
    </w:p>
    <w:p w14:paraId="7C0F8D4C" w14:textId="77777777" w:rsidR="008C225D" w:rsidRPr="004D7362" w:rsidRDefault="008C225D" w:rsidP="002052C3">
      <w:pPr>
        <w:pStyle w:val="ListParagraph"/>
        <w:numPr>
          <w:ilvl w:val="0"/>
          <w:numId w:val="45"/>
        </w:numPr>
        <w:contextualSpacing w:val="0"/>
      </w:pPr>
      <w:r>
        <w:t>A Microsoft garante que cada Serviço Online funcionará em conformidade com o SLA aplicável durante a utilização por parte do Cliente. Os ressarcimentos do Cliente por violação desta garantia são indicados no SLA. No entanto, os direitos de quaisquer garantias legais do Cliente não serão afetados pelo presente documento.</w:t>
      </w:r>
    </w:p>
    <w:p w14:paraId="5AEE7D02" w14:textId="44CB5CE6" w:rsidR="008C225D" w:rsidRPr="004D7362" w:rsidRDefault="008C225D" w:rsidP="002052C3">
      <w:pPr>
        <w:pStyle w:val="ListParagraph"/>
        <w:numPr>
          <w:ilvl w:val="0"/>
          <w:numId w:val="45"/>
        </w:numPr>
        <w:contextualSpacing w:val="0"/>
      </w:pPr>
      <w:r>
        <w:t xml:space="preserve">A Microsoft retificará os Defeitos que o cliente tenha notificado previamente à expiração do período de limitação estipulado nesta secção. Na medida em que o Cliente tenha intentado uma ação judicial contra a Microsoft para execução subsequente (Nacherfüllung), a Microsoft terá o direito, apenas no seu entender, de </w:t>
      </w:r>
      <w:r>
        <w:lastRenderedPageBreak/>
        <w:t>retificar o Defeito, fornecer uma nova coisa móvel ou, se o Defeito for numa execução do trabalho, criar um novo trabalho isento de Defeitos. O Cliente aceita cooperar na execução subsequente da Microsoft fornecendo qualquer informação e documentação necessárias e aceita prestar toda a assistência razoável necessária.</w:t>
      </w:r>
    </w:p>
    <w:p w14:paraId="001DBAA1" w14:textId="1D70354A" w:rsidR="00374E8C" w:rsidRPr="004D7362" w:rsidRDefault="00374E8C" w:rsidP="002052C3">
      <w:pPr>
        <w:pStyle w:val="ListParagraph"/>
        <w:numPr>
          <w:ilvl w:val="0"/>
          <w:numId w:val="45"/>
        </w:numPr>
        <w:contextualSpacing w:val="0"/>
      </w:pPr>
      <w:r>
        <w:t>As obrigações da Microsoft não se aplicarão nos casos em que uma ação se basear nas (1) especificações, código ou materiais fornecidos pelo Cliente; (2) utilização por parte do Cliente dos Produtos e/ou Componentes Distribuíveis de Serviços depois de a Microsoft notificar o Cliente para descontinuar a respetiva utilização devido à referida ação judicial; (3) Produtos e/ou Componentes Distribuíveis de Serviços combinados do Cliente com produtos, dados ou processos comerciais que não sejam da Microsoft; (4) a alteração por parte do Cliente ou de terceiros dos Produtos e/ou Serviços Profissionais sem o consentimento da Microsoft, exceto se o Cliente conseguir provar que os Defeitos em causa não foram causados por essa alteração.</w:t>
      </w:r>
    </w:p>
    <w:p w14:paraId="4EE71440" w14:textId="406D147B" w:rsidR="00374E8C" w:rsidRPr="004D7362" w:rsidRDefault="00374E8C" w:rsidP="002052C3">
      <w:pPr>
        <w:pStyle w:val="ListParagraph"/>
        <w:numPr>
          <w:ilvl w:val="0"/>
          <w:numId w:val="45"/>
        </w:numPr>
        <w:contextualSpacing w:val="0"/>
      </w:pPr>
      <w:r>
        <w:t>Todas as ações que o Cliente possa propor ao abrigo desta secção expirarão no prazo de um ano.</w:t>
      </w:r>
      <w:r w:rsidR="00676517">
        <w:t xml:space="preserve"> </w:t>
      </w:r>
      <w:r>
        <w:t>Nos casos de execuções do trabalho, o período de limitação terá início na data de aceitação (Abnahme); em todos os outros casos, o período de limitação terá início na data de entrega.</w:t>
      </w:r>
    </w:p>
    <w:p w14:paraId="55B904F4" w14:textId="351A61F9" w:rsidR="008C225D" w:rsidRPr="004D7362" w:rsidRDefault="008C225D" w:rsidP="002052C3">
      <w:pPr>
        <w:pStyle w:val="ListParagraph"/>
        <w:numPr>
          <w:ilvl w:val="0"/>
          <w:numId w:val="45"/>
        </w:numPr>
        <w:contextualSpacing w:val="0"/>
      </w:pPr>
      <w:r>
        <w:t>O Cliente declara e garante que cumprirá os termos da Inscrição e defenderá a Microsoft contra quaisquer ações judiciais em sentido contrário por terceiros não-afiliados, desde que o Cliente seja responsável pela ação judicial intentada pelos terceiros não-afiliados. O Cliente pagará o montante de qualquer decisão judicial adversa transitada em julgado ou acordo aceite resultante das ações judiciais mencionadas, e reembolsará a Microsoft pelas despesas correntes incorridas consideradas razoáveis em que a Microsoft incorre em resposta às ações judiciais mencionadas.</w:t>
      </w:r>
    </w:p>
    <w:p w14:paraId="502D4D5F" w14:textId="62869B75" w:rsidR="008C225D" w:rsidRPr="004D7362" w:rsidRDefault="008C225D" w:rsidP="00D5280E">
      <w:pPr>
        <w:pStyle w:val="ListParagraph"/>
        <w:numPr>
          <w:ilvl w:val="1"/>
          <w:numId w:val="56"/>
        </w:numPr>
        <w:ind w:left="1080"/>
        <w:contextualSpacing w:val="0"/>
      </w:pPr>
      <w:r>
        <w:t>Na medida em que os Serviços Online da Microsoft sejam considerados uma locação financeira (mietweise Überlassung) e que estejam sujeitos às disposições legais da lei de arrendamento alemã (mietrechtliche Regelungen), as disposições da garantia limitada estipuladas acima não excluirão nem limitarão os direitos de garantias legais do Cliente; as disposições da garantia legal relevantes serão aplicáveis às ações judiciais por Defeitos, sujeitas às seguintes disposições que, no entanto, não serão aplicáveis quando as ações judiciais resultarem por danos ou reembolso de despesas. Quaisquer ressarcimentos relacionados com a garantia adicional do Cliente ao abrigo do presente contrato e dos documentos que o acompanham não serão afetados pela mesma.</w:t>
      </w:r>
    </w:p>
    <w:p w14:paraId="3A7739C9" w14:textId="77777777" w:rsidR="008C225D" w:rsidRPr="004D7362" w:rsidRDefault="008C225D" w:rsidP="002052C3">
      <w:pPr>
        <w:pStyle w:val="ListParagraph"/>
        <w:numPr>
          <w:ilvl w:val="0"/>
          <w:numId w:val="57"/>
        </w:numPr>
        <w:contextualSpacing w:val="0"/>
      </w:pPr>
      <w:r>
        <w:t>O Cliente renuncia (1) ao direito de compensação (Recht zur Aufrechnung), (2) ao direito de redução do preço (Minderungsrecht) e ao (3) direito de retenção (Zurückbehaltungsrecht) até à extensão máxima permitida pela lei aplicável, desde que a ação judicial utilizada por quaisquer dos direitos referidos não seja não contestada (unbestritten) nem reconhecida por julgamento declaratório (rechtskräftig festgestellt). Para fins de clareza, quaisquer ações judiciais do Cliente por enriquecimento sem causa (ungerechtfertigte Bereicherung) contra a Microsoft não serão excluídas pelo presente.</w:t>
      </w:r>
    </w:p>
    <w:p w14:paraId="30A63F66" w14:textId="7906F2B6" w:rsidR="008C225D" w:rsidRPr="004D7362" w:rsidRDefault="008C225D" w:rsidP="002052C3">
      <w:pPr>
        <w:pStyle w:val="ListParagraph"/>
        <w:numPr>
          <w:ilvl w:val="0"/>
          <w:numId w:val="57"/>
        </w:numPr>
        <w:spacing w:after="240"/>
        <w:contextualSpacing w:val="0"/>
      </w:pPr>
      <w:r>
        <w:t>Quaisquer Créditos de Serviço identificados nos Contratos de Nível de Serviço e deduzidos nos Honorários Mensais dos Serviços do Cliente por quaisquer problemas de desempenho ou disponibilidade, em conformidade com os termos da presente secção 5 e o Contrato de Nível de Serviço aplicável, serão deduzidos automaticamente (verrechnet) de qualquer ação judicial que o Cliente possa ter por enriquecimento sem causa ou por qualquer ação judicial por danos ou despesas resultantes de Defeitos baseados no mesmo incidente que causou esses problemas de desempenho ou disponibilidade.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0EDB59E1" w:rsidR="008C225D" w:rsidRPr="00B471C1" w:rsidRDefault="008C225D" w:rsidP="008C225D">
            <w:pPr>
              <w:spacing w:after="120"/>
              <w:ind w:left="86" w:right="86"/>
              <w:rPr>
                <w:b/>
                <w:bCs/>
              </w:rPr>
            </w:pPr>
            <w:r>
              <w:rPr>
                <w:b/>
                <w:bCs/>
              </w:rPr>
              <w:t>Para fins dos Serviços Online, complementar a Secção intitulada “Defesa de ações judiciais intentadas por terceiros” com o seguinte:</w:t>
            </w:r>
          </w:p>
        </w:tc>
      </w:tr>
    </w:tbl>
    <w:p w14:paraId="42065145" w14:textId="41AC5C96" w:rsidR="008C225D" w:rsidRPr="004D7362" w:rsidRDefault="00D5280E" w:rsidP="008C225D">
      <w:pPr>
        <w:spacing w:after="240"/>
        <w:ind w:left="1077" w:hanging="357"/>
      </w:pPr>
      <w:r>
        <w:rPr>
          <w:b/>
          <w:bCs/>
        </w:rPr>
        <w:t>c.</w:t>
      </w:r>
      <w:r>
        <w:rPr>
          <w:b/>
          <w:bCs/>
        </w:rPr>
        <w:tab/>
      </w:r>
      <w:r>
        <w:t xml:space="preserve">Na medida em que o Cliente encomendou os Serviços Online ao abrigo da Inscrição, a obrigação do Cliente de defender a Microsoft contra qualquer ação judicial intentada por </w:t>
      </w:r>
      <w:r>
        <w:lastRenderedPageBreak/>
        <w:t>terceiros não-afiliados em conformidade com a secção 6(b) será aplicável apenas na medida em que o Cliente seja responsável pela violação de direitos de propriedade intelectual relevante ou pela violação da Política de Utilização Aceitável. Além disso, a Microsoft só terá o direito de suspender ou cessar um Serviço Online em conformidade com a secção 6(c), desde que a Microsoft tenham motivos justificáveis para suspeitar que os Dados do Cliente ou o software ou a tecnologia que não seja da Microsoft utilizada pelo Cliente com o Serviço Online que a Microsoft pretenda cessar viole direitos de propriedade intelectual de terceiros.</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423CFBA7" w:rsidR="00374E8C" w:rsidRPr="00B471C1" w:rsidRDefault="00512CB6" w:rsidP="00683294">
            <w:pPr>
              <w:spacing w:after="120"/>
              <w:ind w:left="86" w:right="86"/>
              <w:rPr>
                <w:b/>
                <w:bCs/>
              </w:rPr>
            </w:pPr>
            <w:r>
              <w:rPr>
                <w:b/>
                <w:bCs/>
              </w:rPr>
              <w:t>Substituir a Secção denominada “Limitação de responsabilidade</w:t>
            </w:r>
            <w:r w:rsidR="00683294">
              <w:rPr>
                <w:b/>
                <w:bCs/>
              </w:rPr>
              <w:t>”</w:t>
            </w:r>
            <w:r>
              <w:rPr>
                <w:b/>
                <w:bCs/>
              </w:rPr>
              <w:t xml:space="preserve"> pelo seguinte:</w:t>
            </w:r>
          </w:p>
        </w:tc>
      </w:tr>
    </w:tbl>
    <w:p w14:paraId="29757EA8" w14:textId="00A710D1" w:rsidR="00374E8C" w:rsidRPr="004D7362" w:rsidRDefault="00404D8A" w:rsidP="00565038">
      <w:pPr>
        <w:keepNext/>
        <w:ind w:left="720" w:hanging="720"/>
      </w:pPr>
      <w:r>
        <w:rPr>
          <w:b/>
          <w:bCs/>
          <w:i/>
          <w:iCs/>
          <w:sz w:val="26"/>
          <w:szCs w:val="26"/>
        </w:rPr>
        <w:t>7.</w:t>
      </w:r>
      <w:r>
        <w:rPr>
          <w:b/>
          <w:bCs/>
          <w:i/>
          <w:iCs/>
          <w:sz w:val="26"/>
          <w:szCs w:val="26"/>
        </w:rPr>
        <w:tab/>
        <w:t>Limitação de responsabilidade.</w:t>
      </w:r>
    </w:p>
    <w:p w14:paraId="1B88AC5B" w14:textId="212F9E08" w:rsidR="00374E8C" w:rsidRPr="004D7362" w:rsidRDefault="00374E8C" w:rsidP="00374E8C">
      <w:r>
        <w:t>Pode haver situações em que o Cliente tem o direito de pedir uma indemnização por danos ou o reembolso de despesas (Ersatz vergeblicher Aufwendungen) da Microsoft.</w:t>
      </w:r>
      <w:r w:rsidR="00676517">
        <w:t xml:space="preserve"> </w:t>
      </w:r>
      <w:r>
        <w:t>Qualquer que seja a base legal da ação do Cliente (violação de contrato, Defeitos, ato ilícito ou outra), a responsabilidade da Microsoft pelos danos resultantes será limitada ao seguinte:</w:t>
      </w:r>
    </w:p>
    <w:p w14:paraId="6548D0CF" w14:textId="3A923BCD" w:rsidR="00374E8C" w:rsidRPr="004D7362" w:rsidRDefault="00374E8C" w:rsidP="00374E8C">
      <w:pPr>
        <w:ind w:left="1080" w:hanging="360"/>
      </w:pPr>
      <w:r>
        <w:rPr>
          <w:b/>
          <w:bCs/>
        </w:rPr>
        <w:t>a.</w:t>
      </w:r>
      <w:r>
        <w:tab/>
        <w:t>Nos casos de atos intencionais, ações judiciais ao abrigo da Lei alemã sobre Responsabilidade por Produtos (</w:t>
      </w:r>
      <w:r>
        <w:rPr>
          <w:i/>
        </w:rPr>
        <w:t>Produkthaftungsgesetz</w:t>
      </w:r>
      <w:r>
        <w:t>), não divulgação dolosa de um Defeito, bem como ações judiciais baseadas em danos que atentem contra a vida, a integridade física ou a saúde, a responsabilidade da Microsoft será determinada exclusivamente em conformidade com a lei aplicável.</w:t>
      </w:r>
    </w:p>
    <w:p w14:paraId="357F866B" w14:textId="2A323E08" w:rsidR="00374E8C" w:rsidRPr="004D7362" w:rsidRDefault="00374E8C" w:rsidP="00374E8C">
      <w:pPr>
        <w:ind w:left="1080" w:hanging="360"/>
      </w:pPr>
      <w:r>
        <w:rPr>
          <w:b/>
          <w:bCs/>
        </w:rPr>
        <w:t>b.</w:t>
      </w:r>
      <w:r>
        <w:rPr>
          <w:b/>
          <w:bCs/>
        </w:rPr>
        <w:tab/>
      </w:r>
      <w:r>
        <w:t>Nos casos de negligência grosseira, a responsabilidade da Microsoft será limitada a danos típicos e previsíveis. Esta limitação não se aplica na medida em que os danos tenham sido causados por empregados ou representantes legais da Microsoft.</w:t>
      </w:r>
    </w:p>
    <w:p w14:paraId="78547BF4" w14:textId="33E61E6C" w:rsidR="00374E8C" w:rsidRPr="004D7362" w:rsidRDefault="00374E8C" w:rsidP="00374E8C">
      <w:pPr>
        <w:ind w:left="1080" w:hanging="360"/>
      </w:pPr>
      <w:r>
        <w:rPr>
          <w:b/>
          <w:bCs/>
        </w:rPr>
        <w:t>c.</w:t>
      </w:r>
      <w:r>
        <w:rPr>
          <w:b/>
          <w:bCs/>
        </w:rPr>
        <w:tab/>
      </w:r>
      <w:r>
        <w:t>Nos casos de negligência ligeira, a Microsoft só será responsável se violar as obrigações contratuais, cujo cumprimento permite a boa execução do presente contrato e cuja violação pode colocar em risco o objetivo deste contrato, com cujo cumprimento o Cliente está sempre a contar (conhecidas como “obrigações fundamentais</w:t>
      </w:r>
      <w:r w:rsidR="00FA3F23">
        <w:t>”</w:t>
      </w:r>
      <w:r>
        <w:t xml:space="preserve"> (</w:t>
      </w:r>
      <w:r>
        <w:rPr>
          <w:i/>
        </w:rPr>
        <w:t>Kardinalpflichten</w:t>
      </w:r>
      <w:r>
        <w:t>)).</w:t>
      </w:r>
      <w:r w:rsidR="00676517">
        <w:t xml:space="preserve"> </w:t>
      </w:r>
      <w:r>
        <w:t>Nesses casos, a responsabilidade da Microsoft será limitada a danos típicos e previsíveis.</w:t>
      </w:r>
      <w:r w:rsidR="00676517">
        <w:t xml:space="preserve"> </w:t>
      </w:r>
      <w:r>
        <w:t>Em todos os outros casos, a Microsoft não será responsável por negligência ligeira.</w:t>
      </w:r>
    </w:p>
    <w:p w14:paraId="5C242B9C" w14:textId="429FEEBA" w:rsidR="00374E8C" w:rsidRPr="004D7362" w:rsidRDefault="00374E8C" w:rsidP="00374E8C">
      <w:pPr>
        <w:ind w:left="1080" w:hanging="360"/>
      </w:pPr>
      <w:r>
        <w:rPr>
          <w:b/>
          <w:bCs/>
        </w:rPr>
        <w:t>d.</w:t>
      </w:r>
      <w:r>
        <w:rPr>
          <w:b/>
          <w:bCs/>
        </w:rPr>
        <w:tab/>
      </w:r>
      <w:r>
        <w:t>Nos casos de responsabilidade sem culpa pela impossibilidade de cumprimento durante uma execução atrasada, a responsabilidade da Microsoft será igualmente limitada a danos típicos e previsíveis.</w:t>
      </w:r>
    </w:p>
    <w:p w14:paraId="72A9F621" w14:textId="7B002F35" w:rsidR="00374E8C" w:rsidRPr="004D7362" w:rsidRDefault="00374E8C" w:rsidP="00374E8C">
      <w:pPr>
        <w:ind w:left="1080" w:hanging="360"/>
      </w:pPr>
      <w:r>
        <w:rPr>
          <w:b/>
          <w:bCs/>
        </w:rPr>
        <w:t>e.</w:t>
      </w:r>
      <w:r>
        <w:tab/>
        <w:t>Nos casos em que seja exigido que a Microsoft forneça uma coisa móvel ainda por produzir, qualquer ação por danos ou despesas devidas a Defeitos estará condicionada pelo cumprimento das obrigações do Cliente, descritas acima, de notificar a Microsoft de todos os Defeitos.</w:t>
      </w:r>
    </w:p>
    <w:p w14:paraId="511FF9AA" w14:textId="120BFD65" w:rsidR="008C225D" w:rsidRPr="004D7362" w:rsidRDefault="008C225D" w:rsidP="00374E8C">
      <w:pPr>
        <w:ind w:left="1080" w:hanging="360"/>
      </w:pPr>
      <w:r>
        <w:rPr>
          <w:rFonts w:eastAsia="Calibri"/>
          <w:b/>
          <w:color w:val="auto"/>
        </w:rPr>
        <w:t>f.</w:t>
      </w:r>
      <w:r>
        <w:rPr>
          <w:rFonts w:eastAsia="Calibri"/>
          <w:color w:val="auto"/>
        </w:rPr>
        <w:tab/>
        <w:t>Nos casos em que o Serviço Online da Microsoft seja considerado uma locação financeira (</w:t>
      </w:r>
      <w:r>
        <w:rPr>
          <w:rFonts w:eastAsia="Calibri"/>
          <w:i/>
          <w:color w:val="auto"/>
        </w:rPr>
        <w:t>mietweise Überlassung</w:t>
      </w:r>
      <w:r>
        <w:rPr>
          <w:rFonts w:eastAsia="Calibri"/>
          <w:color w:val="auto"/>
        </w:rPr>
        <w:t>) e em que está sujeito às disposições legais da lei de arrendamento alemã (</w:t>
      </w:r>
      <w:r>
        <w:rPr>
          <w:rFonts w:eastAsia="Calibri"/>
          <w:i/>
          <w:color w:val="auto"/>
        </w:rPr>
        <w:t>mietrechtliche Regelungen</w:t>
      </w:r>
      <w:r>
        <w:rPr>
          <w:rFonts w:eastAsia="Calibri"/>
          <w:color w:val="auto"/>
        </w:rPr>
        <w:t>), a Microsoft não será responsável por danos baseados em Defeitos, de acordo com o significado no artigo § 536 do Código Civil Alemão (</w:t>
      </w:r>
      <w:r>
        <w:rPr>
          <w:rFonts w:eastAsia="Calibri"/>
          <w:i/>
          <w:color w:val="auto"/>
        </w:rPr>
        <w:t>Bürgerliches Gesetzbuch</w:t>
      </w:r>
      <w:r>
        <w:rPr>
          <w:rFonts w:eastAsia="Calibri"/>
          <w:color w:val="auto"/>
        </w:rPr>
        <w:t>), que já existam quando o contrato de locação financeira foi celebrado. § 536 a parágrafo 1, 1.º alt. do Código Civil Alemão não será aplicável.</w:t>
      </w:r>
    </w:p>
    <w:p w14:paraId="7D5456DB" w14:textId="364180DB" w:rsidR="00374E8C" w:rsidRPr="004D7362" w:rsidRDefault="008C225D" w:rsidP="00374E8C">
      <w:pPr>
        <w:ind w:left="1080" w:hanging="360"/>
      </w:pPr>
      <w:r>
        <w:rPr>
          <w:b/>
          <w:bCs/>
        </w:rPr>
        <w:t>g.</w:t>
      </w:r>
      <w:r>
        <w:tab/>
        <w:t>Qualquer ação por danos ou despesas resultantes de Defeitos expirará no prazo de um ano.</w:t>
      </w:r>
      <w:r w:rsidR="00676517">
        <w:t xml:space="preserve"> </w:t>
      </w:r>
      <w:r>
        <w:t xml:space="preserve">Relativamente a uma coisa móvel ainda não produzida fornecida, o período de limitação terá início na data de entrega; nos casos de execuções do trabalho, o período de limitação terá início na data de aceitação (Abnahme). Esta disposição não afeta § 438, parágrafo 1 Nr. 1 a) do Código Civil Alemão. </w:t>
      </w:r>
    </w:p>
    <w:p w14:paraId="27950DF7" w14:textId="305C4DBA" w:rsidR="00374E8C" w:rsidRPr="004D7362" w:rsidRDefault="00374E8C" w:rsidP="00374E8C">
      <w:pPr>
        <w:ind w:left="1080"/>
      </w:pPr>
      <w:r>
        <w:t>Quaisquer outras ações contra a Microsoft por danos ou despesas expirarão no prazo de dois anos a contar da data de ocorrência da causa da ação.</w:t>
      </w:r>
    </w:p>
    <w:p w14:paraId="1C4580B1" w14:textId="34B2945E" w:rsidR="00374E8C" w:rsidRPr="004D7362" w:rsidRDefault="00374E8C" w:rsidP="00374E8C">
      <w:pPr>
        <w:ind w:left="1080"/>
      </w:pPr>
      <w:r>
        <w:t xml:space="preserve">A disposição incluída nesta subsecção não se aplicará à não divulgação dolosa de um Defeito, atos intencionais ou no caso de comportamento negligente grosseiro da parte da </w:t>
      </w:r>
      <w:r>
        <w:lastRenderedPageBreak/>
        <w:t>Microsoft, em ações judiciais interpostas ao abrigo da Lei alemã sobre Responsabilidade por Produtos, ou danos que atentem contra a vida, a integridade física ou a saúde.</w:t>
      </w:r>
      <w:r w:rsidR="00676517">
        <w:t xml:space="preserve"> </w:t>
      </w:r>
      <w:r>
        <w:t>Nesses casos, aplicar-se-á a lei aplicável.</w:t>
      </w:r>
    </w:p>
    <w:p w14:paraId="3166D67A" w14:textId="77777777" w:rsidR="00374E8C" w:rsidRPr="004D7362" w:rsidRDefault="00374E8C" w:rsidP="00374E8C">
      <w:pPr>
        <w:keepNext/>
        <w:shd w:val="clear" w:color="auto" w:fill="000000"/>
        <w:spacing w:before="360" w:after="120"/>
      </w:pPr>
      <w:r>
        <w:rPr>
          <w:b/>
          <w:bCs/>
          <w:color w:val="FFFFFF"/>
        </w:rPr>
        <w:t>Hungria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7D3CD5E0" w:rsidR="00374E8C" w:rsidRPr="00B471C1" w:rsidRDefault="00374E8C" w:rsidP="00AB3FDA">
            <w:pPr>
              <w:keepNext/>
              <w:spacing w:after="120"/>
              <w:ind w:left="86" w:right="86"/>
              <w:rPr>
                <w:b/>
                <w:bCs/>
              </w:rPr>
            </w:pPr>
            <w:r>
              <w:rPr>
                <w:b/>
                <w:bCs/>
              </w:rPr>
              <w:t xml:space="preserve">Complementar a secção denominada </w:t>
            </w:r>
            <w:r w:rsidR="00AB3FDA">
              <w:rPr>
                <w:b/>
                <w:bCs/>
              </w:rPr>
              <w:t>“</w:t>
            </w:r>
            <w:r>
              <w:rPr>
                <w:b/>
                <w:bCs/>
              </w:rPr>
              <w:t>Limitação de responsabilidade</w:t>
            </w:r>
            <w:r w:rsidR="00AB3FDA">
              <w:rPr>
                <w:b/>
                <w:bCs/>
              </w:rPr>
              <w:t>”</w:t>
            </w:r>
            <w:r>
              <w:rPr>
                <w:b/>
                <w:bCs/>
              </w:rPr>
              <w:t xml:space="preserve"> com o seguinte:</w:t>
            </w:r>
          </w:p>
        </w:tc>
      </w:tr>
    </w:tbl>
    <w:p w14:paraId="70835225" w14:textId="112D51DC" w:rsidR="00374E8C" w:rsidRPr="004D7362" w:rsidRDefault="00D92D70" w:rsidP="00374E8C">
      <w:pPr>
        <w:ind w:left="1080" w:hanging="360"/>
      </w:pPr>
      <w:r>
        <w:rPr>
          <w:b/>
          <w:bCs/>
        </w:rPr>
        <w:t>e.</w:t>
      </w:r>
      <w:r>
        <w:rPr>
          <w:b/>
          <w:bCs/>
        </w:rPr>
        <w:tab/>
        <w:t>Termos negociados.</w:t>
      </w:r>
      <w:r w:rsidR="00676517">
        <w:t xml:space="preserve"> </w:t>
      </w:r>
      <w:r>
        <w:t>As partes reconhecem que este contrato foi celebrado com base em termos individualmente negociados entre as mesmas e que tiveram a oportunidade de propor emendas às minutas.</w:t>
      </w:r>
      <w:r w:rsidR="00676517">
        <w:t xml:space="preserve"> </w:t>
      </w:r>
      <w:r>
        <w:t xml:space="preserve">O Cliente reconhece que a Microsoft chamou a atenção do mesmo para os termos e condições estabelecidos nas secções denominadas </w:t>
      </w:r>
      <w:r w:rsidR="00BA5422">
        <w:t>“</w:t>
      </w:r>
      <w:r>
        <w:t>Garantias</w:t>
      </w:r>
      <w:r w:rsidR="00BA5422">
        <w:t>”</w:t>
      </w:r>
      <w:r>
        <w:t xml:space="preserve">, </w:t>
      </w:r>
      <w:r w:rsidR="00BA5422">
        <w:t>“</w:t>
      </w:r>
      <w:r>
        <w:t>Defesa de ações judiciais por terceiros</w:t>
      </w:r>
      <w:r w:rsidR="00BA5422">
        <w:t>”</w:t>
      </w:r>
      <w:r>
        <w:t xml:space="preserve"> e </w:t>
      </w:r>
      <w:r w:rsidR="00BA5422">
        <w:t>“</w:t>
      </w:r>
      <w:r>
        <w:t>Limitação de responsabilidade</w:t>
      </w:r>
      <w:r w:rsidR="00BA5422">
        <w:t>”</w:t>
      </w:r>
      <w:r>
        <w:t xml:space="preserve"> deste contrato e o Cliente reconhece expressamente a aceitação desses termos.</w:t>
      </w:r>
    </w:p>
    <w:p w14:paraId="36437FFE" w14:textId="742B90D9" w:rsidR="00374E8C" w:rsidRPr="004D7362" w:rsidRDefault="00374E8C" w:rsidP="00374E8C">
      <w:pPr>
        <w:keepNext/>
        <w:shd w:val="clear" w:color="auto" w:fill="000000"/>
        <w:spacing w:before="360" w:after="120"/>
      </w:pPr>
      <w:r>
        <w:rPr>
          <w:b/>
          <w:bCs/>
          <w:color w:val="FFFFFF"/>
        </w:rPr>
        <w:t>Polónia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6413EC72" w:rsidR="00374E8C" w:rsidRPr="00B471C1" w:rsidRDefault="00374E8C" w:rsidP="00864634">
            <w:pPr>
              <w:spacing w:after="120"/>
              <w:ind w:left="86" w:right="86"/>
              <w:rPr>
                <w:b/>
                <w:bCs/>
              </w:rPr>
            </w:pPr>
            <w:r>
              <w:rPr>
                <w:b/>
                <w:bCs/>
              </w:rPr>
              <w:t xml:space="preserve">Complementar a secção denominada </w:t>
            </w:r>
            <w:r w:rsidR="00864634">
              <w:rPr>
                <w:b/>
                <w:bCs/>
              </w:rPr>
              <w:t>“</w:t>
            </w:r>
            <w:r>
              <w:rPr>
                <w:b/>
                <w:bCs/>
              </w:rPr>
              <w:t>Limitação de responsabilidade</w:t>
            </w:r>
            <w:r w:rsidR="00864634">
              <w:rPr>
                <w:b/>
                <w:bCs/>
              </w:rPr>
              <w:t>”</w:t>
            </w:r>
            <w:r>
              <w:rPr>
                <w:b/>
                <w:bCs/>
              </w:rPr>
              <w:t xml:space="preserve"> com o seguinte:</w:t>
            </w:r>
          </w:p>
        </w:tc>
      </w:tr>
    </w:tbl>
    <w:p w14:paraId="7E4D65C8" w14:textId="5FA1B583" w:rsidR="00374E8C" w:rsidRPr="004D7362" w:rsidRDefault="00BC390A" w:rsidP="00374E8C">
      <w:pPr>
        <w:ind w:left="1080" w:hanging="360"/>
      </w:pPr>
      <w:r>
        <w:rPr>
          <w:b/>
        </w:rPr>
        <w:t>e.</w:t>
      </w:r>
      <w:r>
        <w:tab/>
        <w:t>Se o ato ou a omissão que causou o dano estiver relacionado como a não execução ou incorreta execução deste contrato ou de qualquer Declaração de Serviço por parte da Microsoft e tiver estado, ao mesmo tempo, na base da responsabilidade pelo ato ilícito da Microsoft, o Cliente terá o direito de reclamar que esse dano seja reparado exclusivamente com base nesta secção do contrato e apenas dentro dos limites estipulados na subsecção acima denominada “Limitação de responsabilidade</w:t>
      </w:r>
      <w:r w:rsidR="00077116">
        <w:t>”</w:t>
      </w:r>
      <w:r>
        <w:t>.</w:t>
      </w:r>
    </w:p>
    <w:p w14:paraId="3AB3D944" w14:textId="77777777" w:rsidR="00374E8C" w:rsidRPr="004D7362" w:rsidRDefault="00374E8C" w:rsidP="00374E8C">
      <w:pPr>
        <w:keepNext/>
        <w:shd w:val="clear" w:color="auto" w:fill="000000"/>
        <w:spacing w:before="360" w:after="120"/>
      </w:pPr>
      <w:r>
        <w:rPr>
          <w:b/>
          <w:bCs/>
          <w:color w:val="FFFFFF"/>
        </w:rPr>
        <w:t>Roménia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7FDE2905" w:rsidR="00374E8C" w:rsidRPr="00B471C1" w:rsidRDefault="00374E8C" w:rsidP="007A262E">
            <w:pPr>
              <w:keepNext/>
              <w:spacing w:after="120"/>
              <w:ind w:left="86" w:right="86"/>
              <w:rPr>
                <w:b/>
                <w:bCs/>
              </w:rPr>
            </w:pPr>
            <w:r>
              <w:rPr>
                <w:b/>
                <w:bCs/>
              </w:rPr>
              <w:t xml:space="preserve">Complementar a secção denominada </w:t>
            </w:r>
            <w:r w:rsidR="007A262E">
              <w:rPr>
                <w:b/>
                <w:bCs/>
              </w:rPr>
              <w:t>“</w:t>
            </w:r>
            <w:r>
              <w:rPr>
                <w:b/>
                <w:bCs/>
              </w:rPr>
              <w:t>Disposições Gerais</w:t>
            </w:r>
            <w:r w:rsidR="007A262E">
              <w:rPr>
                <w:b/>
                <w:bCs/>
              </w:rPr>
              <w:t>”</w:t>
            </w:r>
            <w:r>
              <w:rPr>
                <w:b/>
                <w:bCs/>
              </w:rPr>
              <w:t xml:space="preserve"> com o seguinte:</w:t>
            </w:r>
          </w:p>
        </w:tc>
      </w:tr>
    </w:tbl>
    <w:p w14:paraId="53FAF6FE" w14:textId="314EA8EA" w:rsidR="00374E8C" w:rsidRPr="004D7362" w:rsidRDefault="00D95884" w:rsidP="00122A75">
      <w:pPr>
        <w:pStyle w:val="ListParagraph"/>
        <w:adjustRightInd w:val="0"/>
        <w:snapToGrid w:val="0"/>
        <w:ind w:left="1080" w:hanging="360"/>
        <w:contextualSpacing w:val="0"/>
      </w:pPr>
      <w:r>
        <w:rPr>
          <w:b/>
          <w:bCs/>
        </w:rPr>
        <w:t>o.</w:t>
      </w:r>
      <w:r>
        <w:rPr>
          <w:bCs/>
        </w:rPr>
        <w:tab/>
        <w:t>As partes reconhecem que este contrato foi celebrado com base em termos individualmente negociados entre as mesmas e que tiveram a oportunidade de propor emendas às minutas.</w:t>
      </w:r>
      <w:r w:rsidR="00676517">
        <w:rPr>
          <w:bCs/>
        </w:rPr>
        <w:t xml:space="preserve"> </w:t>
      </w:r>
      <w:r>
        <w:rPr>
          <w:bCs/>
        </w:rPr>
        <w:t xml:space="preserve">O Cliente declara pelo presente que, por via da assinatura no respetivo formulário anexado ao presente contrato, reconhece e aceita expressamente todas as respetivas disposições, incluindo as que possam qualificar-se como cláusulas pouco habituais (conforme definido no artigo 1203 do Código Civil romeno) estabelecidas neste contrato pela Microsoft, incluindo, mas não se limitando, às disposições na: Secção designada </w:t>
      </w:r>
      <w:r w:rsidR="00756D82">
        <w:rPr>
          <w:bCs/>
        </w:rPr>
        <w:t>“</w:t>
      </w:r>
      <w:r>
        <w:rPr>
          <w:bCs/>
        </w:rPr>
        <w:t>Utilização, propriedade, direitos e restrições</w:t>
      </w:r>
      <w:r w:rsidR="00756D82">
        <w:rPr>
          <w:bCs/>
        </w:rPr>
        <w:t>”</w:t>
      </w:r>
      <w:r>
        <w:rPr>
          <w:bCs/>
        </w:rPr>
        <w:t xml:space="preserve">; Secção denominada </w:t>
      </w:r>
      <w:r w:rsidR="00756D82">
        <w:rPr>
          <w:bCs/>
        </w:rPr>
        <w:t>“</w:t>
      </w:r>
      <w:r>
        <w:rPr>
          <w:bCs/>
        </w:rPr>
        <w:t>Garantias</w:t>
      </w:r>
      <w:r w:rsidR="00756D82">
        <w:rPr>
          <w:bCs/>
        </w:rPr>
        <w:t>”</w:t>
      </w:r>
      <w:r>
        <w:rPr>
          <w:bCs/>
        </w:rPr>
        <w:t xml:space="preserve">; Secção denominada </w:t>
      </w:r>
      <w:r w:rsidR="00756D82">
        <w:rPr>
          <w:bCs/>
        </w:rPr>
        <w:t>“</w:t>
      </w:r>
      <w:r>
        <w:rPr>
          <w:bCs/>
        </w:rPr>
        <w:t>Defesa de ações judiciais por terceiros</w:t>
      </w:r>
      <w:r w:rsidR="00756D82">
        <w:rPr>
          <w:bCs/>
        </w:rPr>
        <w:t>”</w:t>
      </w:r>
      <w:r>
        <w:rPr>
          <w:bCs/>
        </w:rPr>
        <w:t xml:space="preserve">; Secção denominada </w:t>
      </w:r>
      <w:r w:rsidR="00756D82">
        <w:rPr>
          <w:bCs/>
        </w:rPr>
        <w:t>“</w:t>
      </w:r>
      <w:r>
        <w:rPr>
          <w:bCs/>
        </w:rPr>
        <w:t>Limitação de Responsabilidade</w:t>
      </w:r>
      <w:r w:rsidR="00756D82">
        <w:rPr>
          <w:bCs/>
        </w:rPr>
        <w:t>”</w:t>
      </w:r>
      <w:r>
        <w:rPr>
          <w:bCs/>
        </w:rPr>
        <w:t xml:space="preserve">; Secção denominada </w:t>
      </w:r>
      <w:r w:rsidR="00756D82">
        <w:rPr>
          <w:bCs/>
        </w:rPr>
        <w:t>“</w:t>
      </w:r>
      <w:r>
        <w:rPr>
          <w:bCs/>
        </w:rPr>
        <w:t>Vigência e cessação</w:t>
      </w:r>
      <w:r w:rsidR="00756D82">
        <w:rPr>
          <w:bCs/>
        </w:rPr>
        <w:t>”</w:t>
      </w:r>
      <w:r>
        <w:rPr>
          <w:bCs/>
        </w:rPr>
        <w:t xml:space="preserve">; Subsecção denominada </w:t>
      </w:r>
      <w:r w:rsidR="00756D82">
        <w:rPr>
          <w:bCs/>
        </w:rPr>
        <w:t>“</w:t>
      </w:r>
      <w:r>
        <w:rPr>
          <w:bCs/>
        </w:rPr>
        <w:t>Cessão</w:t>
      </w:r>
      <w:r w:rsidR="00756D82">
        <w:rPr>
          <w:bCs/>
        </w:rPr>
        <w:t>”</w:t>
      </w:r>
      <w:r>
        <w:rPr>
          <w:bCs/>
        </w:rPr>
        <w:t xml:space="preserve">; Subsecção denominada </w:t>
      </w:r>
      <w:r w:rsidR="00756D82">
        <w:rPr>
          <w:bCs/>
        </w:rPr>
        <w:t>“</w:t>
      </w:r>
      <w:r>
        <w:rPr>
          <w:bCs/>
        </w:rPr>
        <w:t>Resolução de litígios</w:t>
      </w:r>
      <w:r w:rsidR="00756D82">
        <w:rPr>
          <w:bCs/>
        </w:rPr>
        <w:t>”</w:t>
      </w:r>
      <w:r>
        <w:rPr>
          <w:bCs/>
        </w:rPr>
        <w:t xml:space="preserve">; Subsecção denominada </w:t>
      </w:r>
      <w:r w:rsidR="00756D82">
        <w:rPr>
          <w:bCs/>
        </w:rPr>
        <w:t>“</w:t>
      </w:r>
      <w:r>
        <w:rPr>
          <w:bCs/>
        </w:rPr>
        <w:t>Lei aplicável</w:t>
      </w:r>
      <w:r w:rsidR="00756D82">
        <w:rPr>
          <w:bCs/>
        </w:rPr>
        <w:t>”</w:t>
      </w:r>
      <w:r>
        <w:rPr>
          <w:bCs/>
        </w:rPr>
        <w:t xml:space="preserve">; Subsecção denominada </w:t>
      </w:r>
      <w:r w:rsidR="00756D82">
        <w:rPr>
          <w:bCs/>
        </w:rPr>
        <w:t>“</w:t>
      </w:r>
      <w:r>
        <w:rPr>
          <w:bCs/>
        </w:rPr>
        <w:t>Termos de pagamento dos Serviços Profissionais</w:t>
      </w:r>
      <w:r w:rsidR="00756D82">
        <w:rPr>
          <w:bCs/>
        </w:rPr>
        <w:t>”</w:t>
      </w:r>
      <w:r>
        <w:rPr>
          <w:bCs/>
        </w:rPr>
        <w:t xml:space="preserve">; Subsecção denominada </w:t>
      </w:r>
      <w:r w:rsidR="00756D82">
        <w:rPr>
          <w:bCs/>
        </w:rPr>
        <w:t>“</w:t>
      </w:r>
      <w:r>
        <w:rPr>
          <w:bCs/>
        </w:rPr>
        <w:t>Exportação dos E.U.A.</w:t>
      </w:r>
      <w:r w:rsidR="00756D82">
        <w:rPr>
          <w:bCs/>
        </w:rPr>
        <w:t>”</w:t>
      </w:r>
    </w:p>
    <w:p w14:paraId="384CF72A" w14:textId="77777777" w:rsidR="00374E8C" w:rsidRPr="004D7362" w:rsidRDefault="00374E8C" w:rsidP="00374E8C">
      <w:pPr>
        <w:keepNext/>
        <w:shd w:val="clear" w:color="auto" w:fill="000000"/>
        <w:spacing w:before="360" w:after="120"/>
      </w:pPr>
      <w:r>
        <w:rPr>
          <w:b/>
          <w:bCs/>
          <w:color w:val="FFFFFF"/>
        </w:rPr>
        <w:t>República Eslovaca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1AAA8D5D" w:rsidR="00374E8C" w:rsidRPr="00B471C1" w:rsidRDefault="00374E8C" w:rsidP="00E15427">
            <w:pPr>
              <w:spacing w:after="120"/>
              <w:ind w:left="86" w:right="86"/>
              <w:rPr>
                <w:b/>
                <w:bCs/>
              </w:rPr>
            </w:pPr>
            <w:r>
              <w:rPr>
                <w:b/>
                <w:bCs/>
              </w:rPr>
              <w:t xml:space="preserve">Complementar a secção denominada </w:t>
            </w:r>
            <w:r w:rsidR="00E15427">
              <w:rPr>
                <w:b/>
                <w:bCs/>
              </w:rPr>
              <w:t>“</w:t>
            </w:r>
            <w:r>
              <w:rPr>
                <w:b/>
                <w:bCs/>
              </w:rPr>
              <w:t>Garantias</w:t>
            </w:r>
            <w:r w:rsidR="00E15427">
              <w:rPr>
                <w:b/>
                <w:bCs/>
              </w:rPr>
              <w:t>”</w:t>
            </w:r>
            <w:r>
              <w:rPr>
                <w:b/>
                <w:bCs/>
              </w:rPr>
              <w:t xml:space="preserve"> com o seguinte:</w:t>
            </w:r>
          </w:p>
        </w:tc>
      </w:tr>
    </w:tbl>
    <w:p w14:paraId="362036B6" w14:textId="72A15BBC" w:rsidR="00374E8C" w:rsidRPr="004D7362" w:rsidRDefault="00374E8C" w:rsidP="00374E8C">
      <w:pPr>
        <w:spacing w:after="240"/>
        <w:ind w:left="1080"/>
      </w:pPr>
      <w:r>
        <w:t>Os Componentes Distribuíveis de Serviços da Microsoft são desenvolvidos em conformidade com os conhecimentos técnicos e científicos mais recentes.</w:t>
      </w:r>
      <w:r w:rsidR="00676517">
        <w:t xml:space="preserve"> </w:t>
      </w:r>
      <w:r>
        <w:t>A Microsoft informará o Cliente mediante notificação expressa que, devido ao atual estado da tecnologia, não é possível desenvolver produtos de software complexos totalmente isentos de defeitos técnicos, os quais poderão vir a ocorrer no futuro.</w:t>
      </w:r>
      <w:r w:rsidR="00676517">
        <w:t xml:space="preserve"> </w:t>
      </w:r>
      <w:r>
        <w:t xml:space="preserve">O software fornecido pela Microsoft não necessita de estar totalmente isento de erros de programação mas terá um desempenho substancialmente em conformidade com a documentação do utilizador fornecida pela Microsoft ou, não havendo a respetiva </w:t>
      </w:r>
      <w:r>
        <w:lastRenderedPageBreak/>
        <w:t>documentação, em conformidade com o que de relevante se encontrar na Declaração de Serviços.</w:t>
      </w:r>
    </w:p>
    <w:p w14:paraId="4A7CFFDB" w14:textId="338AA534" w:rsidR="00374E8C" w:rsidRPr="004D7362" w:rsidRDefault="00374E8C" w:rsidP="00374E8C">
      <w:pPr>
        <w:keepNext/>
        <w:shd w:val="clear" w:color="auto" w:fill="000000"/>
        <w:spacing w:before="360" w:after="120"/>
      </w:pPr>
      <w:r>
        <w:rPr>
          <w:b/>
          <w:bCs/>
          <w:color w:val="FFFFFF"/>
        </w:rPr>
        <w:t>Suíça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4455D115" w:rsidR="00374E8C" w:rsidRPr="00B471C1" w:rsidRDefault="00374E8C" w:rsidP="00F3569F">
            <w:pPr>
              <w:keepNext/>
              <w:spacing w:after="120"/>
              <w:ind w:left="86" w:right="86"/>
              <w:rPr>
                <w:b/>
                <w:bCs/>
              </w:rPr>
            </w:pPr>
            <w:r>
              <w:rPr>
                <w:b/>
                <w:bCs/>
              </w:rPr>
              <w:t>Complementar a secção Disposições Gerais com o seguinte:</w:t>
            </w:r>
          </w:p>
        </w:tc>
      </w:tr>
    </w:tbl>
    <w:p w14:paraId="25AFE6A6" w14:textId="1782DD08" w:rsidR="00374E8C" w:rsidRPr="004D7362" w:rsidRDefault="0089029D" w:rsidP="00122A75">
      <w:pPr>
        <w:ind w:left="1080" w:hanging="360"/>
      </w:pPr>
      <w:r>
        <w:rPr>
          <w:b/>
        </w:rPr>
        <w:t>o.</w:t>
      </w:r>
      <w:r>
        <w:tab/>
        <w:t>Todos os Serviços Profissionais são prestados ao abrigo de um contrato de mandato na aceção do parágrafo 394 et seq.</w:t>
      </w:r>
      <w:r w:rsidR="00676517">
        <w:t xml:space="preserve"> </w:t>
      </w:r>
      <w:r>
        <w:t>do Código Suíço de Obrigações.</w:t>
      </w:r>
    </w:p>
    <w:p w14:paraId="30D23F7D" w14:textId="77777777" w:rsidR="00374E8C" w:rsidRPr="004D7362" w:rsidRDefault="00374E8C" w:rsidP="00374E8C">
      <w:pPr>
        <w:keepNext/>
        <w:shd w:val="clear" w:color="auto" w:fill="000000"/>
        <w:spacing w:before="360" w:after="120"/>
      </w:pPr>
      <w:r>
        <w:rPr>
          <w:b/>
          <w:bCs/>
          <w:color w:val="FFFFFF"/>
        </w:rPr>
        <w:t>Ucrânia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7FDA4B3E" w:rsidR="00374E8C" w:rsidRPr="00B471C1" w:rsidRDefault="00374E8C" w:rsidP="005C4DC0">
            <w:pPr>
              <w:keepNext/>
              <w:spacing w:after="120"/>
              <w:ind w:left="86" w:right="86"/>
              <w:rPr>
                <w:b/>
                <w:bCs/>
              </w:rPr>
            </w:pPr>
            <w:r>
              <w:rPr>
                <w:b/>
                <w:bCs/>
              </w:rPr>
              <w:t xml:space="preserve">Complementar a secção denominada </w:t>
            </w:r>
            <w:r w:rsidR="005C4DC0">
              <w:rPr>
                <w:b/>
                <w:bCs/>
              </w:rPr>
              <w:t>“</w:t>
            </w:r>
            <w:r>
              <w:rPr>
                <w:b/>
                <w:bCs/>
              </w:rPr>
              <w:t>Limitação de responsabilidade</w:t>
            </w:r>
            <w:r w:rsidR="005C4DC0">
              <w:rPr>
                <w:b/>
                <w:bCs/>
              </w:rPr>
              <w:t>”</w:t>
            </w:r>
            <w:r>
              <w:rPr>
                <w:b/>
                <w:bCs/>
              </w:rPr>
              <w:t xml:space="preserve"> com o seguinte:</w:t>
            </w:r>
          </w:p>
        </w:tc>
      </w:tr>
    </w:tbl>
    <w:p w14:paraId="443F5FF0" w14:textId="7656E735" w:rsidR="00374E8C" w:rsidRPr="004D7362" w:rsidRDefault="002237A3" w:rsidP="00122A75">
      <w:pPr>
        <w:ind w:left="1080" w:hanging="360"/>
      </w:pPr>
      <w:r>
        <w:rPr>
          <w:b/>
          <w:bCs/>
        </w:rPr>
        <w:t>e.</w:t>
      </w:r>
      <w:r>
        <w:rPr>
          <w:b/>
          <w:bCs/>
        </w:rPr>
        <w:tab/>
        <w:t>Aplicação.</w:t>
      </w:r>
      <w:r w:rsidR="00676517">
        <w:t xml:space="preserve"> </w:t>
      </w:r>
      <w:r>
        <w:t>Exceto nos termos expressamente previstos nesta secção, as limitações e exclusões de responsabilidade por danos, consagrados neste contrato (incluindo qualquer Contrato Suplementar) serão aplicáveis, independentemente da responsabilidade se dever a violação do contrato, ato ilícito, violação de garantias ou qualquer outra doutrina.</w:t>
      </w:r>
    </w:p>
    <w:sectPr w:rsidR="00374E8C"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1F74FA" w14:textId="77777777" w:rsidR="009D4D34" w:rsidRDefault="009D4D34" w:rsidP="00135BAF">
      <w:pPr>
        <w:spacing w:before="0"/>
      </w:pPr>
      <w:r>
        <w:separator/>
      </w:r>
    </w:p>
  </w:endnote>
  <w:endnote w:type="continuationSeparator" w:id="0">
    <w:p w14:paraId="001B811C" w14:textId="77777777" w:rsidR="009D4D34" w:rsidRDefault="009D4D34"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485"/>
    </w:tblGrid>
    <w:tr w:rsidR="0034678D" w:rsidRPr="00373774" w14:paraId="61DDAAD0" w14:textId="77777777" w:rsidTr="009B0160">
      <w:trPr>
        <w:jc w:val="center"/>
      </w:trPr>
      <w:tc>
        <w:tcPr>
          <w:tcW w:w="4536" w:type="dxa"/>
        </w:tcPr>
        <w:p w14:paraId="333841F7" w14:textId="77777777" w:rsidR="0034678D" w:rsidRPr="00373774" w:rsidRDefault="0034678D" w:rsidP="00565038">
          <w:pPr>
            <w:pStyle w:val="Footer"/>
            <w:tabs>
              <w:tab w:val="clear" w:pos="9360"/>
            </w:tabs>
            <w:rPr>
              <w:rStyle w:val="LogoportDoNotTranslate"/>
              <w:rFonts w:ascii="Arial" w:hAnsi="Arial" w:cs="Arial"/>
              <w:color w:val="auto"/>
              <w:sz w:val="16"/>
              <w:szCs w:val="16"/>
              <w:lang w:val="en-US"/>
            </w:rPr>
          </w:pPr>
          <w:r w:rsidRPr="00373774">
            <w:rPr>
              <w:rStyle w:val="LogoportDoNotTranslate"/>
              <w:rFonts w:ascii="Arial" w:hAnsi="Arial" w:cs="Arial"/>
              <w:color w:val="auto"/>
              <w:sz w:val="16"/>
              <w:szCs w:val="16"/>
              <w:lang w:val="en-US"/>
            </w:rPr>
            <w:t>MBSA20</w:t>
          </w:r>
          <w:r>
            <w:rPr>
              <w:rStyle w:val="LogoportDoNotTranslate"/>
              <w:rFonts w:ascii="Arial" w:hAnsi="Arial" w:cs="Arial"/>
              <w:color w:val="auto"/>
              <w:sz w:val="16"/>
              <w:szCs w:val="16"/>
              <w:lang w:val="en-US"/>
            </w:rPr>
            <w:t>201</w:t>
          </w:r>
          <w:r w:rsidRPr="00373774">
            <w:rPr>
              <w:rStyle w:val="LogoportDoNotTranslate"/>
              <w:rFonts w:ascii="Arial" w:hAnsi="Arial" w:cs="Arial"/>
              <w:color w:val="auto"/>
              <w:sz w:val="16"/>
              <w:szCs w:val="16"/>
              <w:lang w:val="en-US"/>
            </w:rPr>
            <w:t>Agr(</w:t>
          </w:r>
          <w:proofErr w:type="spellStart"/>
          <w:r w:rsidRPr="00373774">
            <w:rPr>
              <w:rStyle w:val="LogoportDoNotTranslate"/>
              <w:rFonts w:ascii="Arial" w:hAnsi="Arial" w:cs="Arial"/>
              <w:color w:val="auto"/>
              <w:sz w:val="16"/>
              <w:szCs w:val="16"/>
              <w:lang w:val="en-US"/>
            </w:rPr>
            <w:t>CountrySpecificProv</w:t>
          </w:r>
          <w:proofErr w:type="spellEnd"/>
          <w:r w:rsidRPr="00373774">
            <w:rPr>
              <w:rStyle w:val="LogoportDoNotTranslate"/>
              <w:rFonts w:ascii="Arial" w:hAnsi="Arial" w:cs="Arial"/>
              <w:color w:val="auto"/>
              <w:sz w:val="16"/>
              <w:szCs w:val="16"/>
              <w:lang w:val="en-US"/>
            </w:rPr>
            <w:t>)(WW)(PTE)(</w:t>
          </w:r>
          <w:r>
            <w:rPr>
              <w:rStyle w:val="LogoportDoNotTranslate"/>
              <w:rFonts w:ascii="Arial" w:hAnsi="Arial" w:cs="Arial"/>
              <w:color w:val="auto"/>
              <w:sz w:val="16"/>
              <w:szCs w:val="16"/>
              <w:lang w:val="en-US"/>
            </w:rPr>
            <w:t>Oct2019</w:t>
          </w:r>
          <w:r w:rsidRPr="00373774">
            <w:rPr>
              <w:rStyle w:val="LogoportDoNotTranslate"/>
              <w:rFonts w:ascii="Arial" w:hAnsi="Arial" w:cs="Arial"/>
              <w:color w:val="auto"/>
              <w:sz w:val="16"/>
              <w:szCs w:val="16"/>
              <w:lang w:val="en-US"/>
            </w:rPr>
            <w:t>)</w:t>
          </w:r>
        </w:p>
      </w:tc>
      <w:tc>
        <w:tcPr>
          <w:tcW w:w="4485" w:type="dxa"/>
        </w:tcPr>
        <w:p w14:paraId="10477015" w14:textId="77777777" w:rsidR="0034678D" w:rsidRPr="00373774" w:rsidRDefault="0034678D" w:rsidP="0034678D">
          <w:pPr>
            <w:pStyle w:val="Footer"/>
            <w:jc w:val="right"/>
            <w:rPr>
              <w:rStyle w:val="LogoportDoNotTranslate"/>
              <w:rFonts w:ascii="Arial" w:hAnsi="Arial" w:cs="Arial"/>
              <w:color w:val="auto"/>
              <w:sz w:val="16"/>
              <w:szCs w:val="16"/>
            </w:rPr>
          </w:pPr>
          <w:r w:rsidRPr="00373774">
            <w:rPr>
              <w:rStyle w:val="LogoportDoNotTranslate"/>
              <w:rFonts w:ascii="Arial" w:hAnsi="Arial" w:cs="Arial"/>
              <w:color w:val="auto"/>
              <w:sz w:val="16"/>
              <w:szCs w:val="16"/>
            </w:rPr>
            <w:t xml:space="preserve">Page </w:t>
          </w:r>
          <w:r w:rsidRPr="00373774">
            <w:rPr>
              <w:rStyle w:val="LogoportDoNotTranslate"/>
              <w:rFonts w:ascii="Arial" w:hAnsi="Arial" w:cs="Arial"/>
              <w:color w:val="auto"/>
              <w:sz w:val="16"/>
              <w:szCs w:val="16"/>
            </w:rPr>
            <w:fldChar w:fldCharType="begin"/>
          </w:r>
          <w:r w:rsidRPr="00373774">
            <w:rPr>
              <w:rStyle w:val="LogoportDoNotTranslate"/>
              <w:rFonts w:ascii="Arial" w:hAnsi="Arial" w:cs="Arial"/>
              <w:color w:val="auto"/>
              <w:sz w:val="16"/>
              <w:szCs w:val="16"/>
            </w:rPr>
            <w:instrText xml:space="preserve"> PAGE  \* Arabic  \* MERGEFORMAT </w:instrText>
          </w:r>
          <w:r w:rsidRPr="00373774">
            <w:rPr>
              <w:rStyle w:val="LogoportDoNotTranslate"/>
              <w:rFonts w:ascii="Arial" w:hAnsi="Arial" w:cs="Arial"/>
              <w:color w:val="auto"/>
              <w:sz w:val="16"/>
              <w:szCs w:val="16"/>
            </w:rPr>
            <w:fldChar w:fldCharType="separate"/>
          </w:r>
          <w:r>
            <w:rPr>
              <w:rStyle w:val="LogoportDoNotTranslate"/>
              <w:rFonts w:ascii="Arial" w:hAnsi="Arial" w:cs="Arial"/>
              <w:noProof/>
              <w:color w:val="auto"/>
              <w:sz w:val="16"/>
              <w:szCs w:val="16"/>
            </w:rPr>
            <w:t>1</w:t>
          </w:r>
          <w:r w:rsidRPr="00373774">
            <w:rPr>
              <w:color w:val="auto"/>
              <w:sz w:val="16"/>
              <w:szCs w:val="16"/>
            </w:rPr>
            <w:fldChar w:fldCharType="end"/>
          </w:r>
          <w:r w:rsidRPr="00373774">
            <w:rPr>
              <w:rStyle w:val="LogoportDoNotTranslate"/>
              <w:rFonts w:ascii="Arial" w:hAnsi="Arial" w:cs="Arial"/>
              <w:color w:val="auto"/>
              <w:sz w:val="16"/>
              <w:szCs w:val="16"/>
            </w:rPr>
            <w:t xml:space="preserve"> of </w:t>
          </w:r>
          <w:r w:rsidRPr="00373774">
            <w:rPr>
              <w:rStyle w:val="LogoportDoNotTranslate"/>
              <w:rFonts w:ascii="Arial" w:hAnsi="Arial" w:cs="Arial"/>
              <w:color w:val="auto"/>
              <w:sz w:val="16"/>
              <w:szCs w:val="16"/>
            </w:rPr>
            <w:fldChar w:fldCharType="begin"/>
          </w:r>
          <w:r w:rsidRPr="00373774">
            <w:rPr>
              <w:rStyle w:val="LogoportDoNotTranslate"/>
              <w:rFonts w:ascii="Arial" w:hAnsi="Arial" w:cs="Arial"/>
              <w:color w:val="auto"/>
              <w:sz w:val="16"/>
              <w:szCs w:val="16"/>
            </w:rPr>
            <w:instrText xml:space="preserve"> NUMPAGES  \* Arabic  \* MERGEFORMAT </w:instrText>
          </w:r>
          <w:r w:rsidRPr="00373774">
            <w:rPr>
              <w:rStyle w:val="LogoportDoNotTranslate"/>
              <w:rFonts w:ascii="Arial" w:hAnsi="Arial" w:cs="Arial"/>
              <w:color w:val="auto"/>
              <w:sz w:val="16"/>
              <w:szCs w:val="16"/>
            </w:rPr>
            <w:fldChar w:fldCharType="separate"/>
          </w:r>
          <w:r>
            <w:rPr>
              <w:rStyle w:val="LogoportDoNotTranslate"/>
              <w:rFonts w:ascii="Arial" w:hAnsi="Arial" w:cs="Arial"/>
              <w:noProof/>
              <w:color w:val="auto"/>
              <w:sz w:val="16"/>
              <w:szCs w:val="16"/>
            </w:rPr>
            <w:t>10</w:t>
          </w:r>
          <w:r w:rsidRPr="00373774">
            <w:rPr>
              <w:color w:val="auto"/>
              <w:sz w:val="16"/>
              <w:szCs w:val="16"/>
            </w:rPr>
            <w:fldChar w:fldCharType="end"/>
          </w:r>
        </w:p>
        <w:p w14:paraId="1FA396D2" w14:textId="77777777" w:rsidR="0034678D" w:rsidRPr="00373774" w:rsidRDefault="0034678D" w:rsidP="0034678D">
          <w:pPr>
            <w:pStyle w:val="Footer"/>
            <w:jc w:val="right"/>
            <w:rPr>
              <w:rStyle w:val="LogoportDoNotTranslate"/>
              <w:rFonts w:ascii="Arial" w:hAnsi="Arial" w:cs="Arial"/>
              <w:color w:val="auto"/>
              <w:sz w:val="16"/>
              <w:szCs w:val="16"/>
            </w:rPr>
          </w:pPr>
          <w:r w:rsidRPr="00373774">
            <w:rPr>
              <w:rStyle w:val="LogoportDoNotTranslate"/>
              <w:rFonts w:ascii="Arial" w:hAnsi="Arial" w:cs="Arial"/>
              <w:color w:val="auto"/>
              <w:sz w:val="16"/>
              <w:szCs w:val="16"/>
            </w:rPr>
            <w:t>Document X20-100</w:t>
          </w:r>
          <w:r>
            <w:rPr>
              <w:rStyle w:val="LogoportDoNotTranslate"/>
              <w:rFonts w:ascii="Arial" w:hAnsi="Arial" w:cs="Arial"/>
              <w:color w:val="auto"/>
              <w:sz w:val="16"/>
              <w:szCs w:val="16"/>
            </w:rPr>
            <w:t>10</w:t>
          </w:r>
        </w:p>
      </w:tc>
    </w:tr>
  </w:tbl>
  <w:p w14:paraId="3C7A19B0" w14:textId="77777777" w:rsidR="0034678D" w:rsidRPr="00373774" w:rsidRDefault="0034678D">
    <w:pPr>
      <w:pStyle w:val="Footer"/>
      <w:rPr>
        <w:rStyle w:val="LogoportDoNotTranslate"/>
        <w:rFonts w:ascii="Arial" w:hAnsi="Arial" w:cs="Arial"/>
        <w:color w:val="auto"/>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485"/>
    </w:tblGrid>
    <w:tr w:rsidR="00C419AE" w:rsidRPr="00373774" w14:paraId="1C5033FC" w14:textId="77777777" w:rsidTr="00654AC4">
      <w:trPr>
        <w:jc w:val="center"/>
      </w:trPr>
      <w:tc>
        <w:tcPr>
          <w:tcW w:w="4536" w:type="dxa"/>
        </w:tcPr>
        <w:p w14:paraId="135E8D20" w14:textId="5DC91B59" w:rsidR="00C419AE" w:rsidRPr="00373774" w:rsidRDefault="00C419AE" w:rsidP="00654AC4">
          <w:pPr>
            <w:pStyle w:val="Footer"/>
            <w:rPr>
              <w:rStyle w:val="LogoportDoNotTranslate"/>
              <w:rFonts w:ascii="Arial" w:hAnsi="Arial" w:cs="Arial"/>
              <w:color w:val="auto"/>
              <w:sz w:val="16"/>
              <w:szCs w:val="16"/>
              <w:lang w:val="en-US"/>
            </w:rPr>
          </w:pPr>
          <w:r w:rsidRPr="00373774">
            <w:rPr>
              <w:rStyle w:val="LogoportDoNotTranslate"/>
              <w:rFonts w:ascii="Arial" w:hAnsi="Arial" w:cs="Arial"/>
              <w:color w:val="auto"/>
              <w:sz w:val="16"/>
              <w:szCs w:val="16"/>
              <w:lang w:val="en-US"/>
            </w:rPr>
            <w:t>MBSA20</w:t>
          </w:r>
          <w:r w:rsidR="0034678D">
            <w:rPr>
              <w:rStyle w:val="LogoportDoNotTranslate"/>
              <w:rFonts w:ascii="Arial" w:hAnsi="Arial" w:cs="Arial"/>
              <w:color w:val="auto"/>
              <w:sz w:val="16"/>
              <w:szCs w:val="16"/>
              <w:lang w:val="en-US"/>
            </w:rPr>
            <w:t>201</w:t>
          </w:r>
          <w:r w:rsidRPr="00373774">
            <w:rPr>
              <w:rStyle w:val="LogoportDoNotTranslate"/>
              <w:rFonts w:ascii="Arial" w:hAnsi="Arial" w:cs="Arial"/>
              <w:color w:val="auto"/>
              <w:sz w:val="16"/>
              <w:szCs w:val="16"/>
              <w:lang w:val="en-US"/>
            </w:rPr>
            <w:t>Agr(</w:t>
          </w:r>
          <w:proofErr w:type="spellStart"/>
          <w:r w:rsidRPr="00373774">
            <w:rPr>
              <w:rStyle w:val="LogoportDoNotTranslate"/>
              <w:rFonts w:ascii="Arial" w:hAnsi="Arial" w:cs="Arial"/>
              <w:color w:val="auto"/>
              <w:sz w:val="16"/>
              <w:szCs w:val="16"/>
              <w:lang w:val="en-US"/>
            </w:rPr>
            <w:t>CountrySpecificProv</w:t>
          </w:r>
          <w:proofErr w:type="spellEnd"/>
          <w:r w:rsidRPr="00373774">
            <w:rPr>
              <w:rStyle w:val="LogoportDoNotTranslate"/>
              <w:rFonts w:ascii="Arial" w:hAnsi="Arial" w:cs="Arial"/>
              <w:color w:val="auto"/>
              <w:sz w:val="16"/>
              <w:szCs w:val="16"/>
              <w:lang w:val="en-US"/>
            </w:rPr>
            <w:t>)(WW)(PTE)(</w:t>
          </w:r>
          <w:r w:rsidR="0034678D">
            <w:rPr>
              <w:rStyle w:val="LogoportDoNotTranslate"/>
              <w:rFonts w:ascii="Arial" w:hAnsi="Arial" w:cs="Arial"/>
              <w:color w:val="auto"/>
              <w:sz w:val="16"/>
              <w:szCs w:val="16"/>
              <w:lang w:val="en-US"/>
            </w:rPr>
            <w:t>Oct2019</w:t>
          </w:r>
          <w:r w:rsidRPr="00373774">
            <w:rPr>
              <w:rStyle w:val="LogoportDoNotTranslate"/>
              <w:rFonts w:ascii="Arial" w:hAnsi="Arial" w:cs="Arial"/>
              <w:color w:val="auto"/>
              <w:sz w:val="16"/>
              <w:szCs w:val="16"/>
              <w:lang w:val="en-US"/>
            </w:rPr>
            <w:t>)</w:t>
          </w:r>
        </w:p>
      </w:tc>
      <w:tc>
        <w:tcPr>
          <w:tcW w:w="4485" w:type="dxa"/>
        </w:tcPr>
        <w:p w14:paraId="2D58C298" w14:textId="77777777" w:rsidR="00C419AE" w:rsidRPr="00373774" w:rsidRDefault="00C419AE" w:rsidP="00654AC4">
          <w:pPr>
            <w:pStyle w:val="Footer"/>
            <w:jc w:val="right"/>
            <w:rPr>
              <w:rStyle w:val="LogoportDoNotTranslate"/>
              <w:rFonts w:ascii="Arial" w:hAnsi="Arial" w:cs="Arial"/>
              <w:color w:val="auto"/>
              <w:sz w:val="16"/>
              <w:szCs w:val="16"/>
            </w:rPr>
          </w:pPr>
          <w:r w:rsidRPr="00373774">
            <w:rPr>
              <w:rStyle w:val="LogoportDoNotTranslate"/>
              <w:rFonts w:ascii="Arial" w:hAnsi="Arial" w:cs="Arial"/>
              <w:color w:val="auto"/>
              <w:sz w:val="16"/>
              <w:szCs w:val="16"/>
            </w:rPr>
            <w:t xml:space="preserve">Page </w:t>
          </w:r>
          <w:r w:rsidRPr="00373774">
            <w:rPr>
              <w:rStyle w:val="LogoportDoNotTranslate"/>
              <w:rFonts w:ascii="Arial" w:hAnsi="Arial" w:cs="Arial"/>
              <w:color w:val="auto"/>
              <w:sz w:val="16"/>
              <w:szCs w:val="16"/>
            </w:rPr>
            <w:fldChar w:fldCharType="begin"/>
          </w:r>
          <w:r w:rsidRPr="00373774">
            <w:rPr>
              <w:rStyle w:val="LogoportDoNotTranslate"/>
              <w:rFonts w:ascii="Arial" w:hAnsi="Arial" w:cs="Arial"/>
              <w:color w:val="auto"/>
              <w:sz w:val="16"/>
              <w:szCs w:val="16"/>
            </w:rPr>
            <w:instrText xml:space="preserve"> PAGE  \* Arabic  \* MERGEFORMAT </w:instrText>
          </w:r>
          <w:r w:rsidRPr="00373774">
            <w:rPr>
              <w:rStyle w:val="LogoportDoNotTranslate"/>
              <w:rFonts w:ascii="Arial" w:hAnsi="Arial" w:cs="Arial"/>
              <w:color w:val="auto"/>
              <w:sz w:val="16"/>
              <w:szCs w:val="16"/>
            </w:rPr>
            <w:fldChar w:fldCharType="separate"/>
          </w:r>
          <w:r w:rsidR="00595300">
            <w:rPr>
              <w:rStyle w:val="LogoportDoNotTranslate"/>
              <w:rFonts w:ascii="Arial" w:hAnsi="Arial" w:cs="Arial"/>
              <w:noProof/>
              <w:color w:val="auto"/>
              <w:sz w:val="16"/>
              <w:szCs w:val="16"/>
            </w:rPr>
            <w:t>1</w:t>
          </w:r>
          <w:r w:rsidRPr="00373774">
            <w:rPr>
              <w:color w:val="auto"/>
              <w:sz w:val="16"/>
              <w:szCs w:val="16"/>
            </w:rPr>
            <w:fldChar w:fldCharType="end"/>
          </w:r>
          <w:r w:rsidRPr="00373774">
            <w:rPr>
              <w:rStyle w:val="LogoportDoNotTranslate"/>
              <w:rFonts w:ascii="Arial" w:hAnsi="Arial" w:cs="Arial"/>
              <w:color w:val="auto"/>
              <w:sz w:val="16"/>
              <w:szCs w:val="16"/>
            </w:rPr>
            <w:t xml:space="preserve"> of </w:t>
          </w:r>
          <w:r w:rsidRPr="00373774">
            <w:rPr>
              <w:rStyle w:val="LogoportDoNotTranslate"/>
              <w:rFonts w:ascii="Arial" w:hAnsi="Arial" w:cs="Arial"/>
              <w:color w:val="auto"/>
              <w:sz w:val="16"/>
              <w:szCs w:val="16"/>
            </w:rPr>
            <w:fldChar w:fldCharType="begin"/>
          </w:r>
          <w:r w:rsidRPr="00373774">
            <w:rPr>
              <w:rStyle w:val="LogoportDoNotTranslate"/>
              <w:rFonts w:ascii="Arial" w:hAnsi="Arial" w:cs="Arial"/>
              <w:color w:val="auto"/>
              <w:sz w:val="16"/>
              <w:szCs w:val="16"/>
            </w:rPr>
            <w:instrText xml:space="preserve"> NUMPAGES  \* Arabic  \* MERGEFORMAT </w:instrText>
          </w:r>
          <w:r w:rsidRPr="00373774">
            <w:rPr>
              <w:rStyle w:val="LogoportDoNotTranslate"/>
              <w:rFonts w:ascii="Arial" w:hAnsi="Arial" w:cs="Arial"/>
              <w:color w:val="auto"/>
              <w:sz w:val="16"/>
              <w:szCs w:val="16"/>
            </w:rPr>
            <w:fldChar w:fldCharType="separate"/>
          </w:r>
          <w:r w:rsidR="00595300">
            <w:rPr>
              <w:rStyle w:val="LogoportDoNotTranslate"/>
              <w:rFonts w:ascii="Arial" w:hAnsi="Arial" w:cs="Arial"/>
              <w:noProof/>
              <w:color w:val="auto"/>
              <w:sz w:val="16"/>
              <w:szCs w:val="16"/>
            </w:rPr>
            <w:t>10</w:t>
          </w:r>
          <w:r w:rsidRPr="00373774">
            <w:rPr>
              <w:color w:val="auto"/>
              <w:sz w:val="16"/>
              <w:szCs w:val="16"/>
            </w:rPr>
            <w:fldChar w:fldCharType="end"/>
          </w:r>
        </w:p>
        <w:p w14:paraId="412DFD03" w14:textId="6872225A" w:rsidR="00C419AE" w:rsidRPr="00373774" w:rsidRDefault="00C419AE" w:rsidP="00654AC4">
          <w:pPr>
            <w:pStyle w:val="Footer"/>
            <w:jc w:val="right"/>
            <w:rPr>
              <w:rStyle w:val="LogoportDoNotTranslate"/>
              <w:rFonts w:ascii="Arial" w:hAnsi="Arial" w:cs="Arial"/>
              <w:color w:val="auto"/>
              <w:sz w:val="16"/>
              <w:szCs w:val="16"/>
            </w:rPr>
          </w:pPr>
          <w:r w:rsidRPr="00373774">
            <w:rPr>
              <w:rStyle w:val="LogoportDoNotTranslate"/>
              <w:rFonts w:ascii="Arial" w:hAnsi="Arial" w:cs="Arial"/>
              <w:color w:val="auto"/>
              <w:sz w:val="16"/>
              <w:szCs w:val="16"/>
            </w:rPr>
            <w:t>Document X20-100</w:t>
          </w:r>
          <w:r w:rsidR="0034678D">
            <w:rPr>
              <w:rStyle w:val="LogoportDoNotTranslate"/>
              <w:rFonts w:ascii="Arial" w:hAnsi="Arial" w:cs="Arial"/>
              <w:color w:val="auto"/>
              <w:sz w:val="16"/>
              <w:szCs w:val="16"/>
            </w:rPr>
            <w:t>10</w:t>
          </w:r>
        </w:p>
      </w:tc>
    </w:tr>
  </w:tbl>
  <w:p w14:paraId="4BE7007F" w14:textId="77777777" w:rsidR="00C419AE" w:rsidRPr="00373774" w:rsidRDefault="00C419AE" w:rsidP="00C419AE">
    <w:pPr>
      <w:pStyle w:val="Footer"/>
      <w:rPr>
        <w:rStyle w:val="LogoportDoNotTranslate"/>
        <w:rFonts w:ascii="Arial" w:hAnsi="Arial" w:cs="Arial"/>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A40CFD" w14:textId="77777777" w:rsidR="009D4D34" w:rsidRDefault="009D4D34" w:rsidP="00135BAF">
      <w:pPr>
        <w:spacing w:before="0"/>
      </w:pPr>
      <w:r>
        <w:separator/>
      </w:r>
    </w:p>
  </w:footnote>
  <w:footnote w:type="continuationSeparator" w:id="0">
    <w:p w14:paraId="43741297" w14:textId="77777777" w:rsidR="009D4D34" w:rsidRDefault="009D4D34"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9D4D34">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9D4D34">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9D4D34"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zh-CN"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1682B"/>
    <w:rsid w:val="00021A72"/>
    <w:rsid w:val="00033D68"/>
    <w:rsid w:val="00077116"/>
    <w:rsid w:val="00083830"/>
    <w:rsid w:val="000B02B0"/>
    <w:rsid w:val="000C754A"/>
    <w:rsid w:val="00116D4B"/>
    <w:rsid w:val="00122A75"/>
    <w:rsid w:val="00135BAF"/>
    <w:rsid w:val="001660A7"/>
    <w:rsid w:val="001858E7"/>
    <w:rsid w:val="001B6F33"/>
    <w:rsid w:val="001D315E"/>
    <w:rsid w:val="002052C3"/>
    <w:rsid w:val="002237A3"/>
    <w:rsid w:val="0024259A"/>
    <w:rsid w:val="002B614E"/>
    <w:rsid w:val="002B7333"/>
    <w:rsid w:val="002D193A"/>
    <w:rsid w:val="002F4512"/>
    <w:rsid w:val="003051A8"/>
    <w:rsid w:val="00305E25"/>
    <w:rsid w:val="00312FCA"/>
    <w:rsid w:val="00346127"/>
    <w:rsid w:val="0034678D"/>
    <w:rsid w:val="00373774"/>
    <w:rsid w:val="00374E8C"/>
    <w:rsid w:val="00382378"/>
    <w:rsid w:val="0038410A"/>
    <w:rsid w:val="003B2CDB"/>
    <w:rsid w:val="003D11D6"/>
    <w:rsid w:val="003F5DA8"/>
    <w:rsid w:val="00404D8A"/>
    <w:rsid w:val="0045633F"/>
    <w:rsid w:val="004A57FA"/>
    <w:rsid w:val="004D7362"/>
    <w:rsid w:val="00512626"/>
    <w:rsid w:val="00512C23"/>
    <w:rsid w:val="00512CB6"/>
    <w:rsid w:val="00515B2A"/>
    <w:rsid w:val="005534D9"/>
    <w:rsid w:val="00556312"/>
    <w:rsid w:val="005634F2"/>
    <w:rsid w:val="00565038"/>
    <w:rsid w:val="00575849"/>
    <w:rsid w:val="00595300"/>
    <w:rsid w:val="005A0CAB"/>
    <w:rsid w:val="005C4DC0"/>
    <w:rsid w:val="005E272E"/>
    <w:rsid w:val="0060213B"/>
    <w:rsid w:val="006362C7"/>
    <w:rsid w:val="00640CCA"/>
    <w:rsid w:val="00641E1F"/>
    <w:rsid w:val="00665288"/>
    <w:rsid w:val="006716DA"/>
    <w:rsid w:val="006738DF"/>
    <w:rsid w:val="00676517"/>
    <w:rsid w:val="00683294"/>
    <w:rsid w:val="00691A1E"/>
    <w:rsid w:val="006C5DE2"/>
    <w:rsid w:val="00756D82"/>
    <w:rsid w:val="00791D78"/>
    <w:rsid w:val="00792A9C"/>
    <w:rsid w:val="00793F3C"/>
    <w:rsid w:val="007A262E"/>
    <w:rsid w:val="007C458C"/>
    <w:rsid w:val="007E13EA"/>
    <w:rsid w:val="007E54CD"/>
    <w:rsid w:val="007E5E82"/>
    <w:rsid w:val="00835503"/>
    <w:rsid w:val="00854E6D"/>
    <w:rsid w:val="0085590C"/>
    <w:rsid w:val="00864634"/>
    <w:rsid w:val="00873C81"/>
    <w:rsid w:val="0088333F"/>
    <w:rsid w:val="00885A8A"/>
    <w:rsid w:val="00887D20"/>
    <w:rsid w:val="0089029D"/>
    <w:rsid w:val="008932F5"/>
    <w:rsid w:val="008A7890"/>
    <w:rsid w:val="008A7EE5"/>
    <w:rsid w:val="008B4B9A"/>
    <w:rsid w:val="008C225D"/>
    <w:rsid w:val="008E1EF9"/>
    <w:rsid w:val="008F1A68"/>
    <w:rsid w:val="009046DB"/>
    <w:rsid w:val="00924DE4"/>
    <w:rsid w:val="009649F1"/>
    <w:rsid w:val="00967E5E"/>
    <w:rsid w:val="00997BDF"/>
    <w:rsid w:val="009A26C4"/>
    <w:rsid w:val="009C38C5"/>
    <w:rsid w:val="009C6EA4"/>
    <w:rsid w:val="009D4D34"/>
    <w:rsid w:val="00A00EDE"/>
    <w:rsid w:val="00A12BB1"/>
    <w:rsid w:val="00A25F2E"/>
    <w:rsid w:val="00A356F2"/>
    <w:rsid w:val="00A637D4"/>
    <w:rsid w:val="00A662D8"/>
    <w:rsid w:val="00AA302E"/>
    <w:rsid w:val="00AA6021"/>
    <w:rsid w:val="00AB3FDA"/>
    <w:rsid w:val="00AB7196"/>
    <w:rsid w:val="00AF01E7"/>
    <w:rsid w:val="00B1406A"/>
    <w:rsid w:val="00B471C1"/>
    <w:rsid w:val="00B74597"/>
    <w:rsid w:val="00B830C5"/>
    <w:rsid w:val="00BA044A"/>
    <w:rsid w:val="00BA5422"/>
    <w:rsid w:val="00BC2241"/>
    <w:rsid w:val="00BC390A"/>
    <w:rsid w:val="00BE678E"/>
    <w:rsid w:val="00C36C80"/>
    <w:rsid w:val="00C419AE"/>
    <w:rsid w:val="00C7130E"/>
    <w:rsid w:val="00C7585B"/>
    <w:rsid w:val="00C90A31"/>
    <w:rsid w:val="00C90D8A"/>
    <w:rsid w:val="00CB5911"/>
    <w:rsid w:val="00D16A2D"/>
    <w:rsid w:val="00D20B54"/>
    <w:rsid w:val="00D5280E"/>
    <w:rsid w:val="00D70CEA"/>
    <w:rsid w:val="00D92D70"/>
    <w:rsid w:val="00D95884"/>
    <w:rsid w:val="00E15427"/>
    <w:rsid w:val="00E74A34"/>
    <w:rsid w:val="00EB7A95"/>
    <w:rsid w:val="00ED5580"/>
    <w:rsid w:val="00EF3013"/>
    <w:rsid w:val="00F3569F"/>
    <w:rsid w:val="00FA3F23"/>
    <w:rsid w:val="00FD1AA7"/>
    <w:rsid w:val="00FE6A27"/>
    <w:rsid w:val="00FF4142"/>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00386D03-FC97-44D1-BC46-B9F601F62CB8}"/>
  <w:documentProtection w:edit="forms" w:enforcement="true" w:cryptProviderType="rsaFull" w:cryptAlgorithmClass="hash" w:cryptAlgorithmType="typeAny" w:cryptAlgorithmSid="4" w:cryptSpinCount="50000" w:hash="B/eVTdnQNbs0zvosBba6PIXsMLA=" w:salt="SYiLJ/9JBA5oJjWrL6wJM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4.xml><?xml version="1.0" encoding="utf-8"?>
<ds:datastoreItem xmlns:ds="http://schemas.openxmlformats.org/officeDocument/2006/customXml" ds:itemID="{F51E495E-9E67-4CC8-8F7C-364F517BD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TotalTime>
  <Pages>10</Pages>
  <Words>4823</Words>
  <Characters>27497</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147</cp:revision>
  <cp:lastPrinted>2016-07-19T11:44:00Z</cp:lastPrinted>
  <dcterms:created xsi:type="dcterms:W3CDTF">2015-05-15T21:45:00Z</dcterms:created>
  <dcterms:modified xsi:type="dcterms:W3CDTF">2019-10-01T22:28:00Z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