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979F986" w14:textId="77098B36" w:rsidR="00374E8C" w:rsidRPr="00D77519" w:rsidRDefault="00374E8C" w:rsidP="007E5E82">
      <w:pPr>
        <w:spacing w:before="0"/>
        <w:jc w:val="left"/>
        <w:rPr>
          <w:sz w:val="32"/>
          <w:szCs w:val="32"/>
          <w:lang w:val="es-ES"/>
        </w:rPr>
      </w:pPr>
      <w:bookmarkStart w:id="0" w:name="_Toc261346423"/>
      <w:r w:rsidRPr="00D77519">
        <w:rPr>
          <w:sz w:val="32"/>
          <w:szCs w:val="32"/>
          <w:lang w:val="es-ES"/>
        </w:rPr>
        <w:t>Disposiciones específicas por país</w:t>
      </w:r>
    </w:p>
    <w:p w14:paraId="576679B2" w14:textId="106BD5E2" w:rsidR="00374E8C" w:rsidRPr="00D77519" w:rsidRDefault="00374E8C" w:rsidP="00374E8C">
      <w:pPr>
        <w:spacing w:before="360"/>
        <w:rPr>
          <w:lang w:val="es-ES"/>
        </w:rPr>
      </w:pPr>
      <w:r w:rsidRPr="00D77519">
        <w:rPr>
          <w:lang w:val="es-ES"/>
        </w:rPr>
        <w:t>Las siguientes disposiciones específicas por país sustituirán o complementarán las disposiciones equivalentes en el Contrato Marco de Negocio y Servicios de Microsoft según se indique:</w:t>
      </w:r>
    </w:p>
    <w:p w14:paraId="115790C9" w14:textId="567FA0AD" w:rsidR="00374E8C" w:rsidRPr="00D77519" w:rsidRDefault="00374E8C" w:rsidP="00404D8A">
      <w:pPr>
        <w:pStyle w:val="Heading1"/>
        <w:numPr>
          <w:ilvl w:val="0"/>
          <w:numId w:val="30"/>
        </w:numPr>
        <w:spacing w:after="0"/>
        <w:ind w:hanging="720"/>
        <w:rPr>
          <w:lang w:val="es-ES"/>
        </w:rPr>
      </w:pPr>
      <w:r w:rsidRPr="00D77519">
        <w:rPr>
          <w:rFonts w:cs="Arial"/>
          <w:lang w:val="es-ES"/>
        </w:rPr>
        <w:t>Disposiciones específicas de cada país determinadas por ubicación.</w:t>
      </w:r>
      <w:bookmarkEnd w:id="0"/>
    </w:p>
    <w:p w14:paraId="675A30CE" w14:textId="491FB839" w:rsidR="00374E8C" w:rsidRPr="00D77519" w:rsidRDefault="00374E8C" w:rsidP="00374E8C">
      <w:pPr>
        <w:rPr>
          <w:lang w:val="es-ES"/>
        </w:rPr>
      </w:pPr>
      <w:r w:rsidRPr="00D77519">
        <w:rPr>
          <w:lang w:val="es-ES"/>
        </w:rPr>
        <w:t>En el caso de los Clientes ubicados en cualquiera de los países identificados en esta cláusula 1, las siguientes disposiciones específicas por país sustituirán o complementarán las disposiciones equivalentes según se indique:</w:t>
      </w:r>
    </w:p>
    <w:p w14:paraId="0A0F3B1C" w14:textId="77777777" w:rsidR="00374E8C" w:rsidRPr="004D7362" w:rsidRDefault="00374E8C" w:rsidP="00374E8C">
      <w:pPr>
        <w:keepNext/>
        <w:shd w:val="clear" w:color="auto" w:fill="000000"/>
        <w:spacing w:after="120"/>
      </w:pPr>
      <w:r>
        <w:rPr>
          <w:b/>
          <w:bCs/>
          <w:color w:val="FFFFFF"/>
        </w:rPr>
        <w:t>Australia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D77519" w14:paraId="1E7FF6D0" w14:textId="77777777" w:rsidTr="00E53ABB">
        <w:trPr>
          <w:jc w:val="center"/>
        </w:trPr>
        <w:tc>
          <w:tcPr>
            <w:tcW w:w="9029" w:type="dxa"/>
            <w:shd w:val="clear" w:color="auto" w:fill="C6D9F1"/>
          </w:tcPr>
          <w:p w14:paraId="055B66B6" w14:textId="3B31061D" w:rsidR="00374E8C" w:rsidRPr="00D77519" w:rsidRDefault="00374E8C" w:rsidP="00374E8C">
            <w:pPr>
              <w:spacing w:after="120"/>
              <w:ind w:left="86" w:right="86"/>
              <w:rPr>
                <w:b/>
                <w:bCs/>
                <w:lang w:val="es-ES"/>
              </w:rPr>
            </w:pPr>
            <w:r w:rsidRPr="00D77519">
              <w:rPr>
                <w:b/>
                <w:bCs/>
                <w:lang w:val="es-ES"/>
              </w:rPr>
              <w:t>Se complementa la sección titulada “Garantías” con lo siguiente:</w:t>
            </w:r>
          </w:p>
        </w:tc>
      </w:tr>
    </w:tbl>
    <w:p w14:paraId="2E2C40DC" w14:textId="4B307B58" w:rsidR="00374E8C" w:rsidRPr="007447EB" w:rsidRDefault="00374E8C" w:rsidP="00374E8C">
      <w:pPr>
        <w:spacing w:after="240"/>
        <w:ind w:left="1080" w:hanging="360"/>
        <w:rPr>
          <w:spacing w:val="1"/>
          <w:lang w:val="es-ES"/>
        </w:rPr>
      </w:pPr>
      <w:r w:rsidRPr="007447EB">
        <w:rPr>
          <w:b/>
          <w:bCs/>
          <w:spacing w:val="1"/>
          <w:lang w:val="es-ES"/>
        </w:rPr>
        <w:t>d.</w:t>
      </w:r>
      <w:r w:rsidRPr="007447EB">
        <w:rPr>
          <w:b/>
          <w:bCs/>
          <w:spacing w:val="1"/>
          <w:lang w:val="es-ES"/>
        </w:rPr>
        <w:tab/>
        <w:t>Recursos de los Consumidores.</w:t>
      </w:r>
      <w:r w:rsidR="00436852" w:rsidRPr="007447EB">
        <w:rPr>
          <w:spacing w:val="1"/>
          <w:lang w:val="es-ES"/>
        </w:rPr>
        <w:t xml:space="preserve"> </w:t>
      </w:r>
      <w:r w:rsidRPr="007447EB">
        <w:rPr>
          <w:spacing w:val="1"/>
          <w:lang w:val="es-ES"/>
        </w:rPr>
        <w:t>A pesar de lo establecido en el presente contrato (o en cualquier Contrato Complementario), los consumidores pueden estar amparados por determinados derechos o recursos otorgados por la Ley de Competencia y Consumo de 2010 (</w:t>
      </w:r>
      <w:proofErr w:type="spellStart"/>
      <w:r w:rsidRPr="007447EB">
        <w:rPr>
          <w:spacing w:val="1"/>
          <w:lang w:val="es-ES"/>
        </w:rPr>
        <w:t>Cth</w:t>
      </w:r>
      <w:proofErr w:type="spellEnd"/>
      <w:r w:rsidRPr="007447EB">
        <w:rPr>
          <w:spacing w:val="1"/>
          <w:lang w:val="es-ES"/>
        </w:rPr>
        <w:t>) y por similares leyes estatales y regionales de Australia por las que no es posible la exclusión de responsabilidad. En ese caso, la responsabilidad se limita, en la máxima medida permitida por ley, a discreción de Microsoft en el caso de los bienes a (1) su reemplazo o (2) asumir el costo de corregir sus defectos y en el caso de los Servicios Profesionales (1) a prestarlos nuevamente o (2) al costo de volver a prestarlos.</w:t>
      </w:r>
      <w:r w:rsidR="00436852" w:rsidRPr="007447EB">
        <w:rPr>
          <w:spacing w:val="1"/>
          <w:lang w:val="es-ES"/>
        </w:rPr>
        <w:t xml:space="preserve"> </w:t>
      </w:r>
      <w:r w:rsidRPr="007447EB">
        <w:rPr>
          <w:spacing w:val="1"/>
          <w:lang w:val="es-ES"/>
        </w:rPr>
        <w:t>La ley australiana nos obliga a notificar a los compradores consumidores de productos de Microsoft que: Nuestros productos se entregan con garantías que no se pueden excluir en virtud de la legislación australiana de protección al consumidor. Tiene derecho a la sustitución o reembolso por error importante y compensación por cualquier otra pérdida o daño razonablemente previsible. También tiene derecho a la reparación o sustitución de los bienes si los bienes no son de calidad aceptable y el error no asciende a un error importante.</w:t>
      </w:r>
    </w:p>
    <w:p w14:paraId="074C11C2" w14:textId="0BA5FBA6" w:rsidR="00374E8C" w:rsidRPr="00D77519" w:rsidRDefault="00374E8C" w:rsidP="00374E8C">
      <w:pPr>
        <w:keepNext/>
        <w:shd w:val="clear" w:color="auto" w:fill="000000"/>
        <w:spacing w:before="360" w:after="120"/>
        <w:rPr>
          <w:lang w:val="es-ES"/>
        </w:rPr>
      </w:pPr>
      <w:r w:rsidRPr="00D77519">
        <w:rPr>
          <w:b/>
          <w:bCs/>
          <w:color w:val="FFFFFF"/>
          <w:lang w:val="es-ES"/>
        </w:rPr>
        <w:t>Bangladesh, India, Indonesia, Myanmar, la República Popular China, Filipinas, Sri Lanka, Tailandia, Turquía y Vietnam.</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D77519" w14:paraId="4157CFFE" w14:textId="77777777" w:rsidTr="00E53ABB">
        <w:trPr>
          <w:jc w:val="center"/>
        </w:trPr>
        <w:tc>
          <w:tcPr>
            <w:tcW w:w="9243" w:type="dxa"/>
            <w:shd w:val="clear" w:color="auto" w:fill="C6D9F1"/>
          </w:tcPr>
          <w:p w14:paraId="0C52035D" w14:textId="5C8D8BC0" w:rsidR="00374E8C" w:rsidRPr="00D77519" w:rsidRDefault="00374E8C" w:rsidP="00305E25">
            <w:pPr>
              <w:keepNext/>
              <w:spacing w:after="120"/>
              <w:ind w:left="86" w:right="86"/>
              <w:rPr>
                <w:b/>
                <w:bCs/>
                <w:lang w:val="es-ES"/>
              </w:rPr>
            </w:pPr>
            <w:r w:rsidRPr="00D77519">
              <w:rPr>
                <w:b/>
                <w:bCs/>
                <w:lang w:val="es-ES"/>
              </w:rPr>
              <w:t>El subapartado titulado “Resolución de conflictos” se sustituye por lo siguiente:</w:t>
            </w:r>
          </w:p>
        </w:tc>
      </w:tr>
    </w:tbl>
    <w:p w14:paraId="60D30881" w14:textId="69F1EEDB" w:rsidR="00374E8C" w:rsidRPr="00D77519" w:rsidRDefault="00374E8C" w:rsidP="00B471C1">
      <w:pPr>
        <w:ind w:left="1080"/>
        <w:rPr>
          <w:lang w:val="es-ES"/>
        </w:rPr>
      </w:pPr>
      <w:r w:rsidRPr="00D77519">
        <w:rPr>
          <w:b/>
          <w:bCs/>
          <w:lang w:val="es-ES"/>
        </w:rPr>
        <w:t>Resolución de conflictos.</w:t>
      </w:r>
      <w:r w:rsidR="00436852" w:rsidRPr="00D77519">
        <w:rPr>
          <w:b/>
          <w:bCs/>
          <w:lang w:val="es-ES"/>
        </w:rPr>
        <w:t xml:space="preserve"> </w:t>
      </w:r>
      <w:r w:rsidRPr="00D77519">
        <w:rPr>
          <w:bCs/>
          <w:lang w:val="es-ES"/>
        </w:rPr>
        <w:t>Cuando se presente una acción que surja de este contrato en cualquiera de los países indicados anteriormente, (incluido todo contrato que incorpore estos términos), las partes acuerdan que la acción finalmente se resolverá mediante arbitraje de acuerdo con los términos de esta sección.</w:t>
      </w:r>
      <w:r w:rsidR="00436852" w:rsidRPr="00D77519">
        <w:rPr>
          <w:b/>
          <w:bCs/>
          <w:lang w:val="es-ES"/>
        </w:rPr>
        <w:t xml:space="preserve"> </w:t>
      </w:r>
      <w:r w:rsidRPr="00D77519">
        <w:rPr>
          <w:lang w:val="es-ES"/>
        </w:rPr>
        <w:t>La decisión de un árbitro será definitiva, obligatoria y no impugnable, y podrá usarse como base de una sentencia judicial posterior en los países antes mencionados o en cualquier otro lugar.</w:t>
      </w:r>
      <w:r w:rsidR="00436852" w:rsidRPr="00D77519">
        <w:rPr>
          <w:lang w:val="es-ES"/>
        </w:rPr>
        <w:t xml:space="preserve"> </w:t>
      </w:r>
      <w:r w:rsidRPr="00D77519">
        <w:rPr>
          <w:lang w:val="es-ES"/>
        </w:rPr>
        <w:t>Hasta donde lo permita la legislación aplicable, las partes renuncian a su derecho a intentar cualquier clase de apelación u otro recurso similar ante los tribunales.</w:t>
      </w:r>
      <w:r w:rsidR="00436852" w:rsidRPr="00D77519">
        <w:rPr>
          <w:lang w:val="es-ES"/>
        </w:rPr>
        <w:t xml:space="preserve"> </w:t>
      </w:r>
      <w:r w:rsidRPr="00D77519">
        <w:rPr>
          <w:lang w:val="es-ES"/>
        </w:rPr>
        <w:t>Estas elecciones de jurisdicción no impedirán que las partes puedan solicitar medidas cautelares respecto de una violación de los derechos de propiedad intelectual e industrial u obligaciones de confidencialidad en cualquier jurisdicción pertinente.</w:t>
      </w:r>
      <w:r w:rsidR="00436852" w:rsidRPr="00D77519">
        <w:rPr>
          <w:lang w:val="es-ES"/>
        </w:rPr>
        <w:t xml:space="preserve"> </w:t>
      </w:r>
      <w:r w:rsidRPr="00D77519">
        <w:rPr>
          <w:lang w:val="es-ES"/>
        </w:rPr>
        <w:t>El idioma del arbitraje será el inglés.</w:t>
      </w:r>
      <w:r w:rsidR="00436852" w:rsidRPr="00D77519">
        <w:rPr>
          <w:lang w:val="es-ES"/>
        </w:rPr>
        <w:t xml:space="preserve"> </w:t>
      </w:r>
      <w:r w:rsidRPr="00D77519">
        <w:rPr>
          <w:lang w:val="es-ES"/>
        </w:rPr>
        <w:t>Además, en los países especificados a continuación se aplican los términos siguientes.</w:t>
      </w:r>
    </w:p>
    <w:p w14:paraId="1AFA36C6" w14:textId="6DACB1B0" w:rsidR="00374E8C" w:rsidRPr="00D77519" w:rsidRDefault="00374E8C" w:rsidP="00374E8C">
      <w:pPr>
        <w:ind w:left="1080"/>
        <w:rPr>
          <w:lang w:val="es-ES"/>
        </w:rPr>
      </w:pPr>
      <w:r>
        <w:rPr>
          <w:b/>
          <w:bCs/>
        </w:rPr>
        <w:t xml:space="preserve">Bangladesh, Indonesia, Sri Lanka, </w:t>
      </w:r>
      <w:proofErr w:type="spellStart"/>
      <w:r>
        <w:rPr>
          <w:b/>
          <w:bCs/>
        </w:rPr>
        <w:t>Tailandia</w:t>
      </w:r>
      <w:proofErr w:type="spellEnd"/>
      <w:r>
        <w:rPr>
          <w:b/>
          <w:bCs/>
        </w:rPr>
        <w:t xml:space="preserve"> y Vietnam.</w:t>
      </w:r>
      <w:r w:rsidR="00436852">
        <w:t xml:space="preserve"> </w:t>
      </w:r>
      <w:r w:rsidRPr="00D77519">
        <w:rPr>
          <w:lang w:val="es-ES"/>
        </w:rPr>
        <w:t>Cualquier conflicto que surja de este contrato o en relación con él (incluido cualquier Contrato Complementario) entre los que se incluyen, entre otros, cualquier cuestión relativa a su existencia, validez o terminación, será sometido y resuelto definitivamente mediante arbitraje en Singapur de conformidad con las Reglas de Arbitraje del Centro de Arbitraje Internacional de Singapur (“SIAC”) cuyas reglas se consideran incorporadas por referencia en esta cláusula.</w:t>
      </w:r>
      <w:r w:rsidR="00436852" w:rsidRPr="00D77519">
        <w:rPr>
          <w:lang w:val="es-ES"/>
        </w:rPr>
        <w:t xml:space="preserve"> </w:t>
      </w:r>
      <w:r w:rsidRPr="00D77519">
        <w:rPr>
          <w:lang w:val="es-ES"/>
        </w:rPr>
        <w:t>El Tribunal estará conformado por un árbitro nombrado por el Presidente de SIAC.</w:t>
      </w:r>
      <w:r w:rsidR="00436852" w:rsidRPr="00D77519">
        <w:rPr>
          <w:lang w:val="es-ES"/>
        </w:rPr>
        <w:t xml:space="preserve"> </w:t>
      </w:r>
      <w:r w:rsidRPr="00D77519">
        <w:rPr>
          <w:lang w:val="es-ES"/>
        </w:rPr>
        <w:t xml:space="preserve">Los procesos de </w:t>
      </w:r>
      <w:r w:rsidRPr="00D77519">
        <w:rPr>
          <w:bCs/>
          <w:lang w:val="es-ES"/>
        </w:rPr>
        <w:t>arbitraje</w:t>
      </w:r>
      <w:r w:rsidRPr="00D77519">
        <w:rPr>
          <w:lang w:val="es-ES"/>
        </w:rPr>
        <w:t xml:space="preserve"> se llevarán a cabo en inglés.</w:t>
      </w:r>
    </w:p>
    <w:p w14:paraId="0C1411B7" w14:textId="0A778AF6" w:rsidR="00374E8C" w:rsidRPr="00D77519" w:rsidRDefault="00374E8C" w:rsidP="00374E8C">
      <w:pPr>
        <w:ind w:left="1080"/>
        <w:rPr>
          <w:lang w:val="es-ES"/>
        </w:rPr>
      </w:pPr>
      <w:r w:rsidRPr="00D77519">
        <w:rPr>
          <w:b/>
          <w:lang w:val="es-ES"/>
        </w:rPr>
        <w:lastRenderedPageBreak/>
        <w:t>India.</w:t>
      </w:r>
      <w:r w:rsidR="00436852" w:rsidRPr="00D77519">
        <w:rPr>
          <w:lang w:val="es-ES"/>
        </w:rPr>
        <w:t xml:space="preserve"> </w:t>
      </w:r>
      <w:r w:rsidRPr="00D77519">
        <w:rPr>
          <w:lang w:val="es-ES"/>
        </w:rPr>
        <w:t>El arbitraje debe realizarse de acuerdo con las Reglas Internacionales de Arbitraje del Centro de Arbitraje Internacional de Singapur (</w:t>
      </w:r>
      <w:r w:rsidR="006D6499" w:rsidRPr="00D77519">
        <w:rPr>
          <w:lang w:val="es-ES"/>
        </w:rPr>
        <w:t>“</w:t>
      </w:r>
      <w:r w:rsidRPr="00D77519">
        <w:rPr>
          <w:lang w:val="es-ES"/>
        </w:rPr>
        <w:t>SIAC</w:t>
      </w:r>
      <w:r w:rsidR="006D6499" w:rsidRPr="00D77519">
        <w:rPr>
          <w:lang w:val="es-ES"/>
        </w:rPr>
        <w:t>”</w:t>
      </w:r>
      <w:r w:rsidRPr="00D77519">
        <w:rPr>
          <w:lang w:val="es-ES"/>
        </w:rPr>
        <w:t>), cuyas reglas se consideran incorporadas mediante referencia a este subapartado. El Tribunal estará conformado por un árbitro nombrado por el Presidente de SIAC. El idioma del arbitraje será el inglés y el foro del arbitraje será Singapur.</w:t>
      </w:r>
      <w:r w:rsidR="00436852" w:rsidRPr="00D77519">
        <w:rPr>
          <w:lang w:val="es-ES"/>
        </w:rPr>
        <w:t xml:space="preserve"> </w:t>
      </w:r>
      <w:r w:rsidRPr="00D77519">
        <w:rPr>
          <w:lang w:val="es-ES"/>
        </w:rPr>
        <w:t>La decisión del árbitro debe ser definitiva y obligatoria.</w:t>
      </w:r>
      <w:r w:rsidR="00436852" w:rsidRPr="00D77519">
        <w:rPr>
          <w:lang w:val="es-ES"/>
        </w:rPr>
        <w:t xml:space="preserve"> </w:t>
      </w:r>
      <w:r w:rsidRPr="00D77519">
        <w:rPr>
          <w:lang w:val="es-ES"/>
        </w:rPr>
        <w:t>Los tribunales de Nueva Delhi tendrán jurisdicción exclusiva para admitir cualquier demanda relacionada con el reconocimiento y ejecución del laudo y/o el otorgamiento de cualquier protección provisional.</w:t>
      </w:r>
    </w:p>
    <w:p w14:paraId="78F84D67" w14:textId="50856134" w:rsidR="00374E8C" w:rsidRPr="00D77519" w:rsidRDefault="00374E8C" w:rsidP="00374E8C">
      <w:pPr>
        <w:ind w:left="1080"/>
        <w:rPr>
          <w:lang w:val="es-ES"/>
        </w:rPr>
      </w:pPr>
      <w:r w:rsidRPr="00D77519">
        <w:rPr>
          <w:b/>
          <w:lang w:val="es-ES"/>
        </w:rPr>
        <w:t>La República Popular China.</w:t>
      </w:r>
      <w:r w:rsidR="00436852" w:rsidRPr="00D77519">
        <w:rPr>
          <w:b/>
          <w:lang w:val="es-ES"/>
        </w:rPr>
        <w:t xml:space="preserve"> </w:t>
      </w:r>
      <w:r w:rsidRPr="00D77519">
        <w:rPr>
          <w:lang w:val="es-ES"/>
        </w:rPr>
        <w:t>Cualquier conflicto que surja de este contrato o en relación con él (incluido cualquier Contrato Complementario), incluyendo cualquier cuestión relativa a su existencia, validez o terminación, será sometido a arbitraje vinculante de Comisión de Arbitraje Económico y Comercial Internacional de China (“CIETAC”) en Beijing de acuerdo con sus normas que entren en vigor cada cierto tiempo.</w:t>
      </w:r>
    </w:p>
    <w:p w14:paraId="68BE63E6" w14:textId="760571C8" w:rsidR="00374E8C" w:rsidRPr="00D77519" w:rsidRDefault="00374E8C" w:rsidP="00374E8C">
      <w:pPr>
        <w:ind w:left="1080"/>
        <w:rPr>
          <w:lang w:val="es-ES"/>
        </w:rPr>
      </w:pPr>
      <w:r w:rsidRPr="00D77519">
        <w:rPr>
          <w:b/>
          <w:lang w:val="es-ES"/>
        </w:rPr>
        <w:t>Filipinas.</w:t>
      </w:r>
      <w:r w:rsidR="00436852" w:rsidRPr="00D77519">
        <w:rPr>
          <w:lang w:val="es-ES"/>
        </w:rPr>
        <w:t xml:space="preserve"> </w:t>
      </w:r>
      <w:r w:rsidRPr="00D77519">
        <w:rPr>
          <w:lang w:val="es-ES"/>
        </w:rPr>
        <w:t>Cualquier conflicto que surja de este contrato o en relación con él (incluido cualquier Contrato Complementario) entre los que se incluyen, entre otros, cualquier cuestión relativa a su existencia, validez o terminación, será sometido y resuelto definitivamente mediante arbitraje en Singapur de acuerdo con las Reglas de Arbitraje del Centro de Arbitraje Internacional de Singapur (“SIAC”) cuyas reglas se consideran incorporadas mediante referencia en esta cláusula.</w:t>
      </w:r>
      <w:r w:rsidR="00436852" w:rsidRPr="00D77519">
        <w:rPr>
          <w:lang w:val="es-ES"/>
        </w:rPr>
        <w:t xml:space="preserve"> </w:t>
      </w:r>
      <w:r w:rsidRPr="00D77519">
        <w:rPr>
          <w:lang w:val="es-ES"/>
        </w:rPr>
        <w:t>El Tribunal estará conformado por un árbitro nombrado por el Presidente de SIAC.</w:t>
      </w:r>
    </w:p>
    <w:p w14:paraId="6B0B5594" w14:textId="7F222455" w:rsidR="00374E8C" w:rsidRPr="00D77519" w:rsidRDefault="00374E8C" w:rsidP="00374E8C">
      <w:pPr>
        <w:ind w:left="1080"/>
        <w:rPr>
          <w:lang w:val="es-ES"/>
        </w:rPr>
      </w:pPr>
      <w:r w:rsidRPr="00D77519">
        <w:rPr>
          <w:lang w:val="es-ES"/>
        </w:rPr>
        <w:t>Todo conflicto derivado de o en relación con un Documento de Servicios, que incluya cualquier cuestión relativa a su existencia, validez o terminación, será sometido a arbitraje de acuerdo con las Reglas de Arbitraje de UNCITRAL vigentes a la fecha del conflicto.</w:t>
      </w:r>
      <w:r w:rsidR="00436852" w:rsidRPr="00D77519">
        <w:rPr>
          <w:lang w:val="es-ES"/>
        </w:rPr>
        <w:t xml:space="preserve"> </w:t>
      </w:r>
      <w:r w:rsidRPr="00D77519">
        <w:rPr>
          <w:lang w:val="es-ES"/>
        </w:rPr>
        <w:t>El lugar donde se realizará el arbitraje será Singapur.</w:t>
      </w:r>
      <w:r w:rsidR="00436852" w:rsidRPr="00D77519">
        <w:rPr>
          <w:lang w:val="es-ES"/>
        </w:rPr>
        <w:t xml:space="preserve"> </w:t>
      </w:r>
      <w:r w:rsidRPr="00D77519">
        <w:rPr>
          <w:lang w:val="es-ES"/>
        </w:rPr>
        <w:t xml:space="preserve">Los procesos de </w:t>
      </w:r>
      <w:r w:rsidRPr="00D77519">
        <w:rPr>
          <w:bCs/>
          <w:lang w:val="es-ES"/>
        </w:rPr>
        <w:t>arbitraje</w:t>
      </w:r>
      <w:r w:rsidRPr="00D77519">
        <w:rPr>
          <w:lang w:val="es-ES"/>
        </w:rPr>
        <w:t xml:space="preserve"> se llevarán a cabo en inglés.</w:t>
      </w:r>
    </w:p>
    <w:p w14:paraId="2CDF059A" w14:textId="77777777" w:rsidR="00374E8C" w:rsidRPr="004D7362" w:rsidRDefault="00374E8C" w:rsidP="00374E8C">
      <w:pPr>
        <w:keepNext/>
        <w:shd w:val="clear" w:color="auto" w:fill="000000"/>
        <w:spacing w:before="360" w:after="120"/>
      </w:pPr>
      <w:r>
        <w:rPr>
          <w:b/>
          <w:bCs/>
          <w:color w:val="FFFFFF"/>
        </w:rPr>
        <w:t>Bangladesh, Indonesia y Sri Lanka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D77519" w14:paraId="69B07100" w14:textId="77777777" w:rsidTr="000C754A">
        <w:trPr>
          <w:jc w:val="center"/>
        </w:trPr>
        <w:tc>
          <w:tcPr>
            <w:tcW w:w="9029" w:type="dxa"/>
            <w:shd w:val="clear" w:color="auto" w:fill="C6D9F1"/>
          </w:tcPr>
          <w:p w14:paraId="02E6C216" w14:textId="37AF5646" w:rsidR="00374E8C" w:rsidRPr="00D77519" w:rsidRDefault="00374E8C" w:rsidP="000C754A">
            <w:pPr>
              <w:keepNext/>
              <w:spacing w:after="120"/>
              <w:ind w:left="86" w:right="86"/>
              <w:rPr>
                <w:b/>
                <w:bCs/>
                <w:lang w:val="es-ES"/>
              </w:rPr>
            </w:pPr>
            <w:r w:rsidRPr="00D77519">
              <w:rPr>
                <w:b/>
                <w:bCs/>
                <w:lang w:val="es-ES"/>
              </w:rPr>
              <w:t>La tercera frase del apartado titulado “Legislación aplicable” se sustituye por lo siguiente:</w:t>
            </w:r>
          </w:p>
        </w:tc>
      </w:tr>
    </w:tbl>
    <w:p w14:paraId="30EBF0E2" w14:textId="7E118FF0" w:rsidR="00374E8C" w:rsidRPr="00D77519" w:rsidRDefault="000C754A" w:rsidP="00374E8C">
      <w:pPr>
        <w:rPr>
          <w:lang w:val="es-ES"/>
        </w:rPr>
      </w:pPr>
      <w:r w:rsidRPr="00D77519">
        <w:rPr>
          <w:lang w:val="es-ES"/>
        </w:rPr>
        <w:t>Cualquier conflicto que surja de los Servicios Profesionales o en relación con ellos se regirá por las leyes de Singapur.</w:t>
      </w:r>
    </w:p>
    <w:p w14:paraId="6684DD73" w14:textId="77777777" w:rsidR="00374E8C" w:rsidRPr="004D7362" w:rsidRDefault="00374E8C" w:rsidP="00374E8C">
      <w:pPr>
        <w:keepNext/>
        <w:shd w:val="clear" w:color="auto" w:fill="000000"/>
        <w:spacing w:before="360" w:after="120"/>
      </w:pPr>
      <w:r>
        <w:rPr>
          <w:b/>
          <w:bCs/>
          <w:color w:val="FFFFFF"/>
        </w:rPr>
        <w:t>India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D77519" w14:paraId="66B8AD67" w14:textId="77777777" w:rsidTr="00E53ABB">
        <w:trPr>
          <w:jc w:val="center"/>
        </w:trPr>
        <w:tc>
          <w:tcPr>
            <w:tcW w:w="9029" w:type="dxa"/>
            <w:shd w:val="clear" w:color="auto" w:fill="C6D9F1"/>
          </w:tcPr>
          <w:p w14:paraId="12306C55" w14:textId="0E88F86E" w:rsidR="00374E8C" w:rsidRPr="00D77519" w:rsidRDefault="00374E8C" w:rsidP="008F1A68">
            <w:pPr>
              <w:keepNext/>
              <w:spacing w:after="120"/>
              <w:ind w:left="86" w:right="86"/>
              <w:rPr>
                <w:b/>
                <w:bCs/>
                <w:lang w:val="es-ES"/>
              </w:rPr>
            </w:pPr>
            <w:r w:rsidRPr="00D77519">
              <w:rPr>
                <w:b/>
                <w:bCs/>
                <w:lang w:val="es-ES"/>
              </w:rPr>
              <w:t>La primera frase del apartado titulado “Legislación aplicable” se sustituye por lo siguiente:</w:t>
            </w:r>
          </w:p>
        </w:tc>
      </w:tr>
    </w:tbl>
    <w:p w14:paraId="55E12EEB" w14:textId="5FA1D9B9" w:rsidR="00374E8C" w:rsidRPr="00D77519" w:rsidRDefault="00374E8C" w:rsidP="00374E8C">
      <w:pPr>
        <w:rPr>
          <w:lang w:val="es-ES"/>
        </w:rPr>
      </w:pPr>
      <w:r w:rsidRPr="00D77519">
        <w:rPr>
          <w:lang w:val="es-ES"/>
        </w:rPr>
        <w:t>Los términos de los Contratos Complementarios celebrados con cualquier Filial de Microsoft ubicada en India se regirán e interpretarán de acuerdo con la legislación de India.</w:t>
      </w:r>
    </w:p>
    <w:p w14:paraId="3AD1D9CB" w14:textId="77777777" w:rsidR="00374E8C" w:rsidRPr="004D7362" w:rsidRDefault="00374E8C" w:rsidP="00374E8C">
      <w:pPr>
        <w:keepNext/>
        <w:shd w:val="clear" w:color="auto" w:fill="000000"/>
        <w:spacing w:before="360" w:after="120"/>
      </w:pPr>
      <w:proofErr w:type="spellStart"/>
      <w:r>
        <w:rPr>
          <w:b/>
          <w:bCs/>
          <w:color w:val="FFFFFF"/>
        </w:rPr>
        <w:t>Japón</w:t>
      </w:r>
      <w:proofErr w:type="spellEnd"/>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D77519" w14:paraId="1FA1DACC" w14:textId="77777777" w:rsidTr="00E53ABB">
        <w:trPr>
          <w:jc w:val="center"/>
        </w:trPr>
        <w:tc>
          <w:tcPr>
            <w:tcW w:w="9029" w:type="dxa"/>
            <w:shd w:val="clear" w:color="auto" w:fill="C6D9F1"/>
          </w:tcPr>
          <w:p w14:paraId="0A4F4F4C" w14:textId="21EBBD79" w:rsidR="00374E8C" w:rsidRPr="00D77519" w:rsidRDefault="00374E8C" w:rsidP="00BE678E">
            <w:pPr>
              <w:spacing w:after="120"/>
              <w:ind w:left="86" w:right="86"/>
              <w:rPr>
                <w:b/>
                <w:bCs/>
                <w:lang w:val="es-ES"/>
              </w:rPr>
            </w:pPr>
            <w:r w:rsidRPr="00D77519">
              <w:rPr>
                <w:b/>
                <w:bCs/>
                <w:lang w:val="es-ES"/>
              </w:rPr>
              <w:t>La URL de la Sección titulada “Definiciones” del Sitio de Licencias por Volumen se sustituye por lo siguiente:</w:t>
            </w:r>
          </w:p>
        </w:tc>
      </w:tr>
    </w:tbl>
    <w:p w14:paraId="1F5382D4" w14:textId="7C72D245" w:rsidR="00374E8C" w:rsidRPr="00D77519" w:rsidRDefault="00722F93" w:rsidP="00374E8C">
      <w:pPr>
        <w:spacing w:after="240"/>
        <w:rPr>
          <w:lang w:val="es-ES"/>
        </w:rPr>
      </w:pPr>
      <w:hyperlink r:id="rId11" w:history="1">
        <w:r w:rsidR="00C36C80" w:rsidRPr="00D77519">
          <w:rPr>
            <w:rStyle w:val="Hyperlink"/>
            <w:lang w:val="es-ES"/>
          </w:rPr>
          <w:t>http://www.microsoft.com/japan/licensing/product.mspx</w:t>
        </w:r>
      </w:hyperlink>
      <w:r w:rsidR="00C36C80" w:rsidRPr="00D77519">
        <w:rPr>
          <w:color w:val="0000FF"/>
          <w:lang w:val="es-ES"/>
        </w:rPr>
        <w:t>.</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D5280E" w:rsidRPr="00D77519" w14:paraId="7DFE2B22" w14:textId="77777777" w:rsidTr="00360ABF">
        <w:trPr>
          <w:jc w:val="center"/>
        </w:trPr>
        <w:tc>
          <w:tcPr>
            <w:tcW w:w="9029" w:type="dxa"/>
            <w:shd w:val="clear" w:color="auto" w:fill="C6D9F1"/>
          </w:tcPr>
          <w:p w14:paraId="555376B7" w14:textId="77777777" w:rsidR="00D5280E" w:rsidRPr="00D77519" w:rsidRDefault="00D5280E" w:rsidP="00360ABF">
            <w:pPr>
              <w:spacing w:after="120"/>
              <w:ind w:left="86" w:right="86"/>
              <w:rPr>
                <w:b/>
                <w:bCs/>
                <w:lang w:val="es-ES"/>
              </w:rPr>
            </w:pPr>
            <w:r w:rsidRPr="00D77519">
              <w:rPr>
                <w:b/>
                <w:bCs/>
                <w:lang w:val="es-ES"/>
              </w:rPr>
              <w:t>El subapartado titulado “Legislación aplicable” se sustituye por lo siguiente:</w:t>
            </w:r>
          </w:p>
        </w:tc>
      </w:tr>
    </w:tbl>
    <w:p w14:paraId="1AC9C3B2" w14:textId="31FE1CE7" w:rsidR="00D5280E" w:rsidRPr="00D77519" w:rsidRDefault="00D5280E" w:rsidP="00D5280E">
      <w:pPr>
        <w:spacing w:after="240"/>
        <w:rPr>
          <w:lang w:val="es-ES"/>
        </w:rPr>
      </w:pPr>
      <w:r w:rsidRPr="00D77519">
        <w:rPr>
          <w:lang w:val="es-ES"/>
        </w:rPr>
        <w:t>Los términos de cada Contrato Complementario o Documento de Servicios se regirán e interpretarán de acuerdo con las leyes de Japón. La Convención de las Naciones Unidas sobre los Contratos de Compraventa Internacional de Mercaderías de 1980 y su normativa relacionada no serán de aplicación a este contrato.</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D77519" w14:paraId="51D33B3F" w14:textId="77777777" w:rsidTr="00E53ABB">
        <w:trPr>
          <w:jc w:val="center"/>
        </w:trPr>
        <w:tc>
          <w:tcPr>
            <w:tcW w:w="9029" w:type="dxa"/>
            <w:shd w:val="clear" w:color="auto" w:fill="C6D9F1"/>
          </w:tcPr>
          <w:p w14:paraId="61CEB3C3" w14:textId="4C3D6386" w:rsidR="00374E8C" w:rsidRPr="00D77519" w:rsidRDefault="00374E8C" w:rsidP="00374E8C">
            <w:pPr>
              <w:spacing w:after="120"/>
              <w:ind w:left="86" w:right="86"/>
              <w:rPr>
                <w:b/>
                <w:bCs/>
                <w:lang w:val="es-ES"/>
              </w:rPr>
            </w:pPr>
            <w:r w:rsidRPr="00D77519">
              <w:rPr>
                <w:b/>
                <w:bCs/>
                <w:lang w:val="es-ES"/>
              </w:rPr>
              <w:lastRenderedPageBreak/>
              <w:t>El subapartado titulado “Resolución de conflictos” se sustituye por lo siguiente:</w:t>
            </w:r>
          </w:p>
        </w:tc>
      </w:tr>
    </w:tbl>
    <w:p w14:paraId="2F94BFF2" w14:textId="275E49DD" w:rsidR="00374E8C" w:rsidRPr="00D77519" w:rsidRDefault="00374E8C" w:rsidP="00374E8C">
      <w:pPr>
        <w:spacing w:after="240"/>
        <w:rPr>
          <w:lang w:val="es-ES"/>
        </w:rPr>
      </w:pPr>
      <w:r w:rsidRPr="00D77519">
        <w:rPr>
          <w:color w:val="auto"/>
          <w:lang w:val="es-ES"/>
        </w:rPr>
        <w:t>Todo conflicto derivado de o en relación con el presente contrato (incluido cualquier Contrato Complementario o Documento de Servicios que incorpore estos términos), y que incluya cualquier cuestión relativa a su existencia, validez o terminación, está sujeto a la jurisdicción exclusiva del Tribunal del Distrito de Tokio.</w:t>
      </w:r>
      <w:r w:rsidR="00436852" w:rsidRPr="00D77519">
        <w:rPr>
          <w:color w:val="auto"/>
          <w:lang w:val="es-ES"/>
        </w:rPr>
        <w:t xml:space="preserve"> </w:t>
      </w:r>
      <w:r w:rsidRPr="00D77519">
        <w:rPr>
          <w:lang w:val="es-ES"/>
        </w:rPr>
        <w:t>Esta elección de jurisdicción no impedirá que cualquiera de las partes solicite, en cualquier jurisdicción pertinente, la adopción de medidas cautelares en relación con una infracción de derechos de propiedad intelectual e industrial o un incumplimiento de obligaciones de confidencialidad.</w:t>
      </w:r>
    </w:p>
    <w:p w14:paraId="26DAF03A" w14:textId="2D3B96D9" w:rsidR="00374E8C" w:rsidRPr="004D7362" w:rsidRDefault="00374E8C" w:rsidP="00D5280E">
      <w:pPr>
        <w:keepNext/>
        <w:shd w:val="clear" w:color="auto" w:fill="000000"/>
        <w:spacing w:before="360" w:after="120"/>
      </w:pPr>
      <w:r>
        <w:rPr>
          <w:b/>
          <w:bCs/>
          <w:color w:val="FFFFFF"/>
        </w:rPr>
        <w:t xml:space="preserve">Nueva </w:t>
      </w:r>
      <w:proofErr w:type="spellStart"/>
      <w:r>
        <w:rPr>
          <w:b/>
          <w:bCs/>
          <w:color w:val="FFFFFF"/>
        </w:rPr>
        <w:t>Zelanda</w:t>
      </w:r>
      <w:proofErr w:type="spellEnd"/>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D77519" w14:paraId="57C3A344" w14:textId="77777777" w:rsidTr="00E53ABB">
        <w:trPr>
          <w:jc w:val="center"/>
        </w:trPr>
        <w:tc>
          <w:tcPr>
            <w:tcW w:w="9029" w:type="dxa"/>
            <w:shd w:val="clear" w:color="auto" w:fill="C6D9F1"/>
          </w:tcPr>
          <w:p w14:paraId="383EAEC6" w14:textId="7090E591" w:rsidR="00374E8C" w:rsidRPr="00D77519" w:rsidRDefault="00374E8C" w:rsidP="00374E8C">
            <w:pPr>
              <w:keepNext/>
              <w:spacing w:after="120"/>
              <w:ind w:left="86" w:right="86"/>
              <w:rPr>
                <w:b/>
                <w:bCs/>
                <w:lang w:val="es-ES"/>
              </w:rPr>
            </w:pPr>
            <w:r w:rsidRPr="00D77519">
              <w:rPr>
                <w:b/>
                <w:bCs/>
                <w:lang w:val="es-ES"/>
              </w:rPr>
              <w:t>La sección titulada “Otras cláusulas contractuales” se complementa con lo siguiente:</w:t>
            </w:r>
          </w:p>
        </w:tc>
      </w:tr>
    </w:tbl>
    <w:p w14:paraId="075B5088" w14:textId="2B038510" w:rsidR="00374E8C" w:rsidRPr="004D7362" w:rsidRDefault="0089029D" w:rsidP="00374E8C">
      <w:pPr>
        <w:ind w:left="1080" w:hanging="360"/>
      </w:pPr>
      <w:r>
        <w:rPr>
          <w:b/>
          <w:bCs/>
        </w:rPr>
        <w:t>o.</w:t>
      </w:r>
      <w:r>
        <w:rPr>
          <w:b/>
          <w:bCs/>
        </w:rPr>
        <w:tab/>
        <w:t>Responsabilidad legal.</w:t>
      </w:r>
    </w:p>
    <w:p w14:paraId="552D294D" w14:textId="473F404B" w:rsidR="00374E8C" w:rsidRPr="007447EB" w:rsidRDefault="00374E8C" w:rsidP="00374E8C">
      <w:pPr>
        <w:pStyle w:val="ListParagraph"/>
        <w:numPr>
          <w:ilvl w:val="0"/>
          <w:numId w:val="27"/>
        </w:numPr>
        <w:ind w:left="1440"/>
        <w:contextualSpacing w:val="0"/>
        <w:rPr>
          <w:lang w:val="es-ES"/>
        </w:rPr>
      </w:pPr>
      <w:r w:rsidRPr="007447EB">
        <w:rPr>
          <w:b/>
          <w:bCs/>
          <w:lang w:val="es-ES"/>
        </w:rPr>
        <w:t>Empresas.</w:t>
      </w:r>
      <w:r w:rsidR="00436852" w:rsidRPr="007447EB">
        <w:rPr>
          <w:b/>
          <w:bCs/>
          <w:lang w:val="es-ES"/>
        </w:rPr>
        <w:t xml:space="preserve"> </w:t>
      </w:r>
      <w:r w:rsidRPr="007447EB">
        <w:rPr>
          <w:bCs/>
          <w:lang w:val="es-ES"/>
        </w:rPr>
        <w:t>Cuando Microsoft actúe como proveedor (tal y como se define este término en la Ley de Garantías del Consumidor de 1993, en adelante, “CGA”) de los Productos o Servicios Profesionales, el Cliente confirma que los Productos o Servicios Profesionales suministrados por Microsoft en virtud de cualesquiera Contratos Complementarios o Declaraciones de Servicios se adquieren para fines de un negocio (tal y como se define este término en la CGA) y reconoce que la CGA no se aplica a los Productos o Servicios Profesionales suministrados por Microsoft.</w:t>
      </w:r>
    </w:p>
    <w:p w14:paraId="40965C25" w14:textId="66B9B478" w:rsidR="00374E8C" w:rsidRPr="007447EB" w:rsidRDefault="00374E8C" w:rsidP="00374E8C">
      <w:pPr>
        <w:pStyle w:val="ListParagraph"/>
        <w:numPr>
          <w:ilvl w:val="0"/>
          <w:numId w:val="27"/>
        </w:numPr>
        <w:ind w:left="1440"/>
        <w:contextualSpacing w:val="0"/>
        <w:rPr>
          <w:lang w:val="es-ES"/>
        </w:rPr>
      </w:pPr>
      <w:r w:rsidRPr="007447EB">
        <w:rPr>
          <w:b/>
          <w:bCs/>
          <w:lang w:val="es-ES"/>
        </w:rPr>
        <w:t>Consumidores.</w:t>
      </w:r>
      <w:r w:rsidR="00436852" w:rsidRPr="007447EB">
        <w:rPr>
          <w:b/>
          <w:bCs/>
          <w:lang w:val="es-ES"/>
        </w:rPr>
        <w:t xml:space="preserve"> </w:t>
      </w:r>
      <w:r w:rsidRPr="007447EB">
        <w:rPr>
          <w:bCs/>
          <w:lang w:val="es-ES"/>
        </w:rPr>
        <w:t>Nada de lo previsto en el presente contrato (ni en ningún Contrato Complementario o Documento de Servicios que incorpore estos términos) debe interpretarse como una limitación de los derechos de un “consumidor” (“</w:t>
      </w:r>
      <w:proofErr w:type="spellStart"/>
      <w:r w:rsidRPr="007447EB">
        <w:rPr>
          <w:bCs/>
          <w:lang w:val="es-ES"/>
        </w:rPr>
        <w:t>consumer</w:t>
      </w:r>
      <w:proofErr w:type="spellEnd"/>
      <w:r w:rsidRPr="007447EB">
        <w:rPr>
          <w:bCs/>
          <w:lang w:val="es-ES"/>
        </w:rPr>
        <w:t>”, de conformidad con la CGA, cuando dicha Ley sea aplicable), excepto en la medida en que la CGA lo permita, y los términos del presente contrato deben ser modificados en la medida necesaria para dar efecto a dicha pretensión.</w:t>
      </w:r>
    </w:p>
    <w:p w14:paraId="3D5A0F35" w14:textId="49345239" w:rsidR="00374E8C" w:rsidRPr="007447EB" w:rsidRDefault="00374E8C" w:rsidP="00404D8A">
      <w:pPr>
        <w:pStyle w:val="Heading1"/>
        <w:numPr>
          <w:ilvl w:val="0"/>
          <w:numId w:val="30"/>
        </w:numPr>
        <w:spacing w:after="0"/>
        <w:ind w:hanging="720"/>
        <w:rPr>
          <w:lang w:val="es-ES"/>
        </w:rPr>
      </w:pPr>
      <w:bookmarkStart w:id="1" w:name="_Toc261346424"/>
      <w:r w:rsidRPr="007447EB">
        <w:rPr>
          <w:rFonts w:cs="Arial"/>
          <w:lang w:val="es-ES"/>
        </w:rPr>
        <w:t>Estipulaciones específicas de cada país determinadas por la legislación aplicable.</w:t>
      </w:r>
      <w:bookmarkEnd w:id="1"/>
    </w:p>
    <w:p w14:paraId="3E12C8B3" w14:textId="66E2E9C8" w:rsidR="00374E8C" w:rsidRPr="007447EB" w:rsidRDefault="00374E8C" w:rsidP="00BE4F6E">
      <w:pPr>
        <w:rPr>
          <w:lang w:val="es-ES"/>
        </w:rPr>
      </w:pPr>
      <w:r w:rsidRPr="007447EB">
        <w:rPr>
          <w:lang w:val="es-ES"/>
        </w:rPr>
        <w:t>En el caso en que las leyes de una de las jurisdicciones citadas a continuación se apliquen por las condiciones del contrato o porque así lo determine un tribunal, las siguientes disposiciones específicas de cada país sustituirán las estipulaciones equivalentes anteriores o las complementarán de la forma siguiente:</w:t>
      </w:r>
    </w:p>
    <w:p w14:paraId="61910AFA" w14:textId="77777777" w:rsidR="00374E8C" w:rsidRPr="004D7362" w:rsidRDefault="00374E8C" w:rsidP="00BE4F6E">
      <w:pPr>
        <w:keepNext/>
        <w:shd w:val="clear" w:color="auto" w:fill="000000"/>
        <w:spacing w:after="120"/>
      </w:pPr>
      <w:r>
        <w:rPr>
          <w:b/>
          <w:bCs/>
          <w:color w:val="FFFFFF"/>
        </w:rPr>
        <w:t>Austria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7447EB" w14:paraId="1A98832C" w14:textId="77777777" w:rsidTr="00E53ABB">
        <w:trPr>
          <w:jc w:val="center"/>
        </w:trPr>
        <w:tc>
          <w:tcPr>
            <w:tcW w:w="9029" w:type="dxa"/>
            <w:shd w:val="clear" w:color="auto" w:fill="C6D9F1"/>
          </w:tcPr>
          <w:p w14:paraId="145EF98E" w14:textId="7F805B84" w:rsidR="00374E8C" w:rsidRPr="007447EB" w:rsidRDefault="00374E8C" w:rsidP="00BC2241">
            <w:pPr>
              <w:keepNext/>
              <w:spacing w:after="120"/>
              <w:ind w:left="86" w:right="86"/>
              <w:rPr>
                <w:b/>
                <w:bCs/>
                <w:lang w:val="es-ES"/>
              </w:rPr>
            </w:pPr>
            <w:r w:rsidRPr="007447EB">
              <w:rPr>
                <w:b/>
                <w:bCs/>
                <w:lang w:val="es-ES"/>
              </w:rPr>
              <w:t>Se complementa la sección titulada “Garantías” con lo siguiente:</w:t>
            </w:r>
          </w:p>
        </w:tc>
      </w:tr>
    </w:tbl>
    <w:p w14:paraId="67ECE681" w14:textId="171CC370" w:rsidR="00374E8C" w:rsidRPr="007447EB" w:rsidRDefault="00374E8C" w:rsidP="002052C3">
      <w:pPr>
        <w:pStyle w:val="ListParagraph"/>
        <w:numPr>
          <w:ilvl w:val="0"/>
          <w:numId w:val="53"/>
        </w:numPr>
        <w:ind w:left="1080"/>
        <w:rPr>
          <w:lang w:val="es-ES"/>
        </w:rPr>
      </w:pPr>
      <w:r w:rsidRPr="007447EB">
        <w:rPr>
          <w:b/>
          <w:bCs/>
          <w:lang w:val="es-ES"/>
        </w:rPr>
        <w:t>Características acordadas. Reclamaciones que se originen en Defectos de calidad y de titularidad.</w:t>
      </w:r>
      <w:r w:rsidR="00436852" w:rsidRPr="007447EB">
        <w:rPr>
          <w:lang w:val="es-ES"/>
        </w:rPr>
        <w:t xml:space="preserve"> </w:t>
      </w:r>
      <w:r w:rsidRPr="007447EB">
        <w:rPr>
          <w:lang w:val="es-ES"/>
        </w:rPr>
        <w:t>En la medida en que Microsoft deba suministrar al Cliente un bien mueble que aún no haya sido producido (</w:t>
      </w:r>
      <w:proofErr w:type="spellStart"/>
      <w:r w:rsidRPr="007447EB">
        <w:rPr>
          <w:lang w:val="es-ES"/>
        </w:rPr>
        <w:t>herzustellende</w:t>
      </w:r>
      <w:proofErr w:type="spellEnd"/>
      <w:r w:rsidRPr="007447EB">
        <w:rPr>
          <w:lang w:val="es-ES"/>
        </w:rPr>
        <w:t xml:space="preserve">, </w:t>
      </w:r>
      <w:proofErr w:type="spellStart"/>
      <w:r w:rsidRPr="007447EB">
        <w:rPr>
          <w:lang w:val="es-ES"/>
        </w:rPr>
        <w:t>bewegliche</w:t>
      </w:r>
      <w:proofErr w:type="spellEnd"/>
      <w:r w:rsidRPr="007447EB">
        <w:rPr>
          <w:lang w:val="es-ES"/>
        </w:rPr>
        <w:t xml:space="preserve"> Sache) o en la medida en que los Servicios Profesionales de Microsoft sean, de forma excepcional, considerados ejecuciones de obras (</w:t>
      </w:r>
      <w:proofErr w:type="spellStart"/>
      <w:r w:rsidRPr="007447EB">
        <w:rPr>
          <w:lang w:val="es-ES"/>
        </w:rPr>
        <w:t>Werkleistungen</w:t>
      </w:r>
      <w:proofErr w:type="spellEnd"/>
      <w:r w:rsidRPr="007447EB">
        <w:rPr>
          <w:lang w:val="es-ES"/>
        </w:rPr>
        <w:t>), serán de aplicación a las reclamaciones derivadas de defectos en la calidad o en la titularidad (conjuntamente denominados “Defectos”) las disposiciones de la d. a la i. de esta cláusula. No obstante, dichas disposiciones no serán de aplicación cuando las reclamaciones se refieran a daños y perjuicios o al reembolso de gastos. En el caso de reclamaciones por daños o gastos que sean producto de Defectos, se aplicarán las disposiciones contenidas en la cláusula “Limitación de la responsabilidad”.</w:t>
      </w:r>
    </w:p>
    <w:p w14:paraId="0653D38F" w14:textId="35DF6B5C" w:rsidR="00374E8C" w:rsidRPr="007447EB" w:rsidRDefault="00374E8C" w:rsidP="002052C3">
      <w:pPr>
        <w:pStyle w:val="ListParagraph"/>
        <w:numPr>
          <w:ilvl w:val="0"/>
          <w:numId w:val="53"/>
        </w:numPr>
        <w:ind w:left="1080"/>
        <w:contextualSpacing w:val="0"/>
        <w:rPr>
          <w:lang w:val="es-ES"/>
        </w:rPr>
      </w:pPr>
      <w:r w:rsidRPr="00D77519">
        <w:rPr>
          <w:b/>
          <w:bCs/>
          <w:lang w:val="es-ES"/>
        </w:rPr>
        <w:t>Garantía en caso de no revelación deliberada de un Defecto.</w:t>
      </w:r>
      <w:r w:rsidR="00436852" w:rsidRPr="00D77519">
        <w:rPr>
          <w:lang w:val="es-ES"/>
        </w:rPr>
        <w:t xml:space="preserve"> </w:t>
      </w:r>
      <w:r w:rsidRPr="007447EB">
        <w:rPr>
          <w:lang w:val="es-ES"/>
        </w:rPr>
        <w:t>En el caso de no revelación deliberada de un Defecto (</w:t>
      </w:r>
      <w:proofErr w:type="spellStart"/>
      <w:r w:rsidRPr="007447EB">
        <w:rPr>
          <w:lang w:val="es-ES"/>
        </w:rPr>
        <w:t>arglistiges</w:t>
      </w:r>
      <w:proofErr w:type="spellEnd"/>
      <w:r w:rsidRPr="007447EB">
        <w:rPr>
          <w:lang w:val="es-ES"/>
        </w:rPr>
        <w:t xml:space="preserve"> </w:t>
      </w:r>
      <w:proofErr w:type="spellStart"/>
      <w:r w:rsidRPr="007447EB">
        <w:rPr>
          <w:lang w:val="es-ES"/>
        </w:rPr>
        <w:t>Verschweigen</w:t>
      </w:r>
      <w:proofErr w:type="spellEnd"/>
      <w:r w:rsidRPr="007447EB">
        <w:rPr>
          <w:lang w:val="es-ES"/>
        </w:rPr>
        <w:t>), los derechos del Cliente y su expiración se determinarán exclusivamente de acuerdo con la legislación aplicable.</w:t>
      </w:r>
    </w:p>
    <w:p w14:paraId="58E7CF9E" w14:textId="78F331F1" w:rsidR="00374E8C" w:rsidRPr="007447EB" w:rsidRDefault="00374E8C" w:rsidP="002052C3">
      <w:pPr>
        <w:pStyle w:val="ListParagraph"/>
        <w:numPr>
          <w:ilvl w:val="0"/>
          <w:numId w:val="53"/>
        </w:numPr>
        <w:ind w:left="1080"/>
        <w:contextualSpacing w:val="0"/>
        <w:rPr>
          <w:lang w:val="es-ES"/>
        </w:rPr>
      </w:pPr>
      <w:r w:rsidRPr="007447EB">
        <w:rPr>
          <w:b/>
          <w:bCs/>
          <w:lang w:val="es-ES"/>
        </w:rPr>
        <w:lastRenderedPageBreak/>
        <w:t>Características de Software Especificadas.</w:t>
      </w:r>
      <w:r w:rsidR="00436852" w:rsidRPr="007447EB">
        <w:rPr>
          <w:lang w:val="es-ES"/>
        </w:rPr>
        <w:t xml:space="preserve"> </w:t>
      </w:r>
      <w:r w:rsidRPr="007447EB">
        <w:rPr>
          <w:lang w:val="es-ES"/>
        </w:rPr>
        <w:t>Microsoft notifica expresamente al Cliente que, conforme al estado actual de la tecnología, no es posible desarrollar productos complejos de software que estén totalmente libres de defectos técnicos. Las características especificadas por contrato (</w:t>
      </w:r>
      <w:proofErr w:type="spellStart"/>
      <w:r w:rsidRPr="007447EB">
        <w:rPr>
          <w:lang w:val="es-ES"/>
        </w:rPr>
        <w:t>vertragliche</w:t>
      </w:r>
      <w:proofErr w:type="spellEnd"/>
      <w:r w:rsidRPr="007447EB">
        <w:rPr>
          <w:lang w:val="es-ES"/>
        </w:rPr>
        <w:t xml:space="preserve"> </w:t>
      </w:r>
      <w:proofErr w:type="spellStart"/>
      <w:r w:rsidRPr="007447EB">
        <w:rPr>
          <w:lang w:val="es-ES"/>
        </w:rPr>
        <w:t>Beschaffenheit</w:t>
      </w:r>
      <w:proofErr w:type="spellEnd"/>
      <w:r w:rsidRPr="007447EB">
        <w:rPr>
          <w:lang w:val="es-ES"/>
        </w:rPr>
        <w:t>) para el software que Microsoft debe proveer no exigen que dicho software esté totalmente libre de errores de programación, sino sólo que esté libre de errores de programación que afecten de forma sustancial a su uso.</w:t>
      </w:r>
    </w:p>
    <w:p w14:paraId="5014C2DB" w14:textId="3833B722" w:rsidR="00374E8C" w:rsidRPr="007447EB" w:rsidRDefault="00374E8C" w:rsidP="002052C3">
      <w:pPr>
        <w:pStyle w:val="ListParagraph"/>
        <w:numPr>
          <w:ilvl w:val="0"/>
          <w:numId w:val="53"/>
        </w:numPr>
        <w:ind w:left="1080"/>
        <w:contextualSpacing w:val="0"/>
        <w:rPr>
          <w:lang w:val="es-ES"/>
        </w:rPr>
      </w:pPr>
      <w:r w:rsidRPr="007447EB">
        <w:rPr>
          <w:b/>
          <w:bCs/>
          <w:lang w:val="es-ES"/>
        </w:rPr>
        <w:t>Obligación de notificar por escrito cualquier Defecto.</w:t>
      </w:r>
      <w:r w:rsidR="00436852" w:rsidRPr="007447EB">
        <w:rPr>
          <w:lang w:val="es-ES"/>
        </w:rPr>
        <w:t xml:space="preserve"> </w:t>
      </w:r>
      <w:r w:rsidRPr="007447EB">
        <w:rPr>
          <w:lang w:val="es-ES"/>
        </w:rPr>
        <w:t>En la medida en que se requiera que Microsoft suministre un bien mueble que todavía se tenga que producir, el Cliente sólo podrá presentar una reclamación contra Microsoft si el Cliente ha cumplido adecuadamente con su obligación de notificar a Microsoft todos los Defectos, de acuerdo con el artículo 377 del Código de Comercio Austriaco (UGB).</w:t>
      </w:r>
      <w:r w:rsidR="00436852" w:rsidRPr="007447EB">
        <w:rPr>
          <w:lang w:val="es-ES"/>
        </w:rPr>
        <w:t xml:space="preserve"> </w:t>
      </w:r>
      <w:r w:rsidRPr="007447EB">
        <w:rPr>
          <w:lang w:val="es-ES"/>
        </w:rPr>
        <w:t>El Cliente debe notificar por escrito a Microsoft y de forma inmediata, o en todo caso dentro de las dos semanas siguientes a la entrega, cualquier Defecto aparente que el Cliente haya descubierto durante el examen realizado por el Cliente conforme al artículo 377 del Código de Comercio Austriaco (UGB). El Cliente debe notificar por escrito a Microsoft cualquier Defecto oculto inmediatamente después de su descubrimiento.</w:t>
      </w:r>
    </w:p>
    <w:p w14:paraId="478418F6" w14:textId="703279E1" w:rsidR="00374E8C" w:rsidRPr="007447EB" w:rsidRDefault="00374E8C" w:rsidP="002052C3">
      <w:pPr>
        <w:pStyle w:val="ListParagraph"/>
        <w:numPr>
          <w:ilvl w:val="0"/>
          <w:numId w:val="53"/>
        </w:numPr>
        <w:ind w:left="1080"/>
        <w:contextualSpacing w:val="0"/>
        <w:rPr>
          <w:lang w:val="es-ES"/>
        </w:rPr>
      </w:pPr>
      <w:r w:rsidRPr="007447EB">
        <w:rPr>
          <w:b/>
          <w:bCs/>
          <w:lang w:val="es-ES"/>
        </w:rPr>
        <w:t>Reembolso por Defectos no cubiertos por la garantía limitada.</w:t>
      </w:r>
      <w:r w:rsidR="00436852" w:rsidRPr="007447EB">
        <w:rPr>
          <w:lang w:val="es-ES"/>
        </w:rPr>
        <w:t xml:space="preserve"> </w:t>
      </w:r>
      <w:r w:rsidRPr="007447EB">
        <w:rPr>
          <w:lang w:val="es-ES"/>
        </w:rPr>
        <w:t>En caso que Microsoft demuestre que no existía ningún Defecto del cual Microsoft fuera responsable conforme a esta cláusula, Microsoft tendrá el derecho de exigir, de acuerdo con las tarifas normales que cobre Microsoft, el reembolso de los gastos, en que incurrió en su esfuerzo por corregir los Defectos.</w:t>
      </w:r>
    </w:p>
    <w:p w14:paraId="31BE6132" w14:textId="0904F0DC" w:rsidR="00374E8C" w:rsidRPr="007447EB" w:rsidRDefault="00374E8C" w:rsidP="002052C3">
      <w:pPr>
        <w:pStyle w:val="ListParagraph"/>
        <w:numPr>
          <w:ilvl w:val="0"/>
          <w:numId w:val="53"/>
        </w:numPr>
        <w:spacing w:after="240"/>
        <w:ind w:left="1080"/>
        <w:contextualSpacing w:val="0"/>
        <w:rPr>
          <w:lang w:val="es-ES"/>
        </w:rPr>
      </w:pPr>
      <w:r w:rsidRPr="007447EB">
        <w:rPr>
          <w:b/>
          <w:bCs/>
          <w:lang w:val="es-ES"/>
        </w:rPr>
        <w:t>Ninguna garantía por Defectos causados por alteración.</w:t>
      </w:r>
      <w:r w:rsidR="00436852" w:rsidRPr="007447EB">
        <w:rPr>
          <w:lang w:val="es-ES"/>
        </w:rPr>
        <w:t xml:space="preserve"> </w:t>
      </w:r>
      <w:r w:rsidRPr="007447EB">
        <w:rPr>
          <w:lang w:val="es-ES"/>
        </w:rPr>
        <w:t>El Cliente no podrá presentar una reclamación bajo esta cláusula si el Cliente o un tercero han alterado el bien mueble suministrado que todavía se tenga que producir o la ejecución de un trabajo sin el consentimiento de Microsoft, a menos que el Cliente pueda demostrar que el Defecto en cuestión no fue causado por dicha alteración.</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7447EB" w14:paraId="708FA4EE" w14:textId="77777777" w:rsidTr="00E53ABB">
        <w:trPr>
          <w:jc w:val="center"/>
        </w:trPr>
        <w:tc>
          <w:tcPr>
            <w:tcW w:w="9029" w:type="dxa"/>
            <w:shd w:val="clear" w:color="auto" w:fill="C6D9F1"/>
          </w:tcPr>
          <w:p w14:paraId="6FA38E1B" w14:textId="000EA1A9" w:rsidR="00374E8C" w:rsidRPr="007447EB" w:rsidRDefault="00374E8C" w:rsidP="00BC2241">
            <w:pPr>
              <w:spacing w:after="120"/>
              <w:ind w:left="86" w:right="86"/>
              <w:rPr>
                <w:b/>
                <w:bCs/>
                <w:lang w:val="es-ES"/>
              </w:rPr>
            </w:pPr>
            <w:r w:rsidRPr="007447EB">
              <w:rPr>
                <w:b/>
                <w:bCs/>
                <w:lang w:val="es-ES"/>
              </w:rPr>
              <w:t>A los efectos de los Servicios Profesionales, la sección titulada “Limitación de la responsabilidad” se sustituye por lo siguiente:</w:t>
            </w:r>
          </w:p>
        </w:tc>
      </w:tr>
    </w:tbl>
    <w:p w14:paraId="51B739DE" w14:textId="0A5C1018" w:rsidR="00374E8C" w:rsidRPr="007447EB" w:rsidRDefault="00404D8A" w:rsidP="00BE4F6E">
      <w:pPr>
        <w:keepNext/>
        <w:ind w:left="720" w:hanging="720"/>
        <w:rPr>
          <w:lang w:val="es-ES"/>
        </w:rPr>
      </w:pPr>
      <w:r w:rsidRPr="007447EB">
        <w:rPr>
          <w:b/>
          <w:bCs/>
          <w:i/>
          <w:iCs/>
          <w:sz w:val="26"/>
          <w:szCs w:val="26"/>
          <w:lang w:val="es-ES"/>
        </w:rPr>
        <w:t>7.</w:t>
      </w:r>
      <w:r w:rsidRPr="007447EB">
        <w:rPr>
          <w:b/>
          <w:bCs/>
          <w:i/>
          <w:iCs/>
          <w:sz w:val="26"/>
          <w:szCs w:val="26"/>
          <w:lang w:val="es-ES"/>
        </w:rPr>
        <w:tab/>
        <w:t>Limitación de responsabilidad.</w:t>
      </w:r>
    </w:p>
    <w:p w14:paraId="7D33D9C7" w14:textId="77777777" w:rsidR="00374E8C" w:rsidRPr="007447EB" w:rsidRDefault="00374E8C" w:rsidP="00374E8C">
      <w:pPr>
        <w:rPr>
          <w:lang w:val="es-ES"/>
        </w:rPr>
      </w:pPr>
      <w:r w:rsidRPr="007447EB">
        <w:rPr>
          <w:lang w:val="es-ES"/>
        </w:rPr>
        <w:t>La responsabilidad de Microsoft por todos y cualesquiera daños y perjuicios en relación con la prestación de Servicios Profesionales, independientemente de que hayan sido causados por incumplimiento de contrato, Defectos o acto ilegal, queda limitada como sigue:</w:t>
      </w:r>
    </w:p>
    <w:p w14:paraId="4936A938" w14:textId="6DB2AF7A" w:rsidR="00374E8C" w:rsidRPr="007447EB" w:rsidRDefault="00374E8C" w:rsidP="00374E8C">
      <w:pPr>
        <w:ind w:left="1080" w:hanging="360"/>
        <w:rPr>
          <w:lang w:val="es-ES"/>
        </w:rPr>
      </w:pPr>
      <w:r w:rsidRPr="007447EB">
        <w:rPr>
          <w:b/>
          <w:bCs/>
          <w:lang w:val="es-ES"/>
        </w:rPr>
        <w:t>a.</w:t>
      </w:r>
      <w:r w:rsidRPr="007447EB">
        <w:rPr>
          <w:b/>
          <w:bCs/>
          <w:lang w:val="es-ES"/>
        </w:rPr>
        <w:tab/>
        <w:t xml:space="preserve">Responsabilidad en caso de intención, negligencia grave </w:t>
      </w:r>
      <w:r w:rsidR="006D6499" w:rsidRPr="007447EB">
        <w:rPr>
          <w:b/>
          <w:bCs/>
          <w:lang w:val="es-ES"/>
        </w:rPr>
        <w:t>“</w:t>
      </w:r>
      <w:r w:rsidRPr="007447EB">
        <w:rPr>
          <w:b/>
          <w:bCs/>
          <w:lang w:val="es-ES"/>
        </w:rPr>
        <w:t>severa</w:t>
      </w:r>
      <w:r w:rsidR="006D6499" w:rsidRPr="007447EB">
        <w:rPr>
          <w:b/>
          <w:bCs/>
          <w:lang w:val="es-ES"/>
        </w:rPr>
        <w:t>”</w:t>
      </w:r>
      <w:r w:rsidRPr="007447EB">
        <w:rPr>
          <w:b/>
          <w:bCs/>
          <w:lang w:val="es-ES"/>
        </w:rPr>
        <w:t>, responsabilidad por el producto, no revelación deliberada y reclamaciones por daños a la vida, al cuerpo o a la salud.</w:t>
      </w:r>
      <w:r w:rsidR="00436852" w:rsidRPr="007447EB">
        <w:rPr>
          <w:lang w:val="es-ES"/>
        </w:rPr>
        <w:t xml:space="preserve"> </w:t>
      </w:r>
      <w:r w:rsidRPr="007447EB">
        <w:rPr>
          <w:lang w:val="es-ES"/>
        </w:rPr>
        <w:t xml:space="preserve">En caso de actos cometidos con intención o </w:t>
      </w:r>
      <w:r w:rsidRPr="007447EB">
        <w:rPr>
          <w:bCs/>
          <w:lang w:val="es-ES"/>
        </w:rPr>
        <w:t xml:space="preserve">negligencia grave </w:t>
      </w:r>
      <w:r w:rsidR="006D6499" w:rsidRPr="007447EB">
        <w:rPr>
          <w:bCs/>
          <w:lang w:val="es-ES"/>
        </w:rPr>
        <w:t>“</w:t>
      </w:r>
      <w:r w:rsidRPr="007447EB">
        <w:rPr>
          <w:bCs/>
          <w:lang w:val="es-ES"/>
        </w:rPr>
        <w:t>severa</w:t>
      </w:r>
      <w:r w:rsidR="006D6499" w:rsidRPr="007447EB">
        <w:rPr>
          <w:bCs/>
          <w:lang w:val="es-ES"/>
        </w:rPr>
        <w:t>”</w:t>
      </w:r>
      <w:r w:rsidRPr="007447EB">
        <w:rPr>
          <w:lang w:val="es-ES"/>
        </w:rPr>
        <w:t>, reclamaciones presentadas bajo la Ley de Responsabilidad por Productos, no revelación deliberada de un Defecto, así como reclamaciones por daños a la vida, al cuerpo o a la salud, la responsabilidad de Microsoft se determinará exclusivamente de acuerdo con la legislación aplicable.</w:t>
      </w:r>
    </w:p>
    <w:p w14:paraId="5106A1FC" w14:textId="1FF7EB4E" w:rsidR="00374E8C" w:rsidRPr="007447EB" w:rsidRDefault="00374E8C" w:rsidP="00374E8C">
      <w:pPr>
        <w:ind w:left="1080" w:hanging="360"/>
        <w:rPr>
          <w:lang w:val="es-ES"/>
        </w:rPr>
      </w:pPr>
      <w:r w:rsidRPr="007447EB">
        <w:rPr>
          <w:b/>
          <w:bCs/>
          <w:lang w:val="es-ES"/>
        </w:rPr>
        <w:t>b.</w:t>
      </w:r>
      <w:r w:rsidRPr="007447EB">
        <w:rPr>
          <w:b/>
          <w:bCs/>
          <w:lang w:val="es-ES"/>
        </w:rPr>
        <w:tab/>
        <w:t xml:space="preserve">Limitación en caso de negligencia grave </w:t>
      </w:r>
      <w:r w:rsidR="006D6499" w:rsidRPr="007447EB">
        <w:rPr>
          <w:b/>
          <w:bCs/>
          <w:lang w:val="es-ES"/>
        </w:rPr>
        <w:t>“</w:t>
      </w:r>
      <w:r w:rsidRPr="007447EB">
        <w:rPr>
          <w:b/>
          <w:bCs/>
          <w:lang w:val="es-ES"/>
        </w:rPr>
        <w:t>simple</w:t>
      </w:r>
      <w:r w:rsidR="006D6499" w:rsidRPr="007447EB">
        <w:rPr>
          <w:b/>
          <w:bCs/>
          <w:lang w:val="es-ES"/>
        </w:rPr>
        <w:t>”</w:t>
      </w:r>
      <w:r w:rsidRPr="007447EB">
        <w:rPr>
          <w:b/>
          <w:bCs/>
          <w:lang w:val="es-ES"/>
        </w:rPr>
        <w:t>.</w:t>
      </w:r>
      <w:r w:rsidR="00436852" w:rsidRPr="007447EB">
        <w:rPr>
          <w:lang w:val="es-ES"/>
        </w:rPr>
        <w:t xml:space="preserve"> </w:t>
      </w:r>
      <w:r w:rsidRPr="007447EB">
        <w:rPr>
          <w:lang w:val="es-ES"/>
        </w:rPr>
        <w:t xml:space="preserve">En caso de negligencia grave </w:t>
      </w:r>
      <w:r w:rsidR="006D6499" w:rsidRPr="007447EB">
        <w:rPr>
          <w:lang w:val="es-ES"/>
        </w:rPr>
        <w:t>“</w:t>
      </w:r>
      <w:r w:rsidRPr="007447EB">
        <w:rPr>
          <w:lang w:val="es-ES"/>
        </w:rPr>
        <w:t>simple</w:t>
      </w:r>
      <w:r w:rsidR="006D6499" w:rsidRPr="007447EB">
        <w:rPr>
          <w:lang w:val="es-ES"/>
        </w:rPr>
        <w:t>”</w:t>
      </w:r>
      <w:r w:rsidRPr="007447EB">
        <w:rPr>
          <w:lang w:val="es-ES"/>
        </w:rPr>
        <w:t>, la responsabilidad de Microsoft se limitará al reembolso de los daños y perjuicios previsibles típicos, hasta el máximo correspondiente al importe de la contraprestación del Cliente por los Servicios Profesionales que no se han prestado debidamente; o bien, en caso de que se vean afectados varios Servicios Profesionales, hasta el máximo correspondiente a su importe total.</w:t>
      </w:r>
      <w:r w:rsidR="00436852" w:rsidRPr="007447EB">
        <w:rPr>
          <w:lang w:val="es-ES"/>
        </w:rPr>
        <w:t xml:space="preserve"> </w:t>
      </w:r>
      <w:r w:rsidRPr="007447EB">
        <w:rPr>
          <w:lang w:val="es-ES"/>
        </w:rPr>
        <w:t>En caso de que los Servicios Profesionales se presten al Cliente gratuitamente, la responsabilidad total de Microsoft ante el Cliente no superará los 5.000 dólares estadounidenses o su equivalente en la moneda local.</w:t>
      </w:r>
    </w:p>
    <w:p w14:paraId="068115D2" w14:textId="64ACF3E4" w:rsidR="00374E8C" w:rsidRPr="007447EB" w:rsidRDefault="00374E8C" w:rsidP="00374E8C">
      <w:pPr>
        <w:ind w:left="1080"/>
        <w:rPr>
          <w:lang w:val="es-ES"/>
        </w:rPr>
      </w:pPr>
      <w:r w:rsidRPr="007447EB">
        <w:rPr>
          <w:lang w:val="es-ES"/>
        </w:rPr>
        <w:t xml:space="preserve">En caso de negligencia grave </w:t>
      </w:r>
      <w:r w:rsidR="006D6499" w:rsidRPr="007447EB">
        <w:rPr>
          <w:lang w:val="es-ES"/>
        </w:rPr>
        <w:t>“</w:t>
      </w:r>
      <w:r w:rsidRPr="007447EB">
        <w:rPr>
          <w:lang w:val="es-ES"/>
        </w:rPr>
        <w:t>simple</w:t>
      </w:r>
      <w:r w:rsidR="006D6499" w:rsidRPr="007447EB">
        <w:rPr>
          <w:lang w:val="es-ES"/>
        </w:rPr>
        <w:t>”</w:t>
      </w:r>
      <w:r w:rsidRPr="007447EB">
        <w:rPr>
          <w:lang w:val="es-ES"/>
        </w:rPr>
        <w:t xml:space="preserve">, Microsoft, bajo ninguna circunstancia, será responsable por pérdida incidental o daños consecuenciales (incluidas, pero no limitadas a la pérdida de beneficios esperados, la pérdida de fondo de comercio, pérdida de datos, pérdida como resultado de la suspensión de negocios o pérdidas similares) derivados de </w:t>
      </w:r>
      <w:r w:rsidRPr="007447EB">
        <w:rPr>
          <w:lang w:val="es-ES"/>
        </w:rPr>
        <w:lastRenderedPageBreak/>
        <w:t xml:space="preserve">o en relación con cualquier Documento de Servicios, Entregables, </w:t>
      </w:r>
      <w:proofErr w:type="spellStart"/>
      <w:r w:rsidRPr="007447EB">
        <w:rPr>
          <w:lang w:val="es-ES"/>
        </w:rPr>
        <w:t>Fixes</w:t>
      </w:r>
      <w:proofErr w:type="spellEnd"/>
      <w:r w:rsidRPr="007447EB">
        <w:rPr>
          <w:lang w:val="es-ES"/>
        </w:rPr>
        <w:t>, Productos u otros materiales o información.</w:t>
      </w:r>
    </w:p>
    <w:p w14:paraId="212EC187" w14:textId="38F57002" w:rsidR="00374E8C" w:rsidRPr="007447EB" w:rsidRDefault="00374E8C" w:rsidP="00374E8C">
      <w:pPr>
        <w:ind w:left="1080" w:hanging="360"/>
        <w:rPr>
          <w:lang w:val="es-ES"/>
        </w:rPr>
      </w:pPr>
      <w:r w:rsidRPr="007447EB">
        <w:rPr>
          <w:b/>
          <w:bCs/>
          <w:lang w:val="es-ES"/>
        </w:rPr>
        <w:t>c.</w:t>
      </w:r>
      <w:r w:rsidRPr="007447EB">
        <w:rPr>
          <w:b/>
          <w:bCs/>
          <w:lang w:val="es-ES"/>
        </w:rPr>
        <w:tab/>
        <w:t>Prueba de intención o negligencia grave.</w:t>
      </w:r>
      <w:r w:rsidR="00436852" w:rsidRPr="007447EB">
        <w:rPr>
          <w:lang w:val="es-ES"/>
        </w:rPr>
        <w:t xml:space="preserve"> </w:t>
      </w:r>
      <w:r w:rsidRPr="007447EB">
        <w:rPr>
          <w:lang w:val="es-ES"/>
        </w:rPr>
        <w:t>El Cliente deberá demostrar la existencia de intención o negligencia grave.</w:t>
      </w:r>
    </w:p>
    <w:p w14:paraId="19C32047" w14:textId="5DF275DB" w:rsidR="00374E8C" w:rsidRPr="007447EB" w:rsidRDefault="00374E8C" w:rsidP="00374E8C">
      <w:pPr>
        <w:ind w:left="1080" w:hanging="360"/>
        <w:rPr>
          <w:lang w:val="es-ES"/>
        </w:rPr>
      </w:pPr>
      <w:r w:rsidRPr="007447EB">
        <w:rPr>
          <w:b/>
          <w:bCs/>
          <w:lang w:val="es-ES"/>
        </w:rPr>
        <w:t>d.</w:t>
      </w:r>
      <w:r w:rsidRPr="007447EB">
        <w:rPr>
          <w:b/>
          <w:bCs/>
          <w:lang w:val="es-ES"/>
        </w:rPr>
        <w:tab/>
        <w:t>Limitación en caso de negligencia leve.</w:t>
      </w:r>
      <w:r w:rsidR="00436852" w:rsidRPr="007447EB">
        <w:rPr>
          <w:lang w:val="es-ES"/>
        </w:rPr>
        <w:t xml:space="preserve"> </w:t>
      </w:r>
      <w:r w:rsidRPr="007447EB">
        <w:rPr>
          <w:lang w:val="es-ES"/>
        </w:rPr>
        <w:t>Queda excluida la responsabilidad de Microsoft por negligencia leve.</w:t>
      </w:r>
    </w:p>
    <w:p w14:paraId="6DB9FB2A" w14:textId="53FBD263" w:rsidR="00374E8C" w:rsidRPr="007447EB" w:rsidRDefault="00374E8C" w:rsidP="00374E8C">
      <w:pPr>
        <w:ind w:left="1080" w:hanging="360"/>
        <w:rPr>
          <w:lang w:val="es-ES"/>
        </w:rPr>
      </w:pPr>
      <w:r w:rsidRPr="007447EB">
        <w:rPr>
          <w:b/>
          <w:bCs/>
          <w:lang w:val="es-ES"/>
        </w:rPr>
        <w:t>e.</w:t>
      </w:r>
      <w:r w:rsidRPr="007447EB">
        <w:rPr>
          <w:b/>
          <w:bCs/>
          <w:lang w:val="es-ES"/>
        </w:rPr>
        <w:tab/>
        <w:t>Responsabilidad por la pérdida de datos y gastos de recuperación.</w:t>
      </w:r>
      <w:r w:rsidR="00436852" w:rsidRPr="007447EB">
        <w:rPr>
          <w:lang w:val="es-ES"/>
        </w:rPr>
        <w:t xml:space="preserve"> </w:t>
      </w:r>
      <w:r w:rsidRPr="007447EB">
        <w:rPr>
          <w:lang w:val="es-ES"/>
        </w:rPr>
        <w:t>El Cliente está obligado a proteger todos y cada uno de los datos y programas antes del compromiso con Microsoft. Microsoft, bajo ninguna circunstancia, será responsable por la pérdida de datos o programas o por los gastos incurridos en la recuperación de éstos, en la medida que esta situación se podría haber evitado si se hubiera cumplido esta obligación. Además, Microsoft parte de la suposición de que el software estándar no ha sido alterado ni modificado, a menos que el Cliente haya señalado esas alteraciones o modificaciones de forma detallada y por escrito antes del compromiso con Microsoft.</w:t>
      </w:r>
    </w:p>
    <w:p w14:paraId="12E55D04" w14:textId="62D64803" w:rsidR="00374E8C" w:rsidRPr="007447EB" w:rsidRDefault="00374E8C" w:rsidP="00374E8C">
      <w:pPr>
        <w:ind w:left="1080" w:hanging="360"/>
        <w:rPr>
          <w:lang w:val="es-ES"/>
        </w:rPr>
      </w:pPr>
      <w:r w:rsidRPr="00D77519">
        <w:rPr>
          <w:b/>
          <w:bCs/>
          <w:lang w:val="es-ES"/>
        </w:rPr>
        <w:t>f.</w:t>
      </w:r>
      <w:r w:rsidRPr="00D77519">
        <w:rPr>
          <w:b/>
          <w:bCs/>
          <w:lang w:val="es-ES"/>
        </w:rPr>
        <w:tab/>
        <w:t>Período limitado para reclamaciones por responsabilidad.</w:t>
      </w:r>
      <w:r w:rsidR="00436852" w:rsidRPr="00D77519">
        <w:rPr>
          <w:lang w:val="es-ES"/>
        </w:rPr>
        <w:t xml:space="preserve"> </w:t>
      </w:r>
      <w:r w:rsidRPr="00D77519">
        <w:rPr>
          <w:lang w:val="es-ES"/>
        </w:rPr>
        <w:t>Toda reclamación por daños derivada de Defectos expirará en el plazo de un año.</w:t>
      </w:r>
      <w:r w:rsidR="00436852" w:rsidRPr="00D77519">
        <w:rPr>
          <w:lang w:val="es-ES"/>
        </w:rPr>
        <w:t xml:space="preserve"> </w:t>
      </w:r>
      <w:r w:rsidRPr="007447EB">
        <w:rPr>
          <w:lang w:val="es-ES"/>
        </w:rPr>
        <w:t>Para las ejecuciones de un trabajo, el período de limitación comenzará en la fecha de aceptación (</w:t>
      </w:r>
      <w:proofErr w:type="spellStart"/>
      <w:r w:rsidRPr="007447EB">
        <w:rPr>
          <w:lang w:val="es-ES"/>
        </w:rPr>
        <w:t>Abnahme</w:t>
      </w:r>
      <w:proofErr w:type="spellEnd"/>
      <w:r w:rsidRPr="007447EB">
        <w:rPr>
          <w:lang w:val="es-ES"/>
        </w:rPr>
        <w:t>).</w:t>
      </w:r>
    </w:p>
    <w:p w14:paraId="042E2585" w14:textId="77777777" w:rsidR="00374E8C" w:rsidRPr="007447EB" w:rsidRDefault="00374E8C" w:rsidP="00374E8C">
      <w:pPr>
        <w:ind w:left="1080"/>
        <w:rPr>
          <w:lang w:val="es-ES"/>
        </w:rPr>
      </w:pPr>
      <w:r w:rsidRPr="007447EB">
        <w:rPr>
          <w:lang w:val="es-ES"/>
        </w:rPr>
        <w:t>Cualquier otra reclamación contra Microsoft por daños expirará dentro de los 2 años siguientes a la fecha en que se produjo la causa de la acción legal.</w:t>
      </w:r>
    </w:p>
    <w:p w14:paraId="7962023B" w14:textId="4C9E216B" w:rsidR="00374E8C" w:rsidRPr="004D7362" w:rsidRDefault="00374E8C" w:rsidP="00374E8C">
      <w:pPr>
        <w:ind w:left="1080"/>
      </w:pPr>
      <w:r w:rsidRPr="007447EB">
        <w:rPr>
          <w:lang w:val="es-ES"/>
        </w:rPr>
        <w:t xml:space="preserve">La disposición contenida en este subapartado titulado </w:t>
      </w:r>
      <w:r w:rsidR="006D6499" w:rsidRPr="007447EB">
        <w:rPr>
          <w:lang w:val="es-ES"/>
        </w:rPr>
        <w:t>“</w:t>
      </w:r>
      <w:r w:rsidRPr="007447EB">
        <w:rPr>
          <w:lang w:val="es-ES"/>
        </w:rPr>
        <w:t>Periodo limitado para reclamaciones por responsabilidad</w:t>
      </w:r>
      <w:r w:rsidR="006D6499" w:rsidRPr="007447EB">
        <w:rPr>
          <w:lang w:val="es-ES"/>
        </w:rPr>
        <w:t>”</w:t>
      </w:r>
      <w:r w:rsidRPr="007447EB">
        <w:rPr>
          <w:lang w:val="es-ES"/>
        </w:rPr>
        <w:t xml:space="preserve"> no se aplicará a los casos que se rigen por el subapartado titulado </w:t>
      </w:r>
      <w:r w:rsidR="006D6499" w:rsidRPr="007447EB">
        <w:rPr>
          <w:lang w:val="es-ES"/>
        </w:rPr>
        <w:t>“</w:t>
      </w:r>
      <w:r w:rsidRPr="007447EB">
        <w:rPr>
          <w:lang w:val="es-ES"/>
        </w:rPr>
        <w:t>Responsabilidad en caso de intención, responsabilidad por el producto, no revelación deliberada y reclamaciones por daños a la vida, al cuerpo o a la salud</w:t>
      </w:r>
      <w:r w:rsidR="006D6499" w:rsidRPr="007447EB">
        <w:rPr>
          <w:lang w:val="es-ES"/>
        </w:rPr>
        <w:t>”</w:t>
      </w:r>
      <w:r w:rsidRPr="007447EB">
        <w:rPr>
          <w:lang w:val="es-ES"/>
        </w:rPr>
        <w:t xml:space="preserve">. </w:t>
      </w:r>
      <w:proofErr w:type="spellStart"/>
      <w:r>
        <w:t>En</w:t>
      </w:r>
      <w:proofErr w:type="spellEnd"/>
      <w:r>
        <w:t xml:space="preserve"> </w:t>
      </w:r>
      <w:proofErr w:type="spellStart"/>
      <w:r>
        <w:t>estos</w:t>
      </w:r>
      <w:proofErr w:type="spellEnd"/>
      <w:r>
        <w:t xml:space="preserve"> </w:t>
      </w:r>
      <w:proofErr w:type="spellStart"/>
      <w:r>
        <w:t>casos</w:t>
      </w:r>
      <w:proofErr w:type="spellEnd"/>
      <w:r>
        <w:t xml:space="preserve">, se </w:t>
      </w:r>
      <w:proofErr w:type="spellStart"/>
      <w:r>
        <w:t>aplicará</w:t>
      </w:r>
      <w:proofErr w:type="spellEnd"/>
      <w:r>
        <w:t xml:space="preserve"> la legislación.</w:t>
      </w:r>
    </w:p>
    <w:p w14:paraId="7D5D4BDC" w14:textId="77777777" w:rsidR="0088333F" w:rsidRPr="004D7362" w:rsidRDefault="0088333F" w:rsidP="006738DF">
      <w:pPr>
        <w:keepNext/>
        <w:shd w:val="clear" w:color="auto" w:fill="000000"/>
        <w:spacing w:before="360" w:after="120"/>
      </w:pPr>
      <w:r>
        <w:rPr>
          <w:b/>
          <w:bCs/>
          <w:color w:val="FFFFFF"/>
        </w:rPr>
        <w:t xml:space="preserve">Canadá </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8333F" w:rsidRPr="007447EB" w14:paraId="1141F7A7" w14:textId="77777777" w:rsidTr="00A13DC6">
        <w:trPr>
          <w:jc w:val="center"/>
        </w:trPr>
        <w:tc>
          <w:tcPr>
            <w:tcW w:w="9029" w:type="dxa"/>
            <w:shd w:val="clear" w:color="auto" w:fill="BDD6EE" w:themeFill="accent1" w:themeFillTint="66"/>
          </w:tcPr>
          <w:p w14:paraId="7F34377F" w14:textId="468B7A33" w:rsidR="0088333F" w:rsidRPr="007447EB" w:rsidRDefault="0088333F" w:rsidP="006D6499">
            <w:pPr>
              <w:keepNext/>
              <w:spacing w:after="120"/>
              <w:ind w:left="86" w:right="86"/>
              <w:rPr>
                <w:b/>
                <w:bCs/>
                <w:lang w:val="es-ES"/>
              </w:rPr>
            </w:pPr>
            <w:r w:rsidRPr="007447EB">
              <w:rPr>
                <w:b/>
                <w:bCs/>
                <w:lang w:val="es-ES"/>
              </w:rPr>
              <w:t>El apartado titulado “Exclusión</w:t>
            </w:r>
            <w:r w:rsidR="006D6499" w:rsidRPr="007447EB">
              <w:rPr>
                <w:b/>
                <w:bCs/>
                <w:lang w:val="es-ES"/>
              </w:rPr>
              <w:t>”</w:t>
            </w:r>
            <w:r w:rsidRPr="007447EB">
              <w:rPr>
                <w:b/>
                <w:bCs/>
                <w:lang w:val="es-ES"/>
              </w:rPr>
              <w:t xml:space="preserve"> de la Sección “Garantías” se complementa con lo siguiente:</w:t>
            </w:r>
          </w:p>
        </w:tc>
      </w:tr>
    </w:tbl>
    <w:p w14:paraId="2AC68687" w14:textId="72486B5D" w:rsidR="0088333F" w:rsidRPr="007447EB" w:rsidRDefault="00404D8A" w:rsidP="00404D8A">
      <w:pPr>
        <w:pStyle w:val="ListParagraph"/>
        <w:ind w:left="1080" w:hanging="360"/>
        <w:rPr>
          <w:lang w:val="es-ES"/>
        </w:rPr>
      </w:pPr>
      <w:r w:rsidRPr="007447EB">
        <w:rPr>
          <w:b/>
          <w:iCs/>
          <w:lang w:val="es-ES"/>
        </w:rPr>
        <w:t>c.</w:t>
      </w:r>
      <w:r w:rsidRPr="007447EB">
        <w:rPr>
          <w:b/>
          <w:iCs/>
          <w:lang w:val="es-ES"/>
        </w:rPr>
        <w:tab/>
        <w:t>Exclusión de Responsabilidad.</w:t>
      </w:r>
      <w:r w:rsidR="00436852" w:rsidRPr="007447EB">
        <w:rPr>
          <w:b/>
          <w:iCs/>
          <w:lang w:val="es-ES"/>
        </w:rPr>
        <w:t xml:space="preserve"> </w:t>
      </w:r>
      <w:r w:rsidRPr="007447EB">
        <w:rPr>
          <w:b/>
          <w:iCs/>
          <w:lang w:val="es-ES"/>
        </w:rPr>
        <w:t>Excepto en el caso de las garantías limitadas anterior, Microsoft no proporciona otras garantías y excluye toda responsabilidad respecto de cualquier otra garantía expresa y de cualquier otra garantía o condición implícita o estatutaria, incluidas las garantías y condiciones de calidad, titularidad, ausencia de infracción de derechos, comerciabilidad e idoneidad para un propósito específico.</w:t>
      </w:r>
    </w:p>
    <w:p w14:paraId="5560C37F" w14:textId="72FF7B79" w:rsidR="00374E8C" w:rsidRPr="004D7362" w:rsidRDefault="00374E8C" w:rsidP="00374E8C">
      <w:pPr>
        <w:keepNext/>
        <w:shd w:val="clear" w:color="auto" w:fill="000000"/>
        <w:spacing w:before="360" w:after="120"/>
      </w:pPr>
      <w:proofErr w:type="spellStart"/>
      <w:r>
        <w:rPr>
          <w:b/>
          <w:bCs/>
          <w:color w:val="FFFFFF"/>
        </w:rPr>
        <w:t>República</w:t>
      </w:r>
      <w:proofErr w:type="spellEnd"/>
      <w:r>
        <w:rPr>
          <w:b/>
          <w:bCs/>
          <w:color w:val="FFFFFF"/>
        </w:rPr>
        <w:t xml:space="preserve"> </w:t>
      </w:r>
      <w:proofErr w:type="spellStart"/>
      <w:r>
        <w:rPr>
          <w:b/>
          <w:bCs/>
          <w:color w:val="FFFFFF"/>
        </w:rPr>
        <w:t>Checa</w:t>
      </w:r>
      <w:proofErr w:type="spellEnd"/>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7447EB" w14:paraId="101D7BBF" w14:textId="77777777" w:rsidTr="00E53ABB">
        <w:trPr>
          <w:jc w:val="center"/>
        </w:trPr>
        <w:tc>
          <w:tcPr>
            <w:tcW w:w="9029" w:type="dxa"/>
            <w:shd w:val="clear" w:color="auto" w:fill="C6D9F1"/>
          </w:tcPr>
          <w:p w14:paraId="25142007" w14:textId="6B8289A7" w:rsidR="00374E8C" w:rsidRPr="007447EB" w:rsidRDefault="00374E8C" w:rsidP="00A00EDE">
            <w:pPr>
              <w:spacing w:after="120"/>
              <w:ind w:left="86" w:right="86"/>
              <w:rPr>
                <w:b/>
                <w:bCs/>
                <w:lang w:val="es-ES"/>
              </w:rPr>
            </w:pPr>
            <w:r w:rsidRPr="007447EB">
              <w:rPr>
                <w:b/>
                <w:bCs/>
                <w:lang w:val="es-ES"/>
              </w:rPr>
              <w:t>Se complementa la sección titulada “Garantías” con lo siguiente:</w:t>
            </w:r>
          </w:p>
        </w:tc>
      </w:tr>
    </w:tbl>
    <w:p w14:paraId="562101A3" w14:textId="66E4A6EC" w:rsidR="00374E8C" w:rsidRPr="007447EB" w:rsidRDefault="00404D8A" w:rsidP="00122A75">
      <w:pPr>
        <w:spacing w:after="240"/>
        <w:ind w:left="1080" w:hanging="360"/>
        <w:rPr>
          <w:lang w:val="es-ES"/>
        </w:rPr>
      </w:pPr>
      <w:r w:rsidRPr="007447EB">
        <w:rPr>
          <w:b/>
          <w:lang w:val="es-ES"/>
        </w:rPr>
        <w:t>d.</w:t>
      </w:r>
      <w:r w:rsidRPr="007447EB">
        <w:rPr>
          <w:b/>
          <w:lang w:val="es-ES"/>
        </w:rPr>
        <w:tab/>
        <w:t>Entregables.</w:t>
      </w:r>
      <w:r w:rsidR="00436852" w:rsidRPr="007447EB">
        <w:rPr>
          <w:b/>
          <w:lang w:val="es-ES"/>
        </w:rPr>
        <w:t xml:space="preserve"> </w:t>
      </w:r>
      <w:r w:rsidRPr="007447EB">
        <w:rPr>
          <w:lang w:val="es-ES"/>
        </w:rPr>
        <w:t>Los Entregables de Microsoft se desarrollan de acuerdo con el conocimiento científico y técnico más reciente.</w:t>
      </w:r>
      <w:r w:rsidR="00436852" w:rsidRPr="007447EB">
        <w:rPr>
          <w:lang w:val="es-ES"/>
        </w:rPr>
        <w:t xml:space="preserve"> </w:t>
      </w:r>
      <w:r w:rsidRPr="007447EB">
        <w:rPr>
          <w:lang w:val="es-ES"/>
        </w:rPr>
        <w:t>Microsoft notifica expresamente al Cliente que, conforme al estado actual de la tecnología, no es posible desarrollar productos complejos de software que estén totalmente libres de defectos técnicos, los cuales pueden aparecer en el futuro.</w:t>
      </w:r>
      <w:r w:rsidR="00436852" w:rsidRPr="007447EB">
        <w:rPr>
          <w:lang w:val="es-ES"/>
        </w:rPr>
        <w:t xml:space="preserve"> </w:t>
      </w:r>
      <w:r w:rsidRPr="007447EB">
        <w:rPr>
          <w:lang w:val="es-ES"/>
        </w:rPr>
        <w:t>No es necesario que el software que proporciona Microsoft esté totalmente libre de errores de programación, pero se ejecutará sustancialmente de acuerdo con la documentación de usuario de Microsoft o, en caso de que no existiera documentación de usuario de acuerdo con el correspondiente Documento de Servicios, las normas estándares de la industria pertinentes.</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7447EB" w14:paraId="5F4C31E2" w14:textId="77777777" w:rsidTr="00924DE4">
        <w:trPr>
          <w:jc w:val="center"/>
        </w:trPr>
        <w:tc>
          <w:tcPr>
            <w:tcW w:w="9029" w:type="dxa"/>
            <w:shd w:val="clear" w:color="auto" w:fill="C6D9F1"/>
          </w:tcPr>
          <w:p w14:paraId="07443905" w14:textId="09E7B4F2" w:rsidR="00374E8C" w:rsidRPr="007447EB" w:rsidRDefault="00374E8C" w:rsidP="00BE4F6E">
            <w:pPr>
              <w:keepNext/>
              <w:spacing w:after="120"/>
              <w:ind w:left="86" w:right="86"/>
              <w:rPr>
                <w:b/>
                <w:bCs/>
                <w:lang w:val="es-ES"/>
              </w:rPr>
            </w:pPr>
            <w:r w:rsidRPr="007447EB">
              <w:rPr>
                <w:b/>
                <w:bCs/>
                <w:lang w:val="es-ES"/>
              </w:rPr>
              <w:lastRenderedPageBreak/>
              <w:t>El primer párrafo de la Sección titulada “Limitación de responsabilidad” se complementa con lo siguiente:</w:t>
            </w:r>
          </w:p>
        </w:tc>
      </w:tr>
    </w:tbl>
    <w:p w14:paraId="0922865E" w14:textId="77777777" w:rsidR="00924DE4" w:rsidRPr="007447EB" w:rsidRDefault="00924DE4" w:rsidP="002052C3">
      <w:pPr>
        <w:ind w:left="1080"/>
        <w:rPr>
          <w:lang w:val="es-ES"/>
        </w:rPr>
      </w:pPr>
      <w:r w:rsidRPr="007447EB">
        <w:rPr>
          <w:lang w:val="es-ES"/>
        </w:rPr>
        <w:t>Las limitaciones contenidas en este párrafo reflejan el daño que las partes expresamente acuerdan que puede preverse en el momento de la conclusión de este contrato, teniendo en cuenta todas las circunstancias que conocen las partes o que deberían conocer si actuaran de forma diligente, y que puedan originarse por un incumplimiento de las obligaciones de Microsoft derivadas del presente contrato. La limitación de responsabilidad de este apartado no se aplica a la responsabilidad derivada del dolo o la negligencia grave de cualquiera de las partes.</w:t>
      </w:r>
    </w:p>
    <w:p w14:paraId="0C8980C5" w14:textId="39817C94" w:rsidR="00924DE4" w:rsidRPr="007447EB" w:rsidRDefault="008E1EF9" w:rsidP="00924DE4">
      <w:pPr>
        <w:spacing w:after="240"/>
        <w:ind w:left="1080"/>
        <w:rPr>
          <w:lang w:val="es-ES"/>
        </w:rPr>
      </w:pPr>
      <w:r w:rsidRPr="007447EB">
        <w:rPr>
          <w:lang w:val="es-ES"/>
        </w:rPr>
        <w:t>Los derechos de cualquier parte contractual por cualquier daño potencialmente sufrido bajo este contrato se satisfarán mediante compensación monetaria. El apartado 2951 (1) del Código Civil (Ley 89/2012 Coll.), según las enmiendas, no se aplicará.</w:t>
      </w:r>
    </w:p>
    <w:p w14:paraId="4B0C429B" w14:textId="19A25F03" w:rsidR="008E1EF9" w:rsidRPr="004D7362" w:rsidRDefault="008E1EF9" w:rsidP="008E1EF9">
      <w:pPr>
        <w:keepNext/>
        <w:shd w:val="clear" w:color="auto" w:fill="000000"/>
        <w:spacing w:before="360" w:after="120"/>
      </w:pPr>
      <w:proofErr w:type="spellStart"/>
      <w:r>
        <w:rPr>
          <w:b/>
          <w:bCs/>
          <w:color w:val="FFFFFF"/>
        </w:rPr>
        <w:t>Inglaterra</w:t>
      </w:r>
      <w:proofErr w:type="spellEnd"/>
      <w:r>
        <w:rPr>
          <w:b/>
          <w:bCs/>
          <w:color w:val="FFFFFF"/>
        </w:rPr>
        <w:t xml:space="preserve"> y Gales</w:t>
      </w:r>
      <w:r w:rsidR="00436852">
        <w:rPr>
          <w:b/>
          <w:bCs/>
          <w:color w:val="FFFFFF"/>
        </w:rPr>
        <w:t xml:space="preserve"> </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E1EF9" w:rsidRPr="007447EB" w14:paraId="0B31A5F4" w14:textId="77777777" w:rsidTr="00A13DC6">
        <w:trPr>
          <w:jc w:val="center"/>
        </w:trPr>
        <w:tc>
          <w:tcPr>
            <w:tcW w:w="9029" w:type="dxa"/>
            <w:shd w:val="clear" w:color="auto" w:fill="C6D9F1"/>
          </w:tcPr>
          <w:p w14:paraId="30641977" w14:textId="48B2E86C" w:rsidR="008E1EF9" w:rsidRPr="007447EB" w:rsidRDefault="008E1EF9" w:rsidP="006D6499">
            <w:pPr>
              <w:spacing w:after="120"/>
              <w:ind w:left="86" w:right="86"/>
              <w:rPr>
                <w:b/>
                <w:bCs/>
                <w:lang w:val="es-ES"/>
              </w:rPr>
            </w:pPr>
            <w:r w:rsidRPr="007447EB">
              <w:rPr>
                <w:b/>
                <w:bCs/>
                <w:lang w:val="es-ES"/>
              </w:rPr>
              <w:t xml:space="preserve">El subapartado de la </w:t>
            </w:r>
            <w:r w:rsidR="006D6499" w:rsidRPr="007447EB">
              <w:rPr>
                <w:b/>
                <w:bCs/>
                <w:lang w:val="es-ES"/>
              </w:rPr>
              <w:t>“</w:t>
            </w:r>
            <w:r w:rsidRPr="007447EB">
              <w:rPr>
                <w:b/>
                <w:bCs/>
                <w:lang w:val="es-ES"/>
              </w:rPr>
              <w:t>Limitación de responsabilidad</w:t>
            </w:r>
            <w:r w:rsidR="006D6499" w:rsidRPr="007447EB">
              <w:rPr>
                <w:b/>
                <w:bCs/>
                <w:lang w:val="es-ES"/>
              </w:rPr>
              <w:t>”</w:t>
            </w:r>
            <w:r w:rsidRPr="007447EB">
              <w:rPr>
                <w:b/>
                <w:bCs/>
                <w:lang w:val="es-ES"/>
              </w:rPr>
              <w:t xml:space="preserve"> titulada </w:t>
            </w:r>
            <w:r w:rsidR="006D6499" w:rsidRPr="007447EB">
              <w:rPr>
                <w:b/>
                <w:bCs/>
                <w:lang w:val="es-ES"/>
              </w:rPr>
              <w:t>“</w:t>
            </w:r>
            <w:r w:rsidRPr="007447EB">
              <w:rPr>
                <w:b/>
                <w:bCs/>
                <w:lang w:val="es-ES"/>
              </w:rPr>
              <w:t>Exclusiones</w:t>
            </w:r>
            <w:r w:rsidR="006D6499" w:rsidRPr="007447EB">
              <w:rPr>
                <w:b/>
                <w:bCs/>
                <w:lang w:val="es-ES"/>
              </w:rPr>
              <w:t>”</w:t>
            </w:r>
            <w:r w:rsidRPr="007447EB">
              <w:rPr>
                <w:b/>
                <w:bCs/>
                <w:lang w:val="es-ES"/>
              </w:rPr>
              <w:t xml:space="preserve"> se sustituye por lo siguiente:</w:t>
            </w:r>
          </w:p>
        </w:tc>
      </w:tr>
    </w:tbl>
    <w:p w14:paraId="0AB82C34" w14:textId="456EE2DD" w:rsidR="008E1EF9" w:rsidRPr="007447EB" w:rsidRDefault="008E1EF9" w:rsidP="002052C3">
      <w:pPr>
        <w:pStyle w:val="ListParagraph"/>
        <w:numPr>
          <w:ilvl w:val="0"/>
          <w:numId w:val="50"/>
        </w:numPr>
        <w:spacing w:after="240"/>
        <w:ind w:left="1080"/>
        <w:contextualSpacing w:val="0"/>
        <w:rPr>
          <w:lang w:val="es-ES"/>
        </w:rPr>
      </w:pPr>
      <w:r w:rsidRPr="007447EB">
        <w:rPr>
          <w:b/>
          <w:lang w:val="es-ES"/>
        </w:rPr>
        <w:t>Exclusiones.</w:t>
      </w:r>
      <w:r w:rsidR="00436852" w:rsidRPr="007447EB">
        <w:rPr>
          <w:lang w:val="es-ES"/>
        </w:rPr>
        <w:t xml:space="preserve"> </w:t>
      </w:r>
      <w:r w:rsidRPr="007447EB">
        <w:rPr>
          <w:lang w:val="es-ES"/>
        </w:rPr>
        <w:t xml:space="preserve">En ningún caso, ninguna de las partes será responsable de </w:t>
      </w:r>
      <w:r w:rsidRPr="007447EB">
        <w:rPr>
          <w:iCs/>
          <w:lang w:val="es-ES"/>
        </w:rPr>
        <w:t>la pérdida de beneficios o de ahorros anticipados (en cualquier caso, ya sean directos o indirectos) y daños indirectos</w:t>
      </w:r>
      <w:r w:rsidRPr="007447EB">
        <w:rPr>
          <w:lang w:val="es-ES"/>
        </w:rPr>
        <w:t>, incidentales, especiales, punitivos o consecuenciales, incluida la pérdida de uso, pérdida de información de negocios o suspensión de negocios, que surjan de cualquier responsabilidad relacionada con los Servicios Profesionales.</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E1EF9" w:rsidRPr="007447EB" w14:paraId="1C866D0F" w14:textId="77777777" w:rsidTr="00A13DC6">
        <w:trPr>
          <w:jc w:val="center"/>
        </w:trPr>
        <w:tc>
          <w:tcPr>
            <w:tcW w:w="9029" w:type="dxa"/>
            <w:shd w:val="clear" w:color="auto" w:fill="C6D9F1"/>
          </w:tcPr>
          <w:p w14:paraId="34542E71" w14:textId="77777777" w:rsidR="008E1EF9" w:rsidRPr="007447EB" w:rsidRDefault="008E1EF9" w:rsidP="00A13DC6">
            <w:pPr>
              <w:spacing w:after="120"/>
              <w:ind w:left="86" w:right="86"/>
              <w:rPr>
                <w:b/>
                <w:bCs/>
                <w:lang w:val="es-ES"/>
              </w:rPr>
            </w:pPr>
            <w:r w:rsidRPr="007447EB">
              <w:rPr>
                <w:b/>
                <w:bCs/>
                <w:lang w:val="es-ES"/>
              </w:rPr>
              <w:t>El apartado titulado “Limitación de la responsabilidad” se complementa con lo siguiente:</w:t>
            </w:r>
          </w:p>
        </w:tc>
      </w:tr>
    </w:tbl>
    <w:p w14:paraId="6C12A147" w14:textId="4C3EEA24" w:rsidR="008E1EF9" w:rsidRPr="007447EB" w:rsidRDefault="008E1EF9" w:rsidP="002052C3">
      <w:pPr>
        <w:pStyle w:val="ListParagraph"/>
        <w:numPr>
          <w:ilvl w:val="0"/>
          <w:numId w:val="49"/>
        </w:numPr>
        <w:spacing w:after="240"/>
        <w:jc w:val="left"/>
        <w:rPr>
          <w:lang w:val="es-ES"/>
        </w:rPr>
      </w:pPr>
      <w:r w:rsidRPr="007447EB">
        <w:rPr>
          <w:b/>
          <w:lang w:val="es-ES"/>
        </w:rPr>
        <w:t>Responsabilidad por fallecimiento o daños corporales.</w:t>
      </w:r>
      <w:r w:rsidR="00436852" w:rsidRPr="007447EB">
        <w:rPr>
          <w:lang w:val="es-ES"/>
        </w:rPr>
        <w:t xml:space="preserve"> </w:t>
      </w:r>
      <w:r w:rsidRPr="007447EB">
        <w:rPr>
          <w:lang w:val="es-ES"/>
        </w:rPr>
        <w:t>Nada en este contrato excluirá la responsabilidad por fallecimiento o daños corporales provocados por negligencia o responsabilidad por manifestación dolosa.</w:t>
      </w:r>
    </w:p>
    <w:p w14:paraId="647549B6" w14:textId="77777777" w:rsidR="00374E8C" w:rsidRPr="004D7362" w:rsidRDefault="00374E8C" w:rsidP="00374E8C">
      <w:pPr>
        <w:keepNext/>
        <w:shd w:val="clear" w:color="auto" w:fill="000000"/>
        <w:spacing w:before="360" w:after="120"/>
      </w:pPr>
      <w:proofErr w:type="spellStart"/>
      <w:r>
        <w:rPr>
          <w:b/>
          <w:bCs/>
          <w:color w:val="FFFFFF"/>
        </w:rPr>
        <w:t>Alemania</w:t>
      </w:r>
      <w:proofErr w:type="spellEnd"/>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7447EB" w14:paraId="60538362" w14:textId="77777777" w:rsidTr="00E53ABB">
        <w:trPr>
          <w:jc w:val="center"/>
        </w:trPr>
        <w:tc>
          <w:tcPr>
            <w:tcW w:w="9029" w:type="dxa"/>
            <w:shd w:val="clear" w:color="auto" w:fill="C6D9F1"/>
          </w:tcPr>
          <w:p w14:paraId="0299C627" w14:textId="6FA25473" w:rsidR="00374E8C" w:rsidRPr="007447EB" w:rsidRDefault="00512CB6" w:rsidP="00A00EDE">
            <w:pPr>
              <w:keepNext/>
              <w:spacing w:after="120"/>
              <w:ind w:left="86" w:right="86"/>
              <w:rPr>
                <w:b/>
                <w:bCs/>
                <w:lang w:val="es-ES"/>
              </w:rPr>
            </w:pPr>
            <w:r w:rsidRPr="007447EB">
              <w:rPr>
                <w:b/>
                <w:bCs/>
                <w:lang w:val="es-ES"/>
              </w:rPr>
              <w:t>La sección titulada “Garantías” se reemplaza con lo siguiente:</w:t>
            </w:r>
          </w:p>
        </w:tc>
      </w:tr>
    </w:tbl>
    <w:p w14:paraId="39CD23C0" w14:textId="77777777" w:rsidR="008C225D" w:rsidRPr="004D7362" w:rsidRDefault="008C225D" w:rsidP="00BE4F6E">
      <w:pPr>
        <w:keepNext/>
        <w:ind w:left="720" w:hanging="720"/>
      </w:pPr>
      <w:r>
        <w:rPr>
          <w:b/>
          <w:bCs/>
          <w:i/>
          <w:iCs/>
          <w:sz w:val="26"/>
          <w:szCs w:val="26"/>
        </w:rPr>
        <w:t>5.</w:t>
      </w:r>
      <w:r>
        <w:rPr>
          <w:b/>
          <w:bCs/>
          <w:i/>
          <w:iCs/>
          <w:sz w:val="26"/>
          <w:szCs w:val="26"/>
        </w:rPr>
        <w:tab/>
        <w:t>Garantías.</w:t>
      </w:r>
    </w:p>
    <w:p w14:paraId="130ABD38" w14:textId="0E31B1C5" w:rsidR="00374E8C" w:rsidRPr="007447EB" w:rsidRDefault="008C225D" w:rsidP="00D5280E">
      <w:pPr>
        <w:pStyle w:val="ListParagraph"/>
        <w:numPr>
          <w:ilvl w:val="1"/>
          <w:numId w:val="56"/>
        </w:numPr>
        <w:ind w:left="1080"/>
        <w:rPr>
          <w:lang w:val="es-ES"/>
        </w:rPr>
      </w:pPr>
      <w:r w:rsidRPr="007447EB">
        <w:rPr>
          <w:lang w:val="es-ES"/>
        </w:rPr>
        <w:t>Sujeto a la sección 5(b), las siguientes disposiciones se aplicarán a reclamaciones que se originen en defectos de calidad o de titularidad (en adelante, colectivamente, “Defectos”), pero no se aplicarán a reclamaciones por daños o reembolso de gastos.</w:t>
      </w:r>
      <w:r w:rsidR="00436852" w:rsidRPr="007447EB">
        <w:rPr>
          <w:lang w:val="es-ES"/>
        </w:rPr>
        <w:t xml:space="preserve"> </w:t>
      </w:r>
      <w:r w:rsidRPr="007447EB">
        <w:rPr>
          <w:lang w:val="es-ES"/>
        </w:rPr>
        <w:t>Por lo contrario, en el caso de reclamaciones por daños o gastos derivados de Defectos, se aplicarán las disposiciones contenidas en la cláusula titulada “Limitación de responsabilidad”.</w:t>
      </w:r>
    </w:p>
    <w:p w14:paraId="75B01B8C" w14:textId="7750342C" w:rsidR="00374E8C" w:rsidRPr="007447EB" w:rsidRDefault="00374E8C" w:rsidP="002052C3">
      <w:pPr>
        <w:pStyle w:val="ListParagraph"/>
        <w:numPr>
          <w:ilvl w:val="0"/>
          <w:numId w:val="45"/>
        </w:numPr>
        <w:contextualSpacing w:val="0"/>
        <w:rPr>
          <w:lang w:val="es-ES"/>
        </w:rPr>
      </w:pPr>
      <w:r w:rsidRPr="007447EB">
        <w:rPr>
          <w:lang w:val="es-ES"/>
        </w:rPr>
        <w:t>En el caso de no revelación deliberada de un Defecto (</w:t>
      </w:r>
      <w:proofErr w:type="spellStart"/>
      <w:r w:rsidRPr="007447EB">
        <w:rPr>
          <w:lang w:val="es-ES"/>
        </w:rPr>
        <w:t>arglistiges</w:t>
      </w:r>
      <w:proofErr w:type="spellEnd"/>
      <w:r w:rsidRPr="007447EB">
        <w:rPr>
          <w:lang w:val="es-ES"/>
        </w:rPr>
        <w:t xml:space="preserve"> </w:t>
      </w:r>
      <w:proofErr w:type="spellStart"/>
      <w:r w:rsidRPr="007447EB">
        <w:rPr>
          <w:lang w:val="es-ES"/>
        </w:rPr>
        <w:t>Verschweigen</w:t>
      </w:r>
      <w:proofErr w:type="spellEnd"/>
      <w:r w:rsidRPr="007447EB">
        <w:rPr>
          <w:lang w:val="es-ES"/>
        </w:rPr>
        <w:t>), los derechos del Cliente y su expiración se determinarán exclusivamente de acuerdo con la legislación aplicable.</w:t>
      </w:r>
    </w:p>
    <w:p w14:paraId="7C0F8D4C" w14:textId="77777777" w:rsidR="008C225D" w:rsidRPr="007447EB" w:rsidRDefault="008C225D" w:rsidP="002052C3">
      <w:pPr>
        <w:pStyle w:val="ListParagraph"/>
        <w:numPr>
          <w:ilvl w:val="0"/>
          <w:numId w:val="45"/>
        </w:numPr>
        <w:contextualSpacing w:val="0"/>
        <w:rPr>
          <w:lang w:val="es-ES"/>
        </w:rPr>
      </w:pPr>
      <w:r w:rsidRPr="007447EB">
        <w:rPr>
          <w:lang w:val="es-ES"/>
        </w:rPr>
        <w:t>Microsoft garantiza que cada Servicio en Línea se proporcionará de acuerdo con el SLA aplicable durante el uso que haga el Cliente. Los recursos del Cliente en caso de incumplimiento de esta garantía se especifican en el SLA. Sin embargo, los derechos de garantía previstos del Cliente no deberán verse afectados.</w:t>
      </w:r>
    </w:p>
    <w:p w14:paraId="5AEE7D02" w14:textId="44CB5CE6" w:rsidR="008C225D" w:rsidRPr="007447EB" w:rsidRDefault="008C225D" w:rsidP="002052C3">
      <w:pPr>
        <w:pStyle w:val="ListParagraph"/>
        <w:numPr>
          <w:ilvl w:val="0"/>
          <w:numId w:val="45"/>
        </w:numPr>
        <w:contextualSpacing w:val="0"/>
        <w:rPr>
          <w:lang w:val="es-ES"/>
        </w:rPr>
      </w:pPr>
      <w:r w:rsidRPr="007447EB">
        <w:rPr>
          <w:lang w:val="es-ES"/>
        </w:rPr>
        <w:t>Microsoft corregirá aquellos Defectos que el Cliente haya notificado a Microsoft antes de la expiración del período de limitación estipulado en esta cláusula. En la medida en que el Cliente presente una reclamación contra Microsoft por la ejecución subsiguiente (</w:t>
      </w:r>
      <w:proofErr w:type="spellStart"/>
      <w:r w:rsidRPr="007447EB">
        <w:rPr>
          <w:lang w:val="es-ES"/>
        </w:rPr>
        <w:t>Nacherfüllung</w:t>
      </w:r>
      <w:proofErr w:type="spellEnd"/>
      <w:r w:rsidRPr="007447EB">
        <w:rPr>
          <w:lang w:val="es-ES"/>
        </w:rPr>
        <w:t xml:space="preserve">), Microsoft tendrá el derecho, a su entera discreción, de corregir el Defecto o de suministrar un nuevo bien mueble, o, si el Defecto derivara </w:t>
      </w:r>
      <w:r w:rsidRPr="007447EB">
        <w:rPr>
          <w:lang w:val="es-ES"/>
        </w:rPr>
        <w:lastRenderedPageBreak/>
        <w:t>de la ejecución de un trabajo, de crear un nuevo trabajo libre de Defectos. El Cliente acepta colaborar en la ejecución subsiguiente de Microsoft proporcionando toda la información y documentación requeridas y acepta proporcionar toda la asistencia necesaria que sea razonable.</w:t>
      </w:r>
    </w:p>
    <w:p w14:paraId="001DBAA1" w14:textId="1D70354A" w:rsidR="00374E8C" w:rsidRPr="007447EB" w:rsidRDefault="00374E8C" w:rsidP="002052C3">
      <w:pPr>
        <w:pStyle w:val="ListParagraph"/>
        <w:numPr>
          <w:ilvl w:val="0"/>
          <w:numId w:val="45"/>
        </w:numPr>
        <w:contextualSpacing w:val="0"/>
        <w:rPr>
          <w:lang w:val="es-ES"/>
        </w:rPr>
      </w:pPr>
      <w:r w:rsidRPr="007447EB">
        <w:rPr>
          <w:lang w:val="es-ES"/>
        </w:rPr>
        <w:t xml:space="preserve">Las obligaciones de Microsoft no se aplicarán en la medida en que una reclamación se base en (1) especificaciones, código o materiales proporcionados por el Cliente; (2) el uso del Cliente de Productos o Entregables de Servicio después de que Microsoft notifique al Cliente acerca de la suspensión de su uso a causa de </w:t>
      </w:r>
      <w:proofErr w:type="spellStart"/>
      <w:r w:rsidRPr="007447EB">
        <w:rPr>
          <w:lang w:val="es-ES"/>
        </w:rPr>
        <w:t>dicja</w:t>
      </w:r>
      <w:proofErr w:type="spellEnd"/>
      <w:r w:rsidRPr="007447EB">
        <w:rPr>
          <w:lang w:val="es-ES"/>
        </w:rPr>
        <w:t xml:space="preserve"> reclamación; (3) la combinación del Cliente de los Productos o Entregables de Servicios con productos, datos o procesos de negocios que no sean de Microsoft; (4) la alteración del Cliente o de un tercero de Productos o Servicios Profesionales sin el consentimiento de Microsoft, a menos que el Cliente sea capaz de </w:t>
      </w:r>
      <w:proofErr w:type="spellStart"/>
      <w:r w:rsidRPr="007447EB">
        <w:rPr>
          <w:lang w:val="es-ES"/>
        </w:rPr>
        <w:t>de</w:t>
      </w:r>
      <w:proofErr w:type="spellEnd"/>
      <w:r w:rsidRPr="007447EB">
        <w:rPr>
          <w:lang w:val="es-ES"/>
        </w:rPr>
        <w:t xml:space="preserve"> comprobar que los Defectos en cuestión no fueron causados por la alteración.</w:t>
      </w:r>
    </w:p>
    <w:p w14:paraId="4EE71440" w14:textId="1F8C7CB1" w:rsidR="00374E8C" w:rsidRPr="007447EB" w:rsidRDefault="00374E8C" w:rsidP="002052C3">
      <w:pPr>
        <w:pStyle w:val="ListParagraph"/>
        <w:numPr>
          <w:ilvl w:val="0"/>
          <w:numId w:val="45"/>
        </w:numPr>
        <w:contextualSpacing w:val="0"/>
        <w:rPr>
          <w:lang w:val="es-ES"/>
        </w:rPr>
      </w:pPr>
      <w:r w:rsidRPr="00D77519">
        <w:rPr>
          <w:lang w:val="es-ES"/>
        </w:rPr>
        <w:t>Todas las reclamaciones a los cuales el Cliente tenga derecho, conforme a esta cláusula, expirarán en el plazo de un año.</w:t>
      </w:r>
      <w:r w:rsidR="00436852" w:rsidRPr="00D77519">
        <w:rPr>
          <w:lang w:val="es-ES"/>
        </w:rPr>
        <w:t xml:space="preserve"> </w:t>
      </w:r>
      <w:r w:rsidRPr="007447EB">
        <w:rPr>
          <w:lang w:val="es-ES"/>
        </w:rPr>
        <w:t>En los casos de ejecuciones de un trabajo, el período de limitación comenzará en la fecha de aceptación (</w:t>
      </w:r>
      <w:proofErr w:type="spellStart"/>
      <w:r w:rsidRPr="007447EB">
        <w:rPr>
          <w:lang w:val="es-ES"/>
        </w:rPr>
        <w:t>Abnahme</w:t>
      </w:r>
      <w:proofErr w:type="spellEnd"/>
      <w:r w:rsidRPr="007447EB">
        <w:rPr>
          <w:lang w:val="es-ES"/>
        </w:rPr>
        <w:t>): en todos los otros casos, el período de limitación comenzará en la fecha de entrega.</w:t>
      </w:r>
    </w:p>
    <w:p w14:paraId="55B904F4" w14:textId="351A61F9" w:rsidR="008C225D" w:rsidRPr="007447EB" w:rsidRDefault="008C225D" w:rsidP="002052C3">
      <w:pPr>
        <w:pStyle w:val="ListParagraph"/>
        <w:numPr>
          <w:ilvl w:val="0"/>
          <w:numId w:val="45"/>
        </w:numPr>
        <w:contextualSpacing w:val="0"/>
        <w:rPr>
          <w:lang w:val="es-ES"/>
        </w:rPr>
      </w:pPr>
      <w:r w:rsidRPr="007447EB">
        <w:rPr>
          <w:lang w:val="es-ES"/>
        </w:rPr>
        <w:t>El Cliente representa y garantiza que cumplirá los términos de la Inscripción y defenderá Microsoft frente a cualquier reclamación de lo contrario presentada por un tercero que no sea filial, siempre que el Cliente sea responsable de la reclamación realizada por ese tercero que no sea filial. El Cliente pagará el monto de cualquier sentencia adversa que se dicte con carácter firme y definitivo o acuerdo transaccional aprobado que resulte de tales reclamaciones, y reembolsará a Microsoft los gastos razonables en que este incurra para responder a dichas reclamaciones.</w:t>
      </w:r>
    </w:p>
    <w:p w14:paraId="502D4D5F" w14:textId="62869B75" w:rsidR="008C225D" w:rsidRPr="007447EB" w:rsidRDefault="008C225D" w:rsidP="00D5280E">
      <w:pPr>
        <w:pStyle w:val="ListParagraph"/>
        <w:numPr>
          <w:ilvl w:val="1"/>
          <w:numId w:val="56"/>
        </w:numPr>
        <w:ind w:left="1080"/>
        <w:contextualSpacing w:val="0"/>
        <w:rPr>
          <w:lang w:val="es-ES"/>
        </w:rPr>
      </w:pPr>
      <w:r w:rsidRPr="007447EB">
        <w:rPr>
          <w:lang w:val="es-ES"/>
        </w:rPr>
        <w:t>En la medida en que los Servicios Online de Microsoft se consideren un arriendo (</w:t>
      </w:r>
      <w:proofErr w:type="spellStart"/>
      <w:r w:rsidRPr="007447EB">
        <w:rPr>
          <w:lang w:val="es-ES"/>
        </w:rPr>
        <w:t>mietweise</w:t>
      </w:r>
      <w:proofErr w:type="spellEnd"/>
      <w:r w:rsidRPr="007447EB">
        <w:rPr>
          <w:lang w:val="es-ES"/>
        </w:rPr>
        <w:t xml:space="preserve"> </w:t>
      </w:r>
      <w:proofErr w:type="spellStart"/>
      <w:r w:rsidRPr="007447EB">
        <w:rPr>
          <w:lang w:val="es-ES"/>
        </w:rPr>
        <w:t>Überlassung</w:t>
      </w:r>
      <w:proofErr w:type="spellEnd"/>
      <w:r w:rsidRPr="007447EB">
        <w:rPr>
          <w:lang w:val="es-ES"/>
        </w:rPr>
        <w:t>) y estén sujetos a las disposiciones previstas de la ley de arrendamiento Alemana (</w:t>
      </w:r>
      <w:proofErr w:type="spellStart"/>
      <w:r w:rsidRPr="007447EB">
        <w:rPr>
          <w:lang w:val="es-ES"/>
        </w:rPr>
        <w:t>mietrechtliche</w:t>
      </w:r>
      <w:proofErr w:type="spellEnd"/>
      <w:r w:rsidRPr="007447EB">
        <w:rPr>
          <w:lang w:val="es-ES"/>
        </w:rPr>
        <w:t xml:space="preserve"> </w:t>
      </w:r>
      <w:proofErr w:type="spellStart"/>
      <w:r w:rsidRPr="007447EB">
        <w:rPr>
          <w:lang w:val="es-ES"/>
        </w:rPr>
        <w:t>Regelungen</w:t>
      </w:r>
      <w:proofErr w:type="spellEnd"/>
      <w:r w:rsidRPr="007447EB">
        <w:rPr>
          <w:lang w:val="es-ES"/>
        </w:rPr>
        <w:t>), las disposiciones limitadas de garantía estipuladas anteriormente no deberán excluir o limitar los derechos de garantía previstos del Cliente, las disposiciones de garantía previstas pertinentes deben aplicarse a reclamaciones a causa de Defectos, sujetas a las siguientes disposiciones que, sin embargo, no se aplicarán cuando las reclamaciones sean por daños o reembolso de gastos. Cualquier recurso adicional relacionado la garantía del Cliente en virtud de este contrato y sus documentos acompañantes no se verá afectado.</w:t>
      </w:r>
    </w:p>
    <w:p w14:paraId="3A7739C9" w14:textId="7AB2C00E" w:rsidR="008C225D" w:rsidRPr="007447EB" w:rsidRDefault="008C225D" w:rsidP="002052C3">
      <w:pPr>
        <w:pStyle w:val="ListParagraph"/>
        <w:numPr>
          <w:ilvl w:val="0"/>
          <w:numId w:val="57"/>
        </w:numPr>
        <w:contextualSpacing w:val="0"/>
        <w:rPr>
          <w:lang w:val="es-ES"/>
        </w:rPr>
      </w:pPr>
      <w:r w:rsidRPr="007447EB">
        <w:rPr>
          <w:lang w:val="es-ES"/>
        </w:rPr>
        <w:t>El Cliente renuncia (1) al derecho de compensar (</w:t>
      </w:r>
      <w:proofErr w:type="spellStart"/>
      <w:r w:rsidRPr="007447EB">
        <w:rPr>
          <w:lang w:val="es-ES"/>
        </w:rPr>
        <w:t>Recht</w:t>
      </w:r>
      <w:proofErr w:type="spellEnd"/>
      <w:r w:rsidRPr="007447EB">
        <w:rPr>
          <w:lang w:val="es-ES"/>
        </w:rPr>
        <w:t xml:space="preserve"> </w:t>
      </w:r>
      <w:proofErr w:type="spellStart"/>
      <w:r w:rsidRPr="007447EB">
        <w:rPr>
          <w:lang w:val="es-ES"/>
        </w:rPr>
        <w:t>zur</w:t>
      </w:r>
      <w:proofErr w:type="spellEnd"/>
      <w:r w:rsidRPr="007447EB">
        <w:rPr>
          <w:lang w:val="es-ES"/>
        </w:rPr>
        <w:t xml:space="preserve"> </w:t>
      </w:r>
      <w:proofErr w:type="spellStart"/>
      <w:r w:rsidRPr="007447EB">
        <w:rPr>
          <w:lang w:val="es-ES"/>
        </w:rPr>
        <w:t>Aufrechnung</w:t>
      </w:r>
      <w:proofErr w:type="spellEnd"/>
      <w:r w:rsidRPr="007447EB">
        <w:rPr>
          <w:lang w:val="es-ES"/>
        </w:rPr>
        <w:t>), (2) al derecho de reducir el precio</w:t>
      </w:r>
      <w:r w:rsidR="00893B4F" w:rsidRPr="007447EB">
        <w:rPr>
          <w:lang w:val="es-ES"/>
        </w:rPr>
        <w:t xml:space="preserve"> </w:t>
      </w:r>
      <w:proofErr w:type="spellStart"/>
      <w:r w:rsidRPr="007447EB">
        <w:rPr>
          <w:lang w:val="es-ES"/>
        </w:rPr>
        <w:t>Minderungsrecht</w:t>
      </w:r>
      <w:proofErr w:type="spellEnd"/>
      <w:r w:rsidRPr="007447EB">
        <w:rPr>
          <w:lang w:val="es-ES"/>
        </w:rPr>
        <w:t>) y (3) al derecho de retención (</w:t>
      </w:r>
      <w:proofErr w:type="spellStart"/>
      <w:r w:rsidRPr="007447EB">
        <w:rPr>
          <w:lang w:val="es-ES"/>
        </w:rPr>
        <w:t>Zurückbehaltungsrecht</w:t>
      </w:r>
      <w:proofErr w:type="spellEnd"/>
      <w:r w:rsidRPr="007447EB">
        <w:rPr>
          <w:lang w:val="es-ES"/>
        </w:rPr>
        <w:t>) hasta el límite máximo permitido por la ley prevista aplicable, siempre que la reclamación utilizada para cualquiera de los derechos mencionados no se encuentre libre discrepancias (</w:t>
      </w:r>
      <w:proofErr w:type="spellStart"/>
      <w:r w:rsidRPr="007447EB">
        <w:rPr>
          <w:lang w:val="es-ES"/>
        </w:rPr>
        <w:t>unbestritten</w:t>
      </w:r>
      <w:proofErr w:type="spellEnd"/>
      <w:r w:rsidRPr="007447EB">
        <w:rPr>
          <w:lang w:val="es-ES"/>
        </w:rPr>
        <w:t>) ni haya sido reconocida por una sentencia declaratoria (</w:t>
      </w:r>
      <w:proofErr w:type="spellStart"/>
      <w:r w:rsidRPr="007447EB">
        <w:rPr>
          <w:lang w:val="es-ES"/>
        </w:rPr>
        <w:t>rechtskräftig</w:t>
      </w:r>
      <w:proofErr w:type="spellEnd"/>
      <w:r w:rsidRPr="007447EB">
        <w:rPr>
          <w:lang w:val="es-ES"/>
        </w:rPr>
        <w:t xml:space="preserve"> </w:t>
      </w:r>
      <w:proofErr w:type="spellStart"/>
      <w:r w:rsidRPr="007447EB">
        <w:rPr>
          <w:lang w:val="es-ES"/>
        </w:rPr>
        <w:t>festgestellt</w:t>
      </w:r>
      <w:proofErr w:type="spellEnd"/>
      <w:r w:rsidRPr="007447EB">
        <w:rPr>
          <w:lang w:val="es-ES"/>
        </w:rPr>
        <w:t>). Para evitar dudas, no se excluirá ninguna reclamación por parte del Cliente de enriquecimiento injusto (</w:t>
      </w:r>
      <w:proofErr w:type="spellStart"/>
      <w:r w:rsidRPr="007447EB">
        <w:rPr>
          <w:lang w:val="es-ES"/>
        </w:rPr>
        <w:t>ungerechtfertigte</w:t>
      </w:r>
      <w:proofErr w:type="spellEnd"/>
      <w:r w:rsidRPr="007447EB">
        <w:rPr>
          <w:lang w:val="es-ES"/>
        </w:rPr>
        <w:t xml:space="preserve"> </w:t>
      </w:r>
      <w:proofErr w:type="spellStart"/>
      <w:r w:rsidRPr="007447EB">
        <w:rPr>
          <w:lang w:val="es-ES"/>
        </w:rPr>
        <w:t>Bereicherung</w:t>
      </w:r>
      <w:proofErr w:type="spellEnd"/>
      <w:r w:rsidRPr="007447EB">
        <w:rPr>
          <w:lang w:val="es-ES"/>
        </w:rPr>
        <w:t>) contra Microsoft.</w:t>
      </w:r>
    </w:p>
    <w:p w14:paraId="30A63F66" w14:textId="7906F2B6" w:rsidR="008C225D" w:rsidRPr="007447EB" w:rsidRDefault="008C225D" w:rsidP="002052C3">
      <w:pPr>
        <w:pStyle w:val="ListParagraph"/>
        <w:numPr>
          <w:ilvl w:val="0"/>
          <w:numId w:val="57"/>
        </w:numPr>
        <w:spacing w:after="240"/>
        <w:contextualSpacing w:val="0"/>
        <w:rPr>
          <w:lang w:val="es-ES"/>
        </w:rPr>
      </w:pPr>
      <w:r w:rsidRPr="007447EB">
        <w:rPr>
          <w:lang w:val="es-ES"/>
        </w:rPr>
        <w:t>Cualquier Crédito de Servicio identificado en los Contratos de Nivel de Servicio y compensados contra las Tarifas de Servicio Mensuales aplicables del Cliente para cualquier problema de rendimiento o de disponibilidad según esta sección 5, y el Contrato de Nivel de Servicio aplicable se compensará automáticamente (</w:t>
      </w:r>
      <w:proofErr w:type="spellStart"/>
      <w:r w:rsidRPr="007447EB">
        <w:rPr>
          <w:lang w:val="es-ES"/>
        </w:rPr>
        <w:t>verrechnet</w:t>
      </w:r>
      <w:proofErr w:type="spellEnd"/>
      <w:r w:rsidRPr="007447EB">
        <w:rPr>
          <w:lang w:val="es-ES"/>
        </w:rPr>
        <w:t>) contra cualquier reclamación que pueda tener el Cliente con respecto a enriquecimiento injusto o cualquier reclamación por daños o gastos resultantes de Defectos basados en el mismo incidente que causó los problemas de rendimiento o disponibilidad.</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C225D" w:rsidRPr="007447EB" w14:paraId="40A10D85" w14:textId="77777777" w:rsidTr="009435ED">
        <w:trPr>
          <w:jc w:val="center"/>
        </w:trPr>
        <w:tc>
          <w:tcPr>
            <w:tcW w:w="9029" w:type="dxa"/>
            <w:shd w:val="clear" w:color="auto" w:fill="C6D9F1"/>
          </w:tcPr>
          <w:p w14:paraId="529F342A" w14:textId="0EDB59E1" w:rsidR="008C225D" w:rsidRPr="007447EB" w:rsidRDefault="008C225D" w:rsidP="008C225D">
            <w:pPr>
              <w:spacing w:after="120"/>
              <w:ind w:left="86" w:right="86"/>
              <w:rPr>
                <w:b/>
                <w:bCs/>
                <w:lang w:val="es-ES"/>
              </w:rPr>
            </w:pPr>
            <w:r w:rsidRPr="007447EB">
              <w:rPr>
                <w:b/>
                <w:bCs/>
                <w:lang w:val="es-ES"/>
              </w:rPr>
              <w:t>A los efectos de los Servicios Online, se complementa la Sección titulada “Defensa de reclamaciones de terceros” con lo siguiente:</w:t>
            </w:r>
          </w:p>
        </w:tc>
      </w:tr>
    </w:tbl>
    <w:p w14:paraId="42065145" w14:textId="41AC5C96" w:rsidR="008C225D" w:rsidRPr="007447EB" w:rsidRDefault="00D5280E" w:rsidP="008C225D">
      <w:pPr>
        <w:spacing w:after="240"/>
        <w:ind w:left="1077" w:hanging="357"/>
        <w:rPr>
          <w:lang w:val="es-ES"/>
        </w:rPr>
      </w:pPr>
      <w:r w:rsidRPr="007447EB">
        <w:rPr>
          <w:b/>
          <w:bCs/>
          <w:lang w:val="es-ES"/>
        </w:rPr>
        <w:t>c.</w:t>
      </w:r>
      <w:r w:rsidRPr="007447EB">
        <w:rPr>
          <w:b/>
          <w:bCs/>
          <w:lang w:val="es-ES"/>
        </w:rPr>
        <w:tab/>
      </w:r>
      <w:r w:rsidRPr="007447EB">
        <w:rPr>
          <w:lang w:val="es-ES"/>
        </w:rPr>
        <w:t xml:space="preserve">En la medida en que el Cliente haya pedido Servicios Online en virtud de la Inscripción, la obligación del Cliente de defender a Microsoft contra cualquier reclamación realizada </w:t>
      </w:r>
      <w:r w:rsidRPr="007447EB">
        <w:rPr>
          <w:lang w:val="es-ES"/>
        </w:rPr>
        <w:lastRenderedPageBreak/>
        <w:t>por un tercero que no sea filial según la sección 6(b) se aplicará solo en la medida en que el Cliente sea responsable de la infracción o violación pertinente de la Directiva de Uso Aceptable. Además, Microsoft solo tendrá derecho a suspender o finalizar un Servicio Online según la sección 6(c), siempre que Microsoft tenga motivos razonables para sospechar que los Datos del Cliente o software o tecnología que no sea de Microsoft utilizado por el Cliente con el Servicio Online que Microsoft desee finalizar realmente infrinja los derechos de propiedad intelectual de un tercero.</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7447EB" w14:paraId="77B658B1" w14:textId="77777777" w:rsidTr="00E53ABB">
        <w:trPr>
          <w:jc w:val="center"/>
        </w:trPr>
        <w:tc>
          <w:tcPr>
            <w:tcW w:w="9029" w:type="dxa"/>
            <w:shd w:val="clear" w:color="auto" w:fill="C6D9F1"/>
          </w:tcPr>
          <w:p w14:paraId="3F63EE36" w14:textId="5D540AFB" w:rsidR="00374E8C" w:rsidRPr="007447EB" w:rsidRDefault="00512CB6" w:rsidP="006D6499">
            <w:pPr>
              <w:spacing w:after="120"/>
              <w:ind w:left="86" w:right="86"/>
              <w:rPr>
                <w:b/>
                <w:bCs/>
                <w:lang w:val="es-ES"/>
              </w:rPr>
            </w:pPr>
            <w:r w:rsidRPr="007447EB">
              <w:rPr>
                <w:b/>
                <w:bCs/>
                <w:lang w:val="es-ES"/>
              </w:rPr>
              <w:t xml:space="preserve">La Sección titulada </w:t>
            </w:r>
            <w:r w:rsidR="006D6499" w:rsidRPr="007447EB">
              <w:rPr>
                <w:b/>
                <w:bCs/>
                <w:lang w:val="es-ES"/>
              </w:rPr>
              <w:t>“</w:t>
            </w:r>
            <w:r w:rsidRPr="007447EB">
              <w:rPr>
                <w:b/>
                <w:bCs/>
                <w:lang w:val="es-ES"/>
              </w:rPr>
              <w:t>Limitación de responsabilidad</w:t>
            </w:r>
            <w:r w:rsidR="006D6499" w:rsidRPr="007447EB">
              <w:rPr>
                <w:b/>
                <w:bCs/>
                <w:lang w:val="es-ES"/>
              </w:rPr>
              <w:t>”</w:t>
            </w:r>
            <w:r w:rsidRPr="007447EB">
              <w:rPr>
                <w:b/>
                <w:bCs/>
                <w:lang w:val="es-ES"/>
              </w:rPr>
              <w:t xml:space="preserve"> se reemplaza por lo siguiente:</w:t>
            </w:r>
          </w:p>
        </w:tc>
      </w:tr>
    </w:tbl>
    <w:p w14:paraId="29757EA8" w14:textId="00A710D1" w:rsidR="00374E8C" w:rsidRPr="004D7362" w:rsidRDefault="00404D8A" w:rsidP="00BE4F6E">
      <w:pPr>
        <w:keepNext/>
        <w:ind w:left="720" w:hanging="720"/>
      </w:pPr>
      <w:r>
        <w:rPr>
          <w:b/>
          <w:bCs/>
          <w:i/>
          <w:iCs/>
          <w:sz w:val="26"/>
          <w:szCs w:val="26"/>
        </w:rPr>
        <w:t>7.</w:t>
      </w:r>
      <w:r>
        <w:rPr>
          <w:b/>
          <w:bCs/>
          <w:i/>
          <w:iCs/>
          <w:sz w:val="26"/>
          <w:szCs w:val="26"/>
        </w:rPr>
        <w:tab/>
        <w:t>Limitación de responsabilidad.</w:t>
      </w:r>
    </w:p>
    <w:p w14:paraId="1B88AC5B" w14:textId="4C5AADB9" w:rsidR="00374E8C" w:rsidRPr="007447EB" w:rsidRDefault="00374E8C" w:rsidP="00374E8C">
      <w:pPr>
        <w:rPr>
          <w:lang w:val="es-ES"/>
        </w:rPr>
      </w:pPr>
      <w:r w:rsidRPr="00D77519">
        <w:rPr>
          <w:lang w:val="es-ES"/>
        </w:rPr>
        <w:t>Podrá haber situaciones en las que el Cliente tenga derecho a presentar reclamaciones a Microsoft por daños o reembolso de gastos inútiles (</w:t>
      </w:r>
      <w:proofErr w:type="spellStart"/>
      <w:r w:rsidRPr="00D77519">
        <w:rPr>
          <w:lang w:val="es-ES"/>
        </w:rPr>
        <w:t>Ersatz</w:t>
      </w:r>
      <w:proofErr w:type="spellEnd"/>
      <w:r w:rsidRPr="00D77519">
        <w:rPr>
          <w:lang w:val="es-ES"/>
        </w:rPr>
        <w:t xml:space="preserve"> </w:t>
      </w:r>
      <w:proofErr w:type="spellStart"/>
      <w:r w:rsidRPr="00D77519">
        <w:rPr>
          <w:lang w:val="es-ES"/>
        </w:rPr>
        <w:t>vergeblicher</w:t>
      </w:r>
      <w:proofErr w:type="spellEnd"/>
      <w:r w:rsidRPr="00D77519">
        <w:rPr>
          <w:lang w:val="es-ES"/>
        </w:rPr>
        <w:t xml:space="preserve"> </w:t>
      </w:r>
      <w:proofErr w:type="spellStart"/>
      <w:r w:rsidRPr="00D77519">
        <w:rPr>
          <w:lang w:val="es-ES"/>
        </w:rPr>
        <w:t>Aufwendungen</w:t>
      </w:r>
      <w:proofErr w:type="spellEnd"/>
      <w:r w:rsidRPr="00D77519">
        <w:rPr>
          <w:lang w:val="es-ES"/>
        </w:rPr>
        <w:t>).</w:t>
      </w:r>
      <w:r w:rsidR="00436852" w:rsidRPr="00D77519">
        <w:rPr>
          <w:lang w:val="es-ES"/>
        </w:rPr>
        <w:t xml:space="preserve"> </w:t>
      </w:r>
      <w:r w:rsidRPr="007447EB">
        <w:rPr>
          <w:lang w:val="es-ES"/>
        </w:rPr>
        <w:t>Independientemente de cuál sea el fundamento jurídico de la reclamación del Cliente (incumplimiento de contrato, Defectos, responsabilidad extra</w:t>
      </w:r>
      <w:bookmarkStart w:id="2" w:name="_GoBack"/>
      <w:bookmarkEnd w:id="2"/>
      <w:r w:rsidRPr="007447EB">
        <w:rPr>
          <w:lang w:val="es-ES"/>
        </w:rPr>
        <w:t>contractual u otro), la responsabilidad de Microsoft por todos y cada uno de los daños resultantes se limitará de la siguiente manera:</w:t>
      </w:r>
    </w:p>
    <w:p w14:paraId="6548D0CF" w14:textId="3A923BCD" w:rsidR="00374E8C" w:rsidRPr="007447EB" w:rsidRDefault="00374E8C" w:rsidP="00374E8C">
      <w:pPr>
        <w:ind w:left="1080" w:hanging="360"/>
        <w:rPr>
          <w:lang w:val="es-ES"/>
        </w:rPr>
      </w:pPr>
      <w:r w:rsidRPr="007447EB">
        <w:rPr>
          <w:b/>
          <w:bCs/>
          <w:lang w:val="es-ES"/>
        </w:rPr>
        <w:t>a.</w:t>
      </w:r>
      <w:r w:rsidRPr="007447EB">
        <w:rPr>
          <w:lang w:val="es-ES"/>
        </w:rPr>
        <w:tab/>
        <w:t>En casos de actos deliberados, reclamaciones presentadas bajo la Ley Alemana de Responsabilidad por Productos (</w:t>
      </w:r>
      <w:proofErr w:type="spellStart"/>
      <w:r w:rsidRPr="007447EB">
        <w:rPr>
          <w:i/>
          <w:lang w:val="es-ES"/>
        </w:rPr>
        <w:t>Produkthaftungsgesetz</w:t>
      </w:r>
      <w:proofErr w:type="spellEnd"/>
      <w:r w:rsidRPr="007447EB">
        <w:rPr>
          <w:lang w:val="es-ES"/>
        </w:rPr>
        <w:t>), no revelación deliberada de un Defecto, así como reclamaciones por daños a la vida, al cuerpo o a la salud, la responsabilidad de Microsoft se determinará exclusivamente de acuerdo con la legislación.</w:t>
      </w:r>
    </w:p>
    <w:p w14:paraId="357F866B" w14:textId="2A323E08" w:rsidR="00374E8C" w:rsidRPr="007447EB" w:rsidRDefault="00374E8C" w:rsidP="00374E8C">
      <w:pPr>
        <w:ind w:left="1080" w:hanging="360"/>
        <w:rPr>
          <w:lang w:val="es-ES"/>
        </w:rPr>
      </w:pPr>
      <w:r w:rsidRPr="007447EB">
        <w:rPr>
          <w:b/>
          <w:bCs/>
          <w:lang w:val="es-ES"/>
        </w:rPr>
        <w:t>b.</w:t>
      </w:r>
      <w:r w:rsidRPr="007447EB">
        <w:rPr>
          <w:b/>
          <w:bCs/>
          <w:lang w:val="es-ES"/>
        </w:rPr>
        <w:tab/>
      </w:r>
      <w:r w:rsidRPr="007447EB">
        <w:rPr>
          <w:lang w:val="es-ES"/>
        </w:rPr>
        <w:t>En casos de negligencia grave, la responsabilidad de Microsoft se limitará a daños típicos y previsibles. Esta limitación no se aplicará en la medida en que dichos daños hayan sido causados por personal directivo o representantes legales de Microsoft.</w:t>
      </w:r>
    </w:p>
    <w:p w14:paraId="78547BF4" w14:textId="5267665A" w:rsidR="00374E8C" w:rsidRPr="007447EB" w:rsidRDefault="00374E8C" w:rsidP="00374E8C">
      <w:pPr>
        <w:ind w:left="1080" w:hanging="360"/>
        <w:rPr>
          <w:lang w:val="es-ES"/>
        </w:rPr>
      </w:pPr>
      <w:r w:rsidRPr="00D77519">
        <w:rPr>
          <w:b/>
          <w:bCs/>
          <w:lang w:val="es-ES"/>
        </w:rPr>
        <w:t>c.</w:t>
      </w:r>
      <w:r w:rsidRPr="00D77519">
        <w:rPr>
          <w:b/>
          <w:bCs/>
          <w:lang w:val="es-ES"/>
        </w:rPr>
        <w:tab/>
      </w:r>
      <w:r w:rsidRPr="00D77519">
        <w:rPr>
          <w:lang w:val="es-ES"/>
        </w:rPr>
        <w:t xml:space="preserve">En casos de negligencia leve, Microsoft sólo será responsable si incumple con aquellas obligaciones contractuales cuyo cumplimiento permite la debida ejecución de este contrato, y cuya infracción haría peligrar el propósito del presente contrato y la confianza del Cliente en su cumplimiento (denominadas </w:t>
      </w:r>
      <w:r w:rsidR="006D6499" w:rsidRPr="00D77519">
        <w:rPr>
          <w:lang w:val="es-ES"/>
        </w:rPr>
        <w:t>“</w:t>
      </w:r>
      <w:r w:rsidRPr="00D77519">
        <w:rPr>
          <w:lang w:val="es-ES"/>
        </w:rPr>
        <w:t xml:space="preserve">obligaciones </w:t>
      </w:r>
      <w:proofErr w:type="spellStart"/>
      <w:r w:rsidR="006D6499" w:rsidRPr="00D77519">
        <w:rPr>
          <w:lang w:val="es-ES"/>
        </w:rPr>
        <w:t>cardinals</w:t>
      </w:r>
      <w:proofErr w:type="spellEnd"/>
      <w:r w:rsidR="006D6499" w:rsidRPr="00D77519">
        <w:rPr>
          <w:lang w:val="es-ES"/>
        </w:rPr>
        <w:t>”</w:t>
      </w:r>
      <w:r w:rsidRPr="00D77519">
        <w:rPr>
          <w:lang w:val="es-ES"/>
        </w:rPr>
        <w:t xml:space="preserve"> (</w:t>
      </w:r>
      <w:proofErr w:type="spellStart"/>
      <w:r w:rsidRPr="00D77519">
        <w:rPr>
          <w:i/>
          <w:lang w:val="es-ES"/>
        </w:rPr>
        <w:t>Kardinalpflichten</w:t>
      </w:r>
      <w:proofErr w:type="spellEnd"/>
      <w:r w:rsidRPr="00D77519">
        <w:rPr>
          <w:lang w:val="es-ES"/>
        </w:rPr>
        <w:t>)).</w:t>
      </w:r>
      <w:r w:rsidR="00436852" w:rsidRPr="00D77519">
        <w:rPr>
          <w:lang w:val="es-ES"/>
        </w:rPr>
        <w:t xml:space="preserve"> </w:t>
      </w:r>
      <w:r w:rsidRPr="00D77519">
        <w:rPr>
          <w:lang w:val="es-ES"/>
        </w:rPr>
        <w:t>En esos casos, la responsabilidad de Microsoft se limitará a daños típicos y previsibles.</w:t>
      </w:r>
      <w:r w:rsidR="00436852" w:rsidRPr="00D77519">
        <w:rPr>
          <w:lang w:val="es-ES"/>
        </w:rPr>
        <w:t xml:space="preserve"> </w:t>
      </w:r>
      <w:r w:rsidRPr="007447EB">
        <w:rPr>
          <w:lang w:val="es-ES"/>
        </w:rPr>
        <w:t>En todos los otros casos, Microsoft no será responsable por negligencia leve.</w:t>
      </w:r>
    </w:p>
    <w:p w14:paraId="5C242B9C" w14:textId="429FEEBA" w:rsidR="00374E8C" w:rsidRPr="007447EB" w:rsidRDefault="00374E8C" w:rsidP="00374E8C">
      <w:pPr>
        <w:ind w:left="1080" w:hanging="360"/>
        <w:rPr>
          <w:lang w:val="es-ES"/>
        </w:rPr>
      </w:pPr>
      <w:r w:rsidRPr="007447EB">
        <w:rPr>
          <w:b/>
          <w:bCs/>
          <w:lang w:val="es-ES"/>
        </w:rPr>
        <w:t>d.</w:t>
      </w:r>
      <w:r w:rsidRPr="007447EB">
        <w:rPr>
          <w:b/>
          <w:bCs/>
          <w:lang w:val="es-ES"/>
        </w:rPr>
        <w:tab/>
      </w:r>
      <w:r w:rsidRPr="007447EB">
        <w:rPr>
          <w:lang w:val="es-ES"/>
        </w:rPr>
        <w:t>En casos de responsabilidad objetiva, por incapacidad de prestación de servicios durante un período de retraso, la responsabilidad de Microsoft también se limitará a daños típicos y previsibles.</w:t>
      </w:r>
    </w:p>
    <w:p w14:paraId="72A9F621" w14:textId="7B002F35" w:rsidR="00374E8C" w:rsidRPr="007447EB" w:rsidRDefault="00374E8C" w:rsidP="00374E8C">
      <w:pPr>
        <w:ind w:left="1080" w:hanging="360"/>
        <w:rPr>
          <w:lang w:val="es-ES"/>
        </w:rPr>
      </w:pPr>
      <w:r w:rsidRPr="007447EB">
        <w:rPr>
          <w:b/>
          <w:bCs/>
          <w:lang w:val="es-ES"/>
        </w:rPr>
        <w:t>e.</w:t>
      </w:r>
      <w:r w:rsidRPr="007447EB">
        <w:rPr>
          <w:lang w:val="es-ES"/>
        </w:rPr>
        <w:tab/>
        <w:t>En los casos en los que Microsoft deba suministrar un bien mueble que aún no haya sido producido, cualquier reclamación por daños o gastos derivados de los Defectos quedará condicionada al cumplimiento, por parte del Cliente, de sus obligaciones de notificar a Microsoft todos los Defectos, según se describe anteriormente.</w:t>
      </w:r>
    </w:p>
    <w:p w14:paraId="511FF9AA" w14:textId="120BFD65" w:rsidR="008C225D" w:rsidRPr="004D7362" w:rsidRDefault="008C225D" w:rsidP="00374E8C">
      <w:pPr>
        <w:ind w:left="1080" w:hanging="360"/>
      </w:pPr>
      <w:r w:rsidRPr="007447EB">
        <w:rPr>
          <w:rFonts w:eastAsia="Calibri"/>
          <w:b/>
          <w:color w:val="auto"/>
          <w:lang w:val="es-ES"/>
        </w:rPr>
        <w:t>f.</w:t>
      </w:r>
      <w:r w:rsidRPr="007447EB">
        <w:rPr>
          <w:rFonts w:eastAsia="Calibri"/>
          <w:color w:val="auto"/>
          <w:lang w:val="es-ES"/>
        </w:rPr>
        <w:tab/>
        <w:t>En casos en que los Servicios Online de Microsoft se consideren arriendos (</w:t>
      </w:r>
      <w:proofErr w:type="spellStart"/>
      <w:r w:rsidRPr="007447EB">
        <w:rPr>
          <w:rFonts w:eastAsia="Calibri"/>
          <w:i/>
          <w:color w:val="auto"/>
          <w:lang w:val="es-ES"/>
        </w:rPr>
        <w:t>mietweise</w:t>
      </w:r>
      <w:proofErr w:type="spellEnd"/>
      <w:r w:rsidRPr="007447EB">
        <w:rPr>
          <w:rFonts w:eastAsia="Calibri"/>
          <w:i/>
          <w:color w:val="auto"/>
          <w:lang w:val="es-ES"/>
        </w:rPr>
        <w:t xml:space="preserve"> </w:t>
      </w:r>
      <w:proofErr w:type="spellStart"/>
      <w:r w:rsidRPr="007447EB">
        <w:rPr>
          <w:rFonts w:eastAsia="Calibri"/>
          <w:i/>
          <w:color w:val="auto"/>
          <w:lang w:val="es-ES"/>
        </w:rPr>
        <w:t>Überlassung</w:t>
      </w:r>
      <w:proofErr w:type="spellEnd"/>
      <w:r w:rsidRPr="007447EB">
        <w:rPr>
          <w:rFonts w:eastAsia="Calibri"/>
          <w:color w:val="auto"/>
          <w:lang w:val="es-ES"/>
        </w:rPr>
        <w:t xml:space="preserve">) y están sujetos a las disposiciones previstas de la ley de </w:t>
      </w:r>
      <w:proofErr w:type="spellStart"/>
      <w:r w:rsidRPr="007447EB">
        <w:rPr>
          <w:rFonts w:eastAsia="Calibri"/>
          <w:color w:val="auto"/>
          <w:lang w:val="es-ES"/>
        </w:rPr>
        <w:t>arrendammiento</w:t>
      </w:r>
      <w:proofErr w:type="spellEnd"/>
      <w:r w:rsidRPr="007447EB">
        <w:rPr>
          <w:rFonts w:eastAsia="Calibri"/>
          <w:color w:val="auto"/>
          <w:lang w:val="es-ES"/>
        </w:rPr>
        <w:t xml:space="preserve"> Alemana (</w:t>
      </w:r>
      <w:proofErr w:type="spellStart"/>
      <w:r w:rsidRPr="007447EB">
        <w:rPr>
          <w:rFonts w:eastAsia="Calibri"/>
          <w:i/>
          <w:color w:val="auto"/>
          <w:lang w:val="es-ES"/>
        </w:rPr>
        <w:t>mietrechtliche</w:t>
      </w:r>
      <w:proofErr w:type="spellEnd"/>
      <w:r w:rsidRPr="007447EB">
        <w:rPr>
          <w:rFonts w:eastAsia="Calibri"/>
          <w:i/>
          <w:color w:val="auto"/>
          <w:lang w:val="es-ES"/>
        </w:rPr>
        <w:t xml:space="preserve"> </w:t>
      </w:r>
      <w:proofErr w:type="spellStart"/>
      <w:r w:rsidRPr="007447EB">
        <w:rPr>
          <w:rFonts w:eastAsia="Calibri"/>
          <w:i/>
          <w:color w:val="auto"/>
          <w:lang w:val="es-ES"/>
        </w:rPr>
        <w:t>Regelungen</w:t>
      </w:r>
      <w:proofErr w:type="spellEnd"/>
      <w:r w:rsidRPr="007447EB">
        <w:rPr>
          <w:rFonts w:eastAsia="Calibri"/>
          <w:color w:val="auto"/>
          <w:lang w:val="es-ES"/>
        </w:rPr>
        <w:t>), Microsoft no será responsable de los daños basados en Defectos en el significado de § 536 del Código Civil Alemán (</w:t>
      </w:r>
      <w:proofErr w:type="spellStart"/>
      <w:r w:rsidRPr="007447EB">
        <w:rPr>
          <w:rFonts w:eastAsia="Calibri"/>
          <w:i/>
          <w:color w:val="auto"/>
          <w:lang w:val="es-ES"/>
        </w:rPr>
        <w:t>Bürgerliches</w:t>
      </w:r>
      <w:proofErr w:type="spellEnd"/>
      <w:r w:rsidRPr="007447EB">
        <w:rPr>
          <w:rFonts w:eastAsia="Calibri"/>
          <w:i/>
          <w:color w:val="auto"/>
          <w:lang w:val="es-ES"/>
        </w:rPr>
        <w:t xml:space="preserve"> </w:t>
      </w:r>
      <w:proofErr w:type="spellStart"/>
      <w:r w:rsidRPr="007447EB">
        <w:rPr>
          <w:rFonts w:eastAsia="Calibri"/>
          <w:i/>
          <w:color w:val="auto"/>
          <w:lang w:val="es-ES"/>
        </w:rPr>
        <w:t>Gesetzbuch</w:t>
      </w:r>
      <w:proofErr w:type="spellEnd"/>
      <w:r w:rsidRPr="007447EB">
        <w:rPr>
          <w:rFonts w:eastAsia="Calibri"/>
          <w:color w:val="auto"/>
          <w:lang w:val="es-ES"/>
        </w:rPr>
        <w:t xml:space="preserve">) que ya existan cuando se celebre el contrato de arrendamiento. </w:t>
      </w:r>
      <w:r>
        <w:rPr>
          <w:rFonts w:eastAsia="Calibri"/>
          <w:color w:val="auto"/>
        </w:rPr>
        <w:t xml:space="preserve">§ 536 a </w:t>
      </w:r>
      <w:proofErr w:type="spellStart"/>
      <w:r>
        <w:rPr>
          <w:rFonts w:eastAsia="Calibri"/>
          <w:color w:val="auto"/>
        </w:rPr>
        <w:t>párrafo</w:t>
      </w:r>
      <w:proofErr w:type="spellEnd"/>
      <w:r>
        <w:rPr>
          <w:rFonts w:eastAsia="Calibri"/>
          <w:color w:val="auto"/>
        </w:rPr>
        <w:t xml:space="preserve"> 1, 1er alt. del Código Civil Alemán no se aplicará.</w:t>
      </w:r>
    </w:p>
    <w:p w14:paraId="7D5456DB" w14:textId="472D6D2F" w:rsidR="00374E8C" w:rsidRPr="007447EB" w:rsidRDefault="008C225D" w:rsidP="00374E8C">
      <w:pPr>
        <w:ind w:left="1080" w:hanging="360"/>
        <w:rPr>
          <w:lang w:val="es-ES"/>
        </w:rPr>
      </w:pPr>
      <w:r w:rsidRPr="00D77519">
        <w:rPr>
          <w:b/>
          <w:bCs/>
          <w:lang w:val="es-ES"/>
        </w:rPr>
        <w:t>g.</w:t>
      </w:r>
      <w:r w:rsidRPr="00D77519">
        <w:rPr>
          <w:lang w:val="es-ES"/>
        </w:rPr>
        <w:tab/>
        <w:t>Toda reclamación por daños o gastos derivados de Defectos expirará en el plazo de un año.</w:t>
      </w:r>
      <w:r w:rsidR="00436852" w:rsidRPr="00D77519">
        <w:rPr>
          <w:lang w:val="es-ES"/>
        </w:rPr>
        <w:t xml:space="preserve"> </w:t>
      </w:r>
      <w:r w:rsidRPr="007447EB">
        <w:rPr>
          <w:lang w:val="es-ES"/>
        </w:rPr>
        <w:t>En el caso de un bien mueble suministrado que todavía tenga que producirse, el período de limitación comenzará en la fecha de la entrega; en los casos de ejecuciones de un trabajo, el período de limitación comenzará en la fecha de aceptación (</w:t>
      </w:r>
      <w:proofErr w:type="spellStart"/>
      <w:r w:rsidRPr="007447EB">
        <w:rPr>
          <w:lang w:val="es-ES"/>
        </w:rPr>
        <w:t>Abnahme</w:t>
      </w:r>
      <w:proofErr w:type="spellEnd"/>
      <w:r w:rsidRPr="007447EB">
        <w:rPr>
          <w:lang w:val="es-ES"/>
        </w:rPr>
        <w:t xml:space="preserve">). Esta disposición no afecta al artículo 438, párrafo 1 N.º 1 a) del Código Civil Alemán. </w:t>
      </w:r>
    </w:p>
    <w:p w14:paraId="27950DF7" w14:textId="305C4DBA" w:rsidR="00374E8C" w:rsidRPr="007447EB" w:rsidRDefault="00374E8C" w:rsidP="00374E8C">
      <w:pPr>
        <w:ind w:left="1080"/>
        <w:rPr>
          <w:lang w:val="es-ES"/>
        </w:rPr>
      </w:pPr>
      <w:r w:rsidRPr="007447EB">
        <w:rPr>
          <w:lang w:val="es-ES"/>
        </w:rPr>
        <w:t>Cualquier otra reclamación contra Microsoft por daños o gastos expirará dentro de los dos años siguientes a la fecha en que se produjo la causa de la acción legal.</w:t>
      </w:r>
    </w:p>
    <w:p w14:paraId="1C4580B1" w14:textId="26B5710A" w:rsidR="00374E8C" w:rsidRPr="004D7362" w:rsidRDefault="00374E8C" w:rsidP="00374E8C">
      <w:pPr>
        <w:ind w:left="1080"/>
      </w:pPr>
      <w:r w:rsidRPr="007447EB">
        <w:rPr>
          <w:lang w:val="es-ES"/>
        </w:rPr>
        <w:t xml:space="preserve">Lo dispuesto en el presente subapartado no será de aplicación en el caso de ocultación dolosa de un Defecto, en actos intencionados o de negligencia grave por parte de Microsoft, reclamaciones en virtud de la Ley Alemana de Responsabilidad por Productos, </w:t>
      </w:r>
      <w:r w:rsidRPr="007447EB">
        <w:rPr>
          <w:lang w:val="es-ES"/>
        </w:rPr>
        <w:lastRenderedPageBreak/>
        <w:t>ni en casos de muerte, daños corporales o daños a la salud.</w:t>
      </w:r>
      <w:r w:rsidR="00436852" w:rsidRPr="007447EB">
        <w:rPr>
          <w:lang w:val="es-ES"/>
        </w:rPr>
        <w:t xml:space="preserve"> </w:t>
      </w:r>
      <w:proofErr w:type="spellStart"/>
      <w:r>
        <w:t>En</w:t>
      </w:r>
      <w:proofErr w:type="spellEnd"/>
      <w:r>
        <w:t xml:space="preserve"> </w:t>
      </w:r>
      <w:proofErr w:type="spellStart"/>
      <w:r>
        <w:t>estos</w:t>
      </w:r>
      <w:proofErr w:type="spellEnd"/>
      <w:r>
        <w:t xml:space="preserve"> </w:t>
      </w:r>
      <w:proofErr w:type="spellStart"/>
      <w:r>
        <w:t>casos</w:t>
      </w:r>
      <w:proofErr w:type="spellEnd"/>
      <w:r>
        <w:t xml:space="preserve">, se </w:t>
      </w:r>
      <w:proofErr w:type="spellStart"/>
      <w:r>
        <w:t>aplicará</w:t>
      </w:r>
      <w:proofErr w:type="spellEnd"/>
      <w:r>
        <w:t xml:space="preserve"> la legislación.</w:t>
      </w:r>
    </w:p>
    <w:p w14:paraId="3166D67A" w14:textId="77777777" w:rsidR="00374E8C" w:rsidRPr="004D7362" w:rsidRDefault="00374E8C" w:rsidP="00374E8C">
      <w:pPr>
        <w:keepNext/>
        <w:shd w:val="clear" w:color="auto" w:fill="000000"/>
        <w:spacing w:before="360" w:after="120"/>
      </w:pPr>
      <w:r>
        <w:rPr>
          <w:b/>
          <w:bCs/>
          <w:color w:val="FFFFFF"/>
        </w:rPr>
        <w:t>Hungría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7447EB" w14:paraId="7075C13E" w14:textId="77777777" w:rsidTr="00E53ABB">
        <w:trPr>
          <w:jc w:val="center"/>
        </w:trPr>
        <w:tc>
          <w:tcPr>
            <w:tcW w:w="9029" w:type="dxa"/>
            <w:shd w:val="clear" w:color="auto" w:fill="C6D9F1"/>
          </w:tcPr>
          <w:p w14:paraId="513EC76F" w14:textId="332C7EC0" w:rsidR="00374E8C" w:rsidRPr="007447EB" w:rsidRDefault="00374E8C" w:rsidP="00924DE4">
            <w:pPr>
              <w:keepNext/>
              <w:spacing w:after="120"/>
              <w:ind w:left="86" w:right="86"/>
              <w:rPr>
                <w:b/>
                <w:bCs/>
                <w:lang w:val="es-ES"/>
              </w:rPr>
            </w:pPr>
            <w:r w:rsidRPr="007447EB">
              <w:rPr>
                <w:b/>
                <w:bCs/>
                <w:lang w:val="es-ES"/>
              </w:rPr>
              <w:t>La sección titulada “Limitación de la responsabilidad” se complementa con lo siguiente:</w:t>
            </w:r>
          </w:p>
        </w:tc>
      </w:tr>
    </w:tbl>
    <w:p w14:paraId="70835225" w14:textId="4B38355D" w:rsidR="00374E8C" w:rsidRPr="007447EB" w:rsidRDefault="00D92D70" w:rsidP="00374E8C">
      <w:pPr>
        <w:ind w:left="1080" w:hanging="360"/>
        <w:rPr>
          <w:lang w:val="es-ES"/>
        </w:rPr>
      </w:pPr>
      <w:r w:rsidRPr="00D77519">
        <w:rPr>
          <w:b/>
          <w:bCs/>
          <w:lang w:val="es-ES"/>
        </w:rPr>
        <w:t>e.</w:t>
      </w:r>
      <w:r w:rsidRPr="00D77519">
        <w:rPr>
          <w:b/>
          <w:bCs/>
          <w:lang w:val="es-ES"/>
        </w:rPr>
        <w:tab/>
        <w:t>Términos negociados.</w:t>
      </w:r>
      <w:r w:rsidR="00436852" w:rsidRPr="00D77519">
        <w:rPr>
          <w:lang w:val="es-ES"/>
        </w:rPr>
        <w:t xml:space="preserve"> </w:t>
      </w:r>
      <w:r w:rsidRPr="00D77519">
        <w:rPr>
          <w:lang w:val="es-ES"/>
        </w:rPr>
        <w:t>Las partes reconocen que este contrato fue celebrado con los términos individualmente negociados entre las partes y que las partes tuvieron la oportunidad de realizar propuestas de modificación a los borradores.</w:t>
      </w:r>
      <w:r w:rsidR="00436852" w:rsidRPr="00D77519">
        <w:rPr>
          <w:lang w:val="es-ES"/>
        </w:rPr>
        <w:t xml:space="preserve"> </w:t>
      </w:r>
      <w:r w:rsidRPr="007447EB">
        <w:rPr>
          <w:lang w:val="es-ES"/>
        </w:rPr>
        <w:t>El Cliente reconoce que Microsoft le ha advertido expresamente acerca de los términos y condiciones que se establecen en las secciones tituladas “Garantías”, “Defensa frente a reclamaciones de terceros” y “Limitación de la responsabilidad” del presente contrato; el Cliente confirma expresamente que acepta dichas secciones.</w:t>
      </w:r>
    </w:p>
    <w:p w14:paraId="36437FFE" w14:textId="742B90D9" w:rsidR="00374E8C" w:rsidRPr="004D7362" w:rsidRDefault="00374E8C" w:rsidP="00374E8C">
      <w:pPr>
        <w:keepNext/>
        <w:shd w:val="clear" w:color="auto" w:fill="000000"/>
        <w:spacing w:before="360" w:after="120"/>
      </w:pPr>
      <w:r>
        <w:rPr>
          <w:b/>
          <w:bCs/>
          <w:color w:val="FFFFFF"/>
        </w:rPr>
        <w:t>Polonia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7447EB" w14:paraId="5DCF8C7C" w14:textId="77777777" w:rsidTr="00404D8A">
        <w:trPr>
          <w:jc w:val="center"/>
        </w:trPr>
        <w:tc>
          <w:tcPr>
            <w:tcW w:w="9029" w:type="dxa"/>
            <w:shd w:val="clear" w:color="auto" w:fill="C6D9F1"/>
          </w:tcPr>
          <w:p w14:paraId="433EDDCB" w14:textId="78586CB4" w:rsidR="00374E8C" w:rsidRPr="007447EB" w:rsidRDefault="00374E8C" w:rsidP="00BC390A">
            <w:pPr>
              <w:spacing w:after="120"/>
              <w:ind w:left="86" w:right="86"/>
              <w:rPr>
                <w:b/>
                <w:bCs/>
                <w:lang w:val="es-ES"/>
              </w:rPr>
            </w:pPr>
            <w:r w:rsidRPr="007447EB">
              <w:rPr>
                <w:b/>
                <w:bCs/>
                <w:lang w:val="es-ES"/>
              </w:rPr>
              <w:t>La sección titulada “Limitación de la responsabilidad” se complementa con lo siguiente:</w:t>
            </w:r>
          </w:p>
        </w:tc>
      </w:tr>
    </w:tbl>
    <w:p w14:paraId="7E4D65C8" w14:textId="0A9D3574" w:rsidR="00374E8C" w:rsidRPr="007447EB" w:rsidRDefault="00BC390A" w:rsidP="00374E8C">
      <w:pPr>
        <w:ind w:left="1080" w:hanging="360"/>
        <w:rPr>
          <w:lang w:val="es-ES"/>
        </w:rPr>
      </w:pPr>
      <w:r w:rsidRPr="007447EB">
        <w:rPr>
          <w:b/>
          <w:lang w:val="es-ES"/>
        </w:rPr>
        <w:t>e.</w:t>
      </w:r>
      <w:r w:rsidRPr="007447EB">
        <w:rPr>
          <w:lang w:val="es-ES"/>
        </w:rPr>
        <w:tab/>
        <w:t xml:space="preserve">Si la acción u omisión que ha provocado el daño ha sido el incumplimiento o la ejecución indebida por parte de Microsoft de este contrato o de cualquier Documento de Servicios y, al mismo tiempo, constituye el fundamento de la responsabilidad extracontractual de Microsoft, el Cliente tendrá derecho a exigir la reparación de dicho daño únicamente de acuerdo con esta sección del contrato y exclusivamente dentro del ámbito que se estipula en el apartado anterior titulado </w:t>
      </w:r>
      <w:r w:rsidR="006D6499" w:rsidRPr="007447EB">
        <w:rPr>
          <w:lang w:val="es-ES"/>
        </w:rPr>
        <w:t>“</w:t>
      </w:r>
      <w:r w:rsidRPr="007447EB">
        <w:rPr>
          <w:lang w:val="es-ES"/>
        </w:rPr>
        <w:t>Limitación de responsabilidad</w:t>
      </w:r>
      <w:r w:rsidR="006D6499" w:rsidRPr="007447EB">
        <w:rPr>
          <w:lang w:val="es-ES"/>
        </w:rPr>
        <w:t>”</w:t>
      </w:r>
      <w:r w:rsidRPr="007447EB">
        <w:rPr>
          <w:lang w:val="es-ES"/>
        </w:rPr>
        <w:t>.</w:t>
      </w:r>
    </w:p>
    <w:p w14:paraId="3AB3D944" w14:textId="77777777" w:rsidR="00374E8C" w:rsidRPr="004D7362" w:rsidRDefault="00374E8C" w:rsidP="00374E8C">
      <w:pPr>
        <w:keepNext/>
        <w:shd w:val="clear" w:color="auto" w:fill="000000"/>
        <w:spacing w:before="360" w:after="120"/>
      </w:pPr>
      <w:r>
        <w:rPr>
          <w:b/>
          <w:bCs/>
          <w:color w:val="FFFFFF"/>
        </w:rPr>
        <w:t>Rumania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7447EB" w14:paraId="234CCA55" w14:textId="77777777" w:rsidTr="00E53ABB">
        <w:trPr>
          <w:jc w:val="center"/>
        </w:trPr>
        <w:tc>
          <w:tcPr>
            <w:tcW w:w="9029" w:type="dxa"/>
            <w:tcBorders>
              <w:top w:val="single" w:sz="4" w:space="0" w:color="000000"/>
              <w:left w:val="single" w:sz="4" w:space="0" w:color="000000"/>
              <w:bottom w:val="single" w:sz="4" w:space="0" w:color="000000"/>
              <w:right w:val="single" w:sz="4" w:space="0" w:color="000000"/>
            </w:tcBorders>
            <w:shd w:val="clear" w:color="auto" w:fill="C6D9F1"/>
            <w:hideMark/>
          </w:tcPr>
          <w:p w14:paraId="20A2DEDF" w14:textId="69D991DB" w:rsidR="00374E8C" w:rsidRPr="007447EB" w:rsidRDefault="00374E8C" w:rsidP="00F3569F">
            <w:pPr>
              <w:keepNext/>
              <w:spacing w:after="120"/>
              <w:ind w:left="86" w:right="86"/>
              <w:rPr>
                <w:b/>
                <w:bCs/>
                <w:lang w:val="es-ES"/>
              </w:rPr>
            </w:pPr>
            <w:r w:rsidRPr="007447EB">
              <w:rPr>
                <w:b/>
                <w:bCs/>
                <w:lang w:val="es-ES"/>
              </w:rPr>
              <w:t>La sección titulada “Otras cláusulas contractuales” se complementa con lo siguiente:</w:t>
            </w:r>
          </w:p>
        </w:tc>
      </w:tr>
    </w:tbl>
    <w:p w14:paraId="53FAF6FE" w14:textId="085CDDC4" w:rsidR="00374E8C" w:rsidRPr="007447EB" w:rsidRDefault="00D95884" w:rsidP="00122A75">
      <w:pPr>
        <w:pStyle w:val="ListParagraph"/>
        <w:adjustRightInd w:val="0"/>
        <w:snapToGrid w:val="0"/>
        <w:ind w:left="1080" w:hanging="360"/>
        <w:contextualSpacing w:val="0"/>
        <w:rPr>
          <w:lang w:val="es-ES"/>
        </w:rPr>
      </w:pPr>
      <w:r w:rsidRPr="00D77519">
        <w:rPr>
          <w:b/>
          <w:bCs/>
          <w:lang w:val="es-ES"/>
        </w:rPr>
        <w:t>o.</w:t>
      </w:r>
      <w:r w:rsidRPr="00D77519">
        <w:rPr>
          <w:bCs/>
          <w:lang w:val="es-ES"/>
        </w:rPr>
        <w:tab/>
        <w:t>Las partes reconocen que este contrato fue celebrado con los términos individualmente negociados entre las partes y que las partes tuvieron la oportunidad de realizar propuestas de modificación a los borradores.</w:t>
      </w:r>
      <w:r w:rsidR="00436852" w:rsidRPr="00D77519">
        <w:rPr>
          <w:bCs/>
          <w:lang w:val="es-ES"/>
        </w:rPr>
        <w:t xml:space="preserve"> </w:t>
      </w:r>
      <w:r w:rsidRPr="007447EB">
        <w:rPr>
          <w:bCs/>
          <w:lang w:val="es-ES"/>
        </w:rPr>
        <w:t>Por el presente documento el Cliente declara que, al firmar en el formulario de firma adjunto en este contrato, se reconocen y aceptan todas sus disposiciones, incluidas las que podrían considerarse cláusulas no habituales (como se define en el artículo 1203 del Código Civil rumano) establecidas en este contrato por parte de Microsoft, incluidas, sin limitación, las disposiciones en: la sección titulada “Uso, titularidad, derechos y restricciones”; la sección titulada “Garantías”; la sección titulada “Defensa frente a reclamaciones de terceros”; la sección titulada “Limitación de responsabilidad”; la sección titulada “Periodo de vigencia y resolución”; el subapartado titulado “Cesión”; el subapartado titulado “Resolución de conflictos”; el subapartado titulado “Legislación aplicable”; el subapartado titulado “Condiciones de pago de los Servicios Profesionales”; el subapartado titulado “Exportación a EE. UU.”.</w:t>
      </w:r>
    </w:p>
    <w:p w14:paraId="384CF72A" w14:textId="77777777" w:rsidR="00374E8C" w:rsidRPr="004D7362" w:rsidRDefault="00374E8C" w:rsidP="00374E8C">
      <w:pPr>
        <w:keepNext/>
        <w:shd w:val="clear" w:color="auto" w:fill="000000"/>
        <w:spacing w:before="360" w:after="120"/>
      </w:pPr>
      <w:proofErr w:type="spellStart"/>
      <w:r>
        <w:rPr>
          <w:b/>
          <w:bCs/>
          <w:color w:val="FFFFFF"/>
        </w:rPr>
        <w:t>Eslovaquia</w:t>
      </w:r>
      <w:proofErr w:type="spellEnd"/>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7447EB" w14:paraId="556245E5" w14:textId="77777777" w:rsidTr="00404D8A">
        <w:trPr>
          <w:jc w:val="center"/>
        </w:trPr>
        <w:tc>
          <w:tcPr>
            <w:tcW w:w="9029" w:type="dxa"/>
            <w:shd w:val="clear" w:color="auto" w:fill="C6D9F1"/>
          </w:tcPr>
          <w:p w14:paraId="4C9042DF" w14:textId="4CB509DF" w:rsidR="00374E8C" w:rsidRPr="007447EB" w:rsidRDefault="00374E8C" w:rsidP="00F3569F">
            <w:pPr>
              <w:spacing w:after="120"/>
              <w:ind w:left="86" w:right="86"/>
              <w:rPr>
                <w:b/>
                <w:bCs/>
                <w:lang w:val="es-ES"/>
              </w:rPr>
            </w:pPr>
            <w:r w:rsidRPr="007447EB">
              <w:rPr>
                <w:b/>
                <w:bCs/>
                <w:lang w:val="es-ES"/>
              </w:rPr>
              <w:t>Se complementa la sección titulada “Garantías” con lo siguiente:</w:t>
            </w:r>
          </w:p>
        </w:tc>
      </w:tr>
    </w:tbl>
    <w:p w14:paraId="362036B6" w14:textId="6A0FB387" w:rsidR="00374E8C" w:rsidRPr="007447EB" w:rsidRDefault="00374E8C" w:rsidP="00374E8C">
      <w:pPr>
        <w:spacing w:after="240"/>
        <w:ind w:left="1080"/>
        <w:rPr>
          <w:lang w:val="es-ES"/>
        </w:rPr>
      </w:pPr>
      <w:r w:rsidRPr="007447EB">
        <w:rPr>
          <w:lang w:val="es-ES"/>
        </w:rPr>
        <w:t>Los Entregables de Microsoft se desarrollan de acuerdo con el conocimiento científico y técnico más reciente.</w:t>
      </w:r>
      <w:r w:rsidR="00436852" w:rsidRPr="007447EB">
        <w:rPr>
          <w:lang w:val="es-ES"/>
        </w:rPr>
        <w:t xml:space="preserve"> </w:t>
      </w:r>
      <w:r w:rsidRPr="007447EB">
        <w:rPr>
          <w:lang w:val="es-ES"/>
        </w:rPr>
        <w:t>Microsoft notifica expresamente al Cliente que, según el vigente estado de la técnica, no es posible desarrollar productos de software complejos que estén completamente libres de defectos técnicos, los cuales podrán aparecer en el futuro.</w:t>
      </w:r>
      <w:r w:rsidR="00436852" w:rsidRPr="007447EB">
        <w:rPr>
          <w:lang w:val="es-ES"/>
        </w:rPr>
        <w:t xml:space="preserve"> </w:t>
      </w:r>
      <w:r w:rsidRPr="007447EB">
        <w:rPr>
          <w:lang w:val="es-ES"/>
        </w:rPr>
        <w:t>El software proporcionado por Microsoft no necesita estar completamente libre de errores de programación, pero funcionará sustancialmente de acuerdo con la documentación de usuario de Microsoft o, si no existe tal documentación de usuario, de acuerdo con el correspondiente Documento de servicios.</w:t>
      </w:r>
    </w:p>
    <w:p w14:paraId="4A7CFFDB" w14:textId="338AA534" w:rsidR="00374E8C" w:rsidRPr="004D7362" w:rsidRDefault="00374E8C" w:rsidP="00374E8C">
      <w:pPr>
        <w:keepNext/>
        <w:shd w:val="clear" w:color="auto" w:fill="000000"/>
        <w:spacing w:before="360" w:after="120"/>
      </w:pPr>
      <w:proofErr w:type="spellStart"/>
      <w:r>
        <w:rPr>
          <w:b/>
          <w:bCs/>
          <w:color w:val="FFFFFF"/>
        </w:rPr>
        <w:lastRenderedPageBreak/>
        <w:t>Suiza</w:t>
      </w:r>
      <w:proofErr w:type="spellEnd"/>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7447EB" w14:paraId="46E6F774" w14:textId="77777777" w:rsidTr="00B471C1">
        <w:trPr>
          <w:jc w:val="center"/>
        </w:trPr>
        <w:tc>
          <w:tcPr>
            <w:tcW w:w="9029" w:type="dxa"/>
            <w:shd w:val="clear" w:color="auto" w:fill="BDD6EE" w:themeFill="accent1" w:themeFillTint="66"/>
          </w:tcPr>
          <w:p w14:paraId="38704A81" w14:textId="4455D115" w:rsidR="00374E8C" w:rsidRPr="007447EB" w:rsidRDefault="00374E8C" w:rsidP="00F3569F">
            <w:pPr>
              <w:keepNext/>
              <w:spacing w:after="120"/>
              <w:ind w:left="86" w:right="86"/>
              <w:rPr>
                <w:b/>
                <w:bCs/>
                <w:lang w:val="es-ES"/>
              </w:rPr>
            </w:pPr>
            <w:r w:rsidRPr="007447EB">
              <w:rPr>
                <w:b/>
                <w:bCs/>
                <w:lang w:val="es-ES"/>
              </w:rPr>
              <w:t>La sección titulada “Otras cláusulas contractuales” se complementa con lo siguiente:</w:t>
            </w:r>
          </w:p>
        </w:tc>
      </w:tr>
    </w:tbl>
    <w:p w14:paraId="25AFE6A6" w14:textId="70201EF1" w:rsidR="00374E8C" w:rsidRPr="007447EB" w:rsidRDefault="0089029D" w:rsidP="00122A75">
      <w:pPr>
        <w:ind w:left="1080" w:hanging="360"/>
        <w:rPr>
          <w:lang w:val="es-ES"/>
        </w:rPr>
      </w:pPr>
      <w:r w:rsidRPr="007447EB">
        <w:rPr>
          <w:b/>
          <w:lang w:val="es-ES"/>
        </w:rPr>
        <w:t>o.</w:t>
      </w:r>
      <w:r w:rsidRPr="007447EB">
        <w:rPr>
          <w:lang w:val="es-ES"/>
        </w:rPr>
        <w:tab/>
        <w:t>Todos los Servicios Profesionales se prestan en virtud de un contrato de mandato en el sentido contemplado en el párrafo 394 y siguientes del Código de Obligaciones Suizo.</w:t>
      </w:r>
    </w:p>
    <w:p w14:paraId="30D23F7D" w14:textId="77777777" w:rsidR="00374E8C" w:rsidRPr="004D7362" w:rsidRDefault="00374E8C" w:rsidP="00374E8C">
      <w:pPr>
        <w:keepNext/>
        <w:shd w:val="clear" w:color="auto" w:fill="000000"/>
        <w:spacing w:before="360" w:after="120"/>
      </w:pPr>
      <w:proofErr w:type="spellStart"/>
      <w:r>
        <w:rPr>
          <w:b/>
          <w:bCs/>
          <w:color w:val="FFFFFF"/>
        </w:rPr>
        <w:t>Ucrania</w:t>
      </w:r>
      <w:proofErr w:type="spellEnd"/>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7447EB" w14:paraId="30478ED5" w14:textId="77777777" w:rsidTr="00E53ABB">
        <w:trPr>
          <w:jc w:val="center"/>
        </w:trPr>
        <w:tc>
          <w:tcPr>
            <w:tcW w:w="9029" w:type="dxa"/>
            <w:shd w:val="clear" w:color="auto" w:fill="C6D9F1"/>
          </w:tcPr>
          <w:p w14:paraId="0CDA5DA7" w14:textId="268B8B92" w:rsidR="00374E8C" w:rsidRPr="007447EB" w:rsidRDefault="00374E8C" w:rsidP="002237A3">
            <w:pPr>
              <w:keepNext/>
              <w:spacing w:after="120"/>
              <w:ind w:left="86" w:right="86"/>
              <w:rPr>
                <w:b/>
                <w:bCs/>
                <w:lang w:val="es-ES"/>
              </w:rPr>
            </w:pPr>
            <w:r w:rsidRPr="007447EB">
              <w:rPr>
                <w:b/>
                <w:bCs/>
                <w:lang w:val="es-ES"/>
              </w:rPr>
              <w:t>La sección titulada “Limitación de la responsabilidad” se complementa con lo siguiente:</w:t>
            </w:r>
          </w:p>
        </w:tc>
      </w:tr>
    </w:tbl>
    <w:p w14:paraId="443F5FF0" w14:textId="4B042EFF" w:rsidR="00374E8C" w:rsidRPr="007447EB" w:rsidRDefault="002237A3" w:rsidP="00122A75">
      <w:pPr>
        <w:ind w:left="1080" w:hanging="360"/>
        <w:rPr>
          <w:lang w:val="es-ES"/>
        </w:rPr>
      </w:pPr>
      <w:r w:rsidRPr="007447EB">
        <w:rPr>
          <w:b/>
          <w:bCs/>
          <w:lang w:val="es-ES"/>
        </w:rPr>
        <w:t>e.</w:t>
      </w:r>
      <w:r w:rsidRPr="007447EB">
        <w:rPr>
          <w:b/>
          <w:bCs/>
          <w:lang w:val="es-ES"/>
        </w:rPr>
        <w:tab/>
        <w:t>Aplicación.</w:t>
      </w:r>
      <w:r w:rsidR="00436852" w:rsidRPr="007447EB">
        <w:rPr>
          <w:lang w:val="es-ES"/>
        </w:rPr>
        <w:t xml:space="preserve"> </w:t>
      </w:r>
      <w:r w:rsidRPr="007447EB">
        <w:rPr>
          <w:lang w:val="es-ES"/>
        </w:rPr>
        <w:t>Salvo por lo previsto expresamente en esta sección, las limitaciones y exclusiones de responsabilidad por daños establecidas en el presente contrato (incluido cualquier Contrato Complementario) serán aplicables con independencia de si la responsabilidad se basa en un incumplimiento contractual, responsabilidad extracontractual, incumplimiento de garantías o tenga cualquier otro fundamento jurídico.</w:t>
      </w:r>
    </w:p>
    <w:sectPr w:rsidR="00374E8C" w:rsidRPr="007447EB" w:rsidSect="00033D68">
      <w:headerReference w:type="even" r:id="rId12"/>
      <w:headerReference w:type="default" r:id="rId13"/>
      <w:footerReference w:type="default" r:id="rId14"/>
      <w:headerReference w:type="first" r:id="rId15"/>
      <w:footerReference w:type="first" r:id="rId16"/>
      <w:pgSz w:w="11907" w:h="16839" w:code="9"/>
      <w:pgMar w:top="1440" w:right="1440" w:bottom="1440" w:left="1440" w:header="576"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70B3B05" w14:textId="77777777" w:rsidR="00722F93" w:rsidRDefault="00722F93" w:rsidP="00135BAF">
      <w:pPr>
        <w:spacing w:before="0"/>
      </w:pPr>
      <w:r>
        <w:separator/>
      </w:r>
    </w:p>
  </w:endnote>
  <w:endnote w:type="continuationSeparator" w:id="0">
    <w:p w14:paraId="4173BE8F" w14:textId="77777777" w:rsidR="00722F93" w:rsidRDefault="00722F93" w:rsidP="00135BAF">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902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37"/>
      <w:gridCol w:w="4192"/>
    </w:tblGrid>
    <w:tr w:rsidR="00BE4F6E" w:rsidRPr="00855DCB" w14:paraId="46B9C055" w14:textId="77777777" w:rsidTr="003C20F7">
      <w:trPr>
        <w:jc w:val="center"/>
      </w:trPr>
      <w:tc>
        <w:tcPr>
          <w:tcW w:w="4837" w:type="dxa"/>
        </w:tcPr>
        <w:p w14:paraId="0F423AB2" w14:textId="77777777" w:rsidR="00BE4F6E" w:rsidRPr="00855DCB" w:rsidRDefault="00BE4F6E" w:rsidP="00BE4F6E">
          <w:pPr>
            <w:pStyle w:val="Footer"/>
            <w:rPr>
              <w:sz w:val="16"/>
              <w:szCs w:val="16"/>
            </w:rPr>
          </w:pPr>
          <w:r>
            <w:rPr>
              <w:sz w:val="16"/>
              <w:szCs w:val="16"/>
            </w:rPr>
            <w:t>MBSA20201Agr(</w:t>
          </w:r>
          <w:proofErr w:type="spellStart"/>
          <w:r>
            <w:rPr>
              <w:sz w:val="16"/>
              <w:szCs w:val="16"/>
            </w:rPr>
            <w:t>CountrySpecificProv</w:t>
          </w:r>
          <w:proofErr w:type="spellEnd"/>
          <w:r>
            <w:rPr>
              <w:sz w:val="16"/>
              <w:szCs w:val="16"/>
            </w:rPr>
            <w:t>)(WW)(SPA)(Oct2019)</w:t>
          </w:r>
        </w:p>
      </w:tc>
      <w:tc>
        <w:tcPr>
          <w:tcW w:w="4192" w:type="dxa"/>
        </w:tcPr>
        <w:p w14:paraId="7AD28073" w14:textId="77777777" w:rsidR="00BE4F6E" w:rsidRDefault="00BE4F6E" w:rsidP="00BE4F6E">
          <w:pPr>
            <w:pStyle w:val="Footer"/>
            <w:jc w:val="right"/>
            <w:rPr>
              <w:sz w:val="16"/>
              <w:szCs w:val="16"/>
            </w:rPr>
          </w:pPr>
          <w:r w:rsidRPr="00855DCB">
            <w:rPr>
              <w:sz w:val="16"/>
              <w:szCs w:val="16"/>
            </w:rPr>
            <w:t xml:space="preserve">Page </w:t>
          </w:r>
          <w:r w:rsidRPr="00855DCB">
            <w:rPr>
              <w:sz w:val="16"/>
              <w:szCs w:val="16"/>
            </w:rPr>
            <w:fldChar w:fldCharType="begin"/>
          </w:r>
          <w:r w:rsidRPr="00855DCB">
            <w:rPr>
              <w:sz w:val="16"/>
              <w:szCs w:val="16"/>
            </w:rPr>
            <w:instrText xml:space="preserve"> PAGE  \* Arabic  \* MERGEFORMAT </w:instrText>
          </w:r>
          <w:r w:rsidRPr="00855DCB">
            <w:rPr>
              <w:sz w:val="16"/>
              <w:szCs w:val="16"/>
            </w:rPr>
            <w:fldChar w:fldCharType="separate"/>
          </w:r>
          <w:r>
            <w:rPr>
              <w:noProof/>
              <w:sz w:val="16"/>
              <w:szCs w:val="16"/>
            </w:rPr>
            <w:t>1</w:t>
          </w:r>
          <w:r w:rsidRPr="00855DCB">
            <w:rPr>
              <w:sz w:val="16"/>
              <w:szCs w:val="16"/>
            </w:rPr>
            <w:fldChar w:fldCharType="end"/>
          </w:r>
          <w:r w:rsidRPr="00855DCB">
            <w:rPr>
              <w:sz w:val="16"/>
              <w:szCs w:val="16"/>
            </w:rPr>
            <w:t xml:space="preserve"> of </w:t>
          </w:r>
          <w:r w:rsidRPr="00855DCB">
            <w:rPr>
              <w:sz w:val="16"/>
              <w:szCs w:val="16"/>
            </w:rPr>
            <w:fldChar w:fldCharType="begin"/>
          </w:r>
          <w:r w:rsidRPr="00855DCB">
            <w:rPr>
              <w:sz w:val="16"/>
              <w:szCs w:val="16"/>
            </w:rPr>
            <w:instrText xml:space="preserve"> NUMPAGES  \* Arabic  \* MERGEFORMAT </w:instrText>
          </w:r>
          <w:r w:rsidRPr="00855DCB">
            <w:rPr>
              <w:sz w:val="16"/>
              <w:szCs w:val="16"/>
            </w:rPr>
            <w:fldChar w:fldCharType="separate"/>
          </w:r>
          <w:r>
            <w:rPr>
              <w:noProof/>
              <w:sz w:val="16"/>
              <w:szCs w:val="16"/>
            </w:rPr>
            <w:t>10</w:t>
          </w:r>
          <w:r w:rsidRPr="00855DCB">
            <w:rPr>
              <w:sz w:val="16"/>
              <w:szCs w:val="16"/>
            </w:rPr>
            <w:fldChar w:fldCharType="end"/>
          </w:r>
        </w:p>
        <w:p w14:paraId="7896A80C" w14:textId="77777777" w:rsidR="00BE4F6E" w:rsidRPr="00855DCB" w:rsidRDefault="00BE4F6E" w:rsidP="00BE4F6E">
          <w:pPr>
            <w:pStyle w:val="Footer"/>
            <w:jc w:val="right"/>
            <w:rPr>
              <w:sz w:val="16"/>
              <w:szCs w:val="16"/>
            </w:rPr>
          </w:pPr>
          <w:r>
            <w:rPr>
              <w:sz w:val="16"/>
              <w:szCs w:val="16"/>
            </w:rPr>
            <w:t xml:space="preserve">Document </w:t>
          </w:r>
          <w:r w:rsidRPr="002052C3">
            <w:rPr>
              <w:sz w:val="16"/>
              <w:szCs w:val="16"/>
            </w:rPr>
            <w:t>X20-100</w:t>
          </w:r>
          <w:r>
            <w:rPr>
              <w:sz w:val="16"/>
              <w:szCs w:val="16"/>
            </w:rPr>
            <w:t>10</w:t>
          </w:r>
        </w:p>
      </w:tc>
    </w:tr>
  </w:tbl>
  <w:p w14:paraId="4E723AAF" w14:textId="77777777" w:rsidR="00BE4F6E" w:rsidRPr="00BE4F6E" w:rsidRDefault="00BE4F6E" w:rsidP="00BE53EB">
    <w:pPr>
      <w:pStyle w:val="Footer"/>
      <w:rPr>
        <w:rStyle w:val="LogoportDoNotTranslate"/>
        <w:rFonts w:ascii="Arial" w:hAnsi="Arial" w:cs="Arial"/>
        <w:color w:val="000000"/>
        <w:sz w:val="16"/>
        <w:szCs w:val="16"/>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902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37"/>
      <w:gridCol w:w="4192"/>
    </w:tblGrid>
    <w:tr w:rsidR="00BE53EB" w:rsidRPr="00855DCB" w14:paraId="07D4A7D8" w14:textId="77777777" w:rsidTr="00BE4F6E">
      <w:trPr>
        <w:jc w:val="center"/>
      </w:trPr>
      <w:tc>
        <w:tcPr>
          <w:tcW w:w="4837" w:type="dxa"/>
        </w:tcPr>
        <w:p w14:paraId="46247678" w14:textId="171C62FC" w:rsidR="00BE53EB" w:rsidRPr="00855DCB" w:rsidRDefault="00BE53EB" w:rsidP="00BE53EB">
          <w:pPr>
            <w:pStyle w:val="Footer"/>
            <w:rPr>
              <w:sz w:val="16"/>
              <w:szCs w:val="16"/>
            </w:rPr>
          </w:pPr>
          <w:r>
            <w:rPr>
              <w:sz w:val="16"/>
              <w:szCs w:val="16"/>
            </w:rPr>
            <w:t>MBSA20</w:t>
          </w:r>
          <w:r w:rsidR="00BE4F6E">
            <w:rPr>
              <w:sz w:val="16"/>
              <w:szCs w:val="16"/>
            </w:rPr>
            <w:t>201</w:t>
          </w:r>
          <w:r>
            <w:rPr>
              <w:sz w:val="16"/>
              <w:szCs w:val="16"/>
            </w:rPr>
            <w:t>Agr(</w:t>
          </w:r>
          <w:proofErr w:type="spellStart"/>
          <w:r>
            <w:rPr>
              <w:sz w:val="16"/>
              <w:szCs w:val="16"/>
            </w:rPr>
            <w:t>CountrySpecificProv</w:t>
          </w:r>
          <w:proofErr w:type="spellEnd"/>
          <w:r>
            <w:rPr>
              <w:sz w:val="16"/>
              <w:szCs w:val="16"/>
            </w:rPr>
            <w:t>)(WW)(SPA)(</w:t>
          </w:r>
          <w:r w:rsidR="00BE4F6E">
            <w:rPr>
              <w:sz w:val="16"/>
              <w:szCs w:val="16"/>
            </w:rPr>
            <w:t>Oct2019</w:t>
          </w:r>
          <w:r>
            <w:rPr>
              <w:sz w:val="16"/>
              <w:szCs w:val="16"/>
            </w:rPr>
            <w:t>)</w:t>
          </w:r>
        </w:p>
      </w:tc>
      <w:tc>
        <w:tcPr>
          <w:tcW w:w="4192" w:type="dxa"/>
        </w:tcPr>
        <w:p w14:paraId="7FE1B4EE" w14:textId="77777777" w:rsidR="00BE53EB" w:rsidRDefault="00BE53EB" w:rsidP="0026512C">
          <w:pPr>
            <w:pStyle w:val="Footer"/>
            <w:jc w:val="right"/>
            <w:rPr>
              <w:sz w:val="16"/>
              <w:szCs w:val="16"/>
            </w:rPr>
          </w:pPr>
          <w:r w:rsidRPr="00855DCB">
            <w:rPr>
              <w:sz w:val="16"/>
              <w:szCs w:val="16"/>
            </w:rPr>
            <w:t xml:space="preserve">Page </w:t>
          </w:r>
          <w:r w:rsidRPr="00855DCB">
            <w:rPr>
              <w:sz w:val="16"/>
              <w:szCs w:val="16"/>
            </w:rPr>
            <w:fldChar w:fldCharType="begin"/>
          </w:r>
          <w:r w:rsidRPr="00855DCB">
            <w:rPr>
              <w:sz w:val="16"/>
              <w:szCs w:val="16"/>
            </w:rPr>
            <w:instrText xml:space="preserve"> PAGE  \* Arabic  \* MERGEFORMAT </w:instrText>
          </w:r>
          <w:r w:rsidRPr="00855DCB">
            <w:rPr>
              <w:sz w:val="16"/>
              <w:szCs w:val="16"/>
            </w:rPr>
            <w:fldChar w:fldCharType="separate"/>
          </w:r>
          <w:r w:rsidR="000D1C85">
            <w:rPr>
              <w:noProof/>
              <w:sz w:val="16"/>
              <w:szCs w:val="16"/>
            </w:rPr>
            <w:t>1</w:t>
          </w:r>
          <w:r w:rsidRPr="00855DCB">
            <w:rPr>
              <w:sz w:val="16"/>
              <w:szCs w:val="16"/>
            </w:rPr>
            <w:fldChar w:fldCharType="end"/>
          </w:r>
          <w:r w:rsidRPr="00855DCB">
            <w:rPr>
              <w:sz w:val="16"/>
              <w:szCs w:val="16"/>
            </w:rPr>
            <w:t xml:space="preserve"> of </w:t>
          </w:r>
          <w:r w:rsidRPr="00855DCB">
            <w:rPr>
              <w:sz w:val="16"/>
              <w:szCs w:val="16"/>
            </w:rPr>
            <w:fldChar w:fldCharType="begin"/>
          </w:r>
          <w:r w:rsidRPr="00855DCB">
            <w:rPr>
              <w:sz w:val="16"/>
              <w:szCs w:val="16"/>
            </w:rPr>
            <w:instrText xml:space="preserve"> NUMPAGES  \* Arabic  \* MERGEFORMAT </w:instrText>
          </w:r>
          <w:r w:rsidRPr="00855DCB">
            <w:rPr>
              <w:sz w:val="16"/>
              <w:szCs w:val="16"/>
            </w:rPr>
            <w:fldChar w:fldCharType="separate"/>
          </w:r>
          <w:r w:rsidR="000D1C85">
            <w:rPr>
              <w:noProof/>
              <w:sz w:val="16"/>
              <w:szCs w:val="16"/>
            </w:rPr>
            <w:t>10</w:t>
          </w:r>
          <w:r w:rsidRPr="00855DCB">
            <w:rPr>
              <w:sz w:val="16"/>
              <w:szCs w:val="16"/>
            </w:rPr>
            <w:fldChar w:fldCharType="end"/>
          </w:r>
        </w:p>
        <w:p w14:paraId="10E6F86A" w14:textId="51B80975" w:rsidR="00BE53EB" w:rsidRPr="00855DCB" w:rsidRDefault="00BE53EB" w:rsidP="0026512C">
          <w:pPr>
            <w:pStyle w:val="Footer"/>
            <w:jc w:val="right"/>
            <w:rPr>
              <w:sz w:val="16"/>
              <w:szCs w:val="16"/>
            </w:rPr>
          </w:pPr>
          <w:r>
            <w:rPr>
              <w:sz w:val="16"/>
              <w:szCs w:val="16"/>
            </w:rPr>
            <w:t xml:space="preserve">Document </w:t>
          </w:r>
          <w:r w:rsidRPr="002052C3">
            <w:rPr>
              <w:sz w:val="16"/>
              <w:szCs w:val="16"/>
            </w:rPr>
            <w:t>X20-100</w:t>
          </w:r>
          <w:r w:rsidR="00BE4F6E">
            <w:rPr>
              <w:sz w:val="16"/>
              <w:szCs w:val="16"/>
            </w:rPr>
            <w:t>10</w:t>
          </w:r>
        </w:p>
      </w:tc>
    </w:tr>
  </w:tbl>
  <w:p w14:paraId="16B8469B" w14:textId="77777777" w:rsidR="00135BAF" w:rsidRPr="00BE4F6E" w:rsidRDefault="00135BAF" w:rsidP="00BE53EB">
    <w:pPr>
      <w:pStyle w:val="Footer"/>
      <w:rPr>
        <w:rStyle w:val="LogoportDoNotTranslate"/>
        <w:rFonts w:ascii="Arial" w:hAnsi="Arial" w:cs="Arial"/>
        <w:color w:val="000000"/>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849DECA" w14:textId="77777777" w:rsidR="00722F93" w:rsidRDefault="00722F93" w:rsidP="00135BAF">
      <w:pPr>
        <w:spacing w:before="0"/>
      </w:pPr>
      <w:r>
        <w:separator/>
      </w:r>
    </w:p>
  </w:footnote>
  <w:footnote w:type="continuationSeparator" w:id="0">
    <w:p w14:paraId="70A30652" w14:textId="77777777" w:rsidR="00722F93" w:rsidRDefault="00722F93" w:rsidP="00135BAF">
      <w:pPr>
        <w:spacing w:before="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7E84DBB" w14:textId="11DD27E7" w:rsidR="0038410A" w:rsidRDefault="00722F93">
    <w:pPr>
      <w:pStyle w:val="Header"/>
    </w:pPr>
    <w:r>
      <w:pict w14:anchorId="6C50880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2" type="#_x0000_t75" style="position:absolute;left:0;text-align:left;margin-left:0;margin-top:0;width:451.2pt;height:254.35pt;z-index:-251657216;mso-position-horizontal:center;mso-position-horizontal-relative:margin;mso-position-vertical:center;mso-position-vertical-relative:margin" o:allowincell="f">
          <v:imagedata r:id="rId1" o:title="K2 BW Image"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848DCFB" w14:textId="497D9CA7" w:rsidR="0038410A" w:rsidRDefault="00722F93">
    <w:pPr>
      <w:pStyle w:val="Header"/>
    </w:pPr>
    <w:r>
      <w:pict w14:anchorId="72EF9FD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3" type="#_x0000_t75" style="position:absolute;left:0;text-align:left;margin-left:0;margin-top:0;width:451.2pt;height:254.35pt;z-index:-251656192;mso-position-horizontal:center;mso-position-horizontal-relative:margin;mso-position-vertical:center;mso-position-vertical-relative:margin" o:allowincell="f">
          <v:imagedata r:id="rId1" o:title="K2 BW Image" gain="19661f" blacklevel="22938f"/>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BD9FAB0" w14:textId="6DBEEC77" w:rsidR="00135BAF" w:rsidRDefault="00722F93" w:rsidP="00135BAF">
    <w:pPr>
      <w:pStyle w:val="Header"/>
      <w:tabs>
        <w:tab w:val="clear" w:pos="4680"/>
        <w:tab w:val="clear" w:pos="9360"/>
      </w:tabs>
    </w:pPr>
    <w:r>
      <w:pict w14:anchorId="5082933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 o:spid="_x0000_s2061" type="#_x0000_t75" style="position:absolute;left:0;text-align:left;margin-left:0;margin-top:0;width:451.2pt;height:254.35pt;z-index:-251658240;mso-position-horizontal:center;mso-position-horizontal-relative:margin;mso-position-vertical:center;mso-position-vertical-relative:margin" o:allowincell="f">
          <v:imagedata r:id="rId1" o:title="K2 BW Image" gain="19661f" blacklevel="22938f"/>
          <w10:wrap anchorx="margin" anchory="margin"/>
        </v:shape>
      </w:pict>
    </w:r>
    <w:r w:rsidR="00C36C80">
      <w:rPr>
        <w:noProof/>
        <w:lang w:eastAsia="zh-CN"/>
      </w:rPr>
      <w:drawing>
        <wp:inline distT="0" distB="0" distL="0" distR="0" wp14:anchorId="365FB8CF" wp14:editId="1141B1F2">
          <wp:extent cx="5943600" cy="581025"/>
          <wp:effectExtent l="0" t="0" r="0" b="9525"/>
          <wp:docPr id="3" name="Picture 3" descr="C:\Users\v-keschu\Desktop\newheadersizecorrected.png"/>
          <wp:cNvGraphicFramePr/>
          <a:graphic xmlns:a="http://schemas.openxmlformats.org/drawingml/2006/main">
            <a:graphicData uri="http://schemas.openxmlformats.org/drawingml/2006/picture">
              <pic:pic xmlns:pic="http://schemas.openxmlformats.org/drawingml/2006/picture">
                <pic:nvPicPr>
                  <pic:cNvPr id="1" name="Picture 1" descr="C:\Users\v-keschu\Desktop\newheadersizecorrected.png"/>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943600" cy="58102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E261EC"/>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01E55F41"/>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03493791"/>
    <w:multiLevelType w:val="hybridMultilevel"/>
    <w:tmpl w:val="AAC6FC14"/>
    <w:lvl w:ilvl="0" w:tplc="1E3897FC">
      <w:start w:val="1"/>
      <w:numFmt w:val="upperLetter"/>
      <w:lvlText w:val="%1."/>
      <w:lvlJc w:val="left"/>
      <w:pPr>
        <w:ind w:left="720" w:hanging="360"/>
      </w:pPr>
      <w:rPr>
        <w:rFonts w:hint="default"/>
        <w:b/>
        <w:bCs/>
      </w:rPr>
    </w:lvl>
    <w:lvl w:ilvl="1" w:tplc="F2C29BB0">
      <w:start w:val="2"/>
      <w:numFmt w:val="bullet"/>
      <w:lvlText w:val="•"/>
      <w:lvlJc w:val="left"/>
      <w:pPr>
        <w:ind w:left="1800" w:hanging="720"/>
      </w:pPr>
      <w:rPr>
        <w:rFonts w:ascii="Arial" w:eastAsia="MS Mincho"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67C6F76"/>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0937444E"/>
    <w:multiLevelType w:val="hybridMultilevel"/>
    <w:tmpl w:val="7116B49E"/>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CE32092"/>
    <w:multiLevelType w:val="hybridMultilevel"/>
    <w:tmpl w:val="EFBEE664"/>
    <w:lvl w:ilvl="0" w:tplc="0FF0EEFC">
      <w:start w:val="1"/>
      <w:numFmt w:val="decimal"/>
      <w:lvlText w:val="%1)"/>
      <w:lvlJc w:val="left"/>
      <w:pPr>
        <w:ind w:left="720" w:hanging="360"/>
      </w:pPr>
      <w:rPr>
        <w:rFonts w:hint="default"/>
        <w:b/>
        <w:bC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A44402"/>
    <w:multiLevelType w:val="hybridMultilevel"/>
    <w:tmpl w:val="6A98B750"/>
    <w:lvl w:ilvl="0" w:tplc="337EDB28">
      <w:start w:val="17"/>
      <w:numFmt w:val="lowerLetter"/>
      <w:lvlText w:val="%1."/>
      <w:lvlJc w:val="left"/>
      <w:pPr>
        <w:ind w:left="1440" w:hanging="360"/>
      </w:pPr>
      <w:rPr>
        <w:rFonts w:hint="default"/>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1273278"/>
    <w:multiLevelType w:val="hybridMultilevel"/>
    <w:tmpl w:val="B18E4B54"/>
    <w:lvl w:ilvl="0" w:tplc="E7822CF2">
      <w:start w:val="1"/>
      <w:numFmt w:val="lowerLetter"/>
      <w:lvlText w:val="%1."/>
      <w:lvlJc w:val="left"/>
      <w:pPr>
        <w:ind w:left="720" w:hanging="360"/>
      </w:pPr>
      <w:rPr>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1AE77F9"/>
    <w:multiLevelType w:val="hybridMultilevel"/>
    <w:tmpl w:val="79F62D7C"/>
    <w:lvl w:ilvl="0" w:tplc="86D06F70">
      <w:start w:val="5"/>
      <w:numFmt w:val="lowerLetter"/>
      <w:lvlText w:val="%1."/>
      <w:lvlJc w:val="left"/>
      <w:pPr>
        <w:ind w:left="1080" w:hanging="360"/>
      </w:pPr>
      <w:rPr>
        <w:rFonts w:hint="default"/>
        <w:b/>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9" w15:restartNumberingAfterBreak="0">
    <w:nsid w:val="14F77310"/>
    <w:multiLevelType w:val="hybridMultilevel"/>
    <w:tmpl w:val="22B4C5B2"/>
    <w:lvl w:ilvl="0" w:tplc="E0F46AC4">
      <w:start w:val="3"/>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5F621C7"/>
    <w:multiLevelType w:val="hybridMultilevel"/>
    <w:tmpl w:val="04720284"/>
    <w:lvl w:ilvl="0" w:tplc="55180402">
      <w:start w:val="4"/>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7746608"/>
    <w:multiLevelType w:val="hybridMultilevel"/>
    <w:tmpl w:val="FAD0C5EA"/>
    <w:lvl w:ilvl="0" w:tplc="8C8A141A">
      <w:start w:val="1"/>
      <w:numFmt w:val="lowerLetter"/>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15:restartNumberingAfterBreak="0">
    <w:nsid w:val="18E06D34"/>
    <w:multiLevelType w:val="hybridMultilevel"/>
    <w:tmpl w:val="10BA01A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B9849CF"/>
    <w:multiLevelType w:val="hybridMultilevel"/>
    <w:tmpl w:val="A39E5456"/>
    <w:lvl w:ilvl="0" w:tplc="D1C65670">
      <w:start w:val="1"/>
      <w:numFmt w:val="decimal"/>
      <w:lvlText w:val="%1)"/>
      <w:lvlJc w:val="left"/>
      <w:pPr>
        <w:ind w:left="720" w:hanging="360"/>
      </w:pPr>
      <w:rPr>
        <w:rFonts w:hint="default"/>
        <w:b/>
        <w:bC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1A618FA"/>
    <w:multiLevelType w:val="hybridMultilevel"/>
    <w:tmpl w:val="CF3A65F2"/>
    <w:lvl w:ilvl="0" w:tplc="DB165A3E">
      <w:start w:val="1"/>
      <w:numFmt w:val="lowerRoman"/>
      <w:lvlText w:val="(%1)"/>
      <w:lvlJc w:val="left"/>
      <w:pPr>
        <w:ind w:left="1800" w:hanging="360"/>
      </w:pPr>
      <w:rPr>
        <w:rFonts w:ascii="Arial" w:eastAsia="Times New Roman" w:hAnsi="Arial" w:cs="Arial"/>
        <w:b/>
        <w:i w:val="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5" w15:restartNumberingAfterBreak="0">
    <w:nsid w:val="23E12254"/>
    <w:multiLevelType w:val="hybridMultilevel"/>
    <w:tmpl w:val="77F8C9C0"/>
    <w:lvl w:ilvl="0" w:tplc="505EBF44">
      <w:start w:val="1"/>
      <w:numFmt w:val="lowerRoman"/>
      <w:lvlText w:val="(%1)"/>
      <w:lvlJc w:val="left"/>
      <w:pPr>
        <w:ind w:left="2160" w:hanging="360"/>
      </w:pPr>
      <w:rPr>
        <w:rFonts w:ascii="Arial" w:eastAsia="Times New Roman" w:hAnsi="Arial" w:cs="Arial"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56B296C"/>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2CC715B1"/>
    <w:multiLevelType w:val="hybridMultilevel"/>
    <w:tmpl w:val="A7120F86"/>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02A7563"/>
    <w:multiLevelType w:val="hybridMultilevel"/>
    <w:tmpl w:val="487C1664"/>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1FE131B"/>
    <w:multiLevelType w:val="hybridMultilevel"/>
    <w:tmpl w:val="57E43308"/>
    <w:lvl w:ilvl="0" w:tplc="0409000F">
      <w:start w:val="1"/>
      <w:numFmt w:val="decimal"/>
      <w:lvlText w:val="%1."/>
      <w:lvlJc w:val="left"/>
      <w:pPr>
        <w:ind w:left="720" w:hanging="360"/>
      </w:pPr>
    </w:lvl>
    <w:lvl w:ilvl="1" w:tplc="49D624D8">
      <w:start w:val="1"/>
      <w:numFmt w:val="lowerLetter"/>
      <w:lvlText w:val="%2."/>
      <w:lvlJc w:val="left"/>
      <w:pPr>
        <w:ind w:left="1260" w:hanging="360"/>
      </w:pPr>
      <w:rPr>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21F03EB"/>
    <w:multiLevelType w:val="hybridMultilevel"/>
    <w:tmpl w:val="191EE75A"/>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586023B"/>
    <w:multiLevelType w:val="hybridMultilevel"/>
    <w:tmpl w:val="3482B492"/>
    <w:lvl w:ilvl="0" w:tplc="7A3CB8EA">
      <w:start w:val="3"/>
      <w:numFmt w:val="low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359B3453"/>
    <w:multiLevelType w:val="multilevel"/>
    <w:tmpl w:val="51083548"/>
    <w:lvl w:ilvl="0">
      <w:start w:val="1"/>
      <w:numFmt w:val="lowerLetter"/>
      <w:lvlText w:val="%1."/>
      <w:lvlJc w:val="left"/>
      <w:pPr>
        <w:tabs>
          <w:tab w:val="num" w:pos="1080"/>
        </w:tabs>
        <w:ind w:left="1080" w:hanging="360"/>
      </w:pPr>
      <w:rPr>
        <w:rFonts w:hint="default"/>
        <w:b/>
      </w:rPr>
    </w:lvl>
    <w:lvl w:ilvl="1">
      <w:start w:val="1"/>
      <w:numFmt w:val="lowerRoman"/>
      <w:lvlText w:val="(%2)"/>
      <w:lvlJc w:val="left"/>
      <w:pPr>
        <w:tabs>
          <w:tab w:val="num" w:pos="1800"/>
        </w:tabs>
        <w:ind w:left="1800" w:hanging="360"/>
      </w:pPr>
      <w:rPr>
        <w:rFonts w:hint="default"/>
        <w:b/>
      </w:rPr>
    </w:lvl>
    <w:lvl w:ilvl="2">
      <w:start w:val="1"/>
      <w:numFmt w:val="lowerLetter"/>
      <w:lvlText w:val="%3."/>
      <w:lvlJc w:val="left"/>
      <w:pPr>
        <w:tabs>
          <w:tab w:val="num" w:pos="2520"/>
        </w:tabs>
        <w:ind w:left="2520" w:hanging="360"/>
      </w:pPr>
      <w:rPr>
        <w:rFonts w:hint="default"/>
      </w:rPr>
    </w:lvl>
    <w:lvl w:ilvl="3">
      <w:start w:val="1"/>
      <w:numFmt w:val="lowerLetter"/>
      <w:lvlText w:val="%4."/>
      <w:lvlJc w:val="left"/>
      <w:pPr>
        <w:tabs>
          <w:tab w:val="num" w:pos="3240"/>
        </w:tabs>
        <w:ind w:left="3240" w:hanging="360"/>
      </w:pPr>
      <w:rPr>
        <w:rFonts w:hint="default"/>
      </w:rPr>
    </w:lvl>
    <w:lvl w:ilvl="4">
      <w:start w:val="1"/>
      <w:numFmt w:val="lowerLetter"/>
      <w:lvlText w:val="%5."/>
      <w:lvlJc w:val="left"/>
      <w:pPr>
        <w:tabs>
          <w:tab w:val="num" w:pos="3960"/>
        </w:tabs>
        <w:ind w:left="3960" w:hanging="360"/>
      </w:pPr>
      <w:rPr>
        <w:rFonts w:hint="default"/>
      </w:rPr>
    </w:lvl>
    <w:lvl w:ilvl="5">
      <w:start w:val="1"/>
      <w:numFmt w:val="lowerLetter"/>
      <w:lvlText w:val="%6."/>
      <w:lvlJc w:val="left"/>
      <w:pPr>
        <w:tabs>
          <w:tab w:val="num" w:pos="4680"/>
        </w:tabs>
        <w:ind w:left="4680" w:hanging="360"/>
      </w:pPr>
      <w:rPr>
        <w:rFonts w:hint="default"/>
      </w:rPr>
    </w:lvl>
    <w:lvl w:ilvl="6">
      <w:start w:val="1"/>
      <w:numFmt w:val="lowerLetter"/>
      <w:lvlText w:val="%7."/>
      <w:lvlJc w:val="left"/>
      <w:pPr>
        <w:tabs>
          <w:tab w:val="num" w:pos="5400"/>
        </w:tabs>
        <w:ind w:left="5400" w:hanging="360"/>
      </w:pPr>
      <w:rPr>
        <w:rFonts w:hint="default"/>
      </w:rPr>
    </w:lvl>
    <w:lvl w:ilvl="7">
      <w:start w:val="1"/>
      <w:numFmt w:val="lowerLetter"/>
      <w:lvlText w:val="%8."/>
      <w:lvlJc w:val="left"/>
      <w:pPr>
        <w:tabs>
          <w:tab w:val="num" w:pos="6120"/>
        </w:tabs>
        <w:ind w:left="6120" w:hanging="360"/>
      </w:pPr>
      <w:rPr>
        <w:rFonts w:hint="default"/>
      </w:rPr>
    </w:lvl>
    <w:lvl w:ilvl="8">
      <w:start w:val="1"/>
      <w:numFmt w:val="lowerLetter"/>
      <w:lvlText w:val="%9."/>
      <w:lvlJc w:val="left"/>
      <w:pPr>
        <w:tabs>
          <w:tab w:val="num" w:pos="6840"/>
        </w:tabs>
        <w:ind w:left="6840" w:hanging="360"/>
      </w:pPr>
      <w:rPr>
        <w:rFonts w:hint="default"/>
      </w:rPr>
    </w:lvl>
  </w:abstractNum>
  <w:abstractNum w:abstractNumId="23" w15:restartNumberingAfterBreak="0">
    <w:nsid w:val="3ACC5133"/>
    <w:multiLevelType w:val="multilevel"/>
    <w:tmpl w:val="EB92FE1E"/>
    <w:lvl w:ilvl="0">
      <w:start w:val="1"/>
      <w:numFmt w:val="lowerLetter"/>
      <w:lvlText w:val="%1."/>
      <w:lvlJc w:val="left"/>
      <w:pPr>
        <w:tabs>
          <w:tab w:val="num" w:pos="1080"/>
        </w:tabs>
        <w:ind w:left="1080" w:hanging="360"/>
      </w:pPr>
      <w:rPr>
        <w:b/>
      </w:rPr>
    </w:lvl>
    <w:lvl w:ilvl="1">
      <w:start w:val="1"/>
      <w:numFmt w:val="lowerRoman"/>
      <w:lvlText w:val="(%2)"/>
      <w:lvlJc w:val="left"/>
      <w:pPr>
        <w:tabs>
          <w:tab w:val="num" w:pos="1800"/>
        </w:tabs>
        <w:ind w:left="1800" w:hanging="360"/>
      </w:pPr>
      <w:rPr>
        <w:b/>
      </w:rPr>
    </w:lvl>
    <w:lvl w:ilvl="2">
      <w:start w:val="1"/>
      <w:numFmt w:val="lowerLetter"/>
      <w:lvlText w:val="%3."/>
      <w:lvlJc w:val="left"/>
      <w:pPr>
        <w:tabs>
          <w:tab w:val="num" w:pos="2520"/>
        </w:tabs>
        <w:ind w:left="2520" w:hanging="360"/>
      </w:pPr>
    </w:lvl>
    <w:lvl w:ilvl="3">
      <w:start w:val="1"/>
      <w:numFmt w:val="lowerLetter"/>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Letter"/>
      <w:lvlText w:val="%6."/>
      <w:lvlJc w:val="left"/>
      <w:pPr>
        <w:tabs>
          <w:tab w:val="num" w:pos="4680"/>
        </w:tabs>
        <w:ind w:left="4680" w:hanging="360"/>
      </w:pPr>
    </w:lvl>
    <w:lvl w:ilvl="6">
      <w:start w:val="1"/>
      <w:numFmt w:val="lowerLetter"/>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Letter"/>
      <w:lvlText w:val="%9."/>
      <w:lvlJc w:val="left"/>
      <w:pPr>
        <w:tabs>
          <w:tab w:val="num" w:pos="6840"/>
        </w:tabs>
        <w:ind w:left="6840" w:hanging="360"/>
      </w:pPr>
    </w:lvl>
  </w:abstractNum>
  <w:abstractNum w:abstractNumId="24" w15:restartNumberingAfterBreak="0">
    <w:nsid w:val="3FD458CC"/>
    <w:multiLevelType w:val="hybridMultilevel"/>
    <w:tmpl w:val="E3BC202E"/>
    <w:lvl w:ilvl="0" w:tplc="7A3CB8EA">
      <w:start w:val="3"/>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0D02FCC"/>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15:restartNumberingAfterBreak="0">
    <w:nsid w:val="435E240D"/>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 w15:restartNumberingAfterBreak="0">
    <w:nsid w:val="48B76AD3"/>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4A321D2A"/>
    <w:multiLevelType w:val="hybridMultilevel"/>
    <w:tmpl w:val="DBFA911C"/>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D0D226F"/>
    <w:multiLevelType w:val="hybridMultilevel"/>
    <w:tmpl w:val="7916DA42"/>
    <w:lvl w:ilvl="0" w:tplc="7F2E7914">
      <w:start w:val="1"/>
      <w:numFmt w:val="lowerRoman"/>
      <w:lvlText w:val="(%1)"/>
      <w:lvlJc w:val="left"/>
      <w:pPr>
        <w:ind w:left="720" w:hanging="360"/>
      </w:pPr>
      <w:rPr>
        <w:rFonts w:hint="default"/>
        <w:b/>
      </w:rPr>
    </w:lvl>
    <w:lvl w:ilvl="1" w:tplc="7F2E7914">
      <w:start w:val="1"/>
      <w:numFmt w:val="lowerRoman"/>
      <w:lvlText w:val="(%2)"/>
      <w:lvlJc w:val="left"/>
      <w:pPr>
        <w:ind w:left="1440" w:hanging="360"/>
      </w:pPr>
      <w:rPr>
        <w:rFonts w:hint="default"/>
        <w:b/>
      </w:rPr>
    </w:lvl>
    <w:lvl w:ilvl="2" w:tplc="7F2E7914">
      <w:start w:val="1"/>
      <w:numFmt w:val="lowerRoman"/>
      <w:lvlText w:val="(%3)"/>
      <w:lvlJc w:val="left"/>
      <w:pPr>
        <w:ind w:left="2160" w:hanging="180"/>
      </w:pPr>
      <w:rPr>
        <w:rFonts w:hint="default"/>
        <w:b/>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18E7ADE"/>
    <w:multiLevelType w:val="hybridMultilevel"/>
    <w:tmpl w:val="BF3AC386"/>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52430C46"/>
    <w:multiLevelType w:val="hybridMultilevel"/>
    <w:tmpl w:val="FF4A4E0C"/>
    <w:lvl w:ilvl="0" w:tplc="094AAB4E">
      <w:start w:val="1"/>
      <w:numFmt w:val="lowerLetter"/>
      <w:lvlText w:val="%1."/>
      <w:lvlJc w:val="left"/>
      <w:pPr>
        <w:ind w:left="720" w:hanging="360"/>
      </w:pPr>
      <w:rPr>
        <w:rFonts w:hint="default"/>
        <w:b/>
      </w:rPr>
    </w:lvl>
    <w:lvl w:ilvl="1" w:tplc="094AAB4E">
      <w:start w:val="1"/>
      <w:numFmt w:val="lowerLetter"/>
      <w:lvlText w:val="%2."/>
      <w:lvlJc w:val="left"/>
      <w:pPr>
        <w:ind w:left="1440" w:hanging="360"/>
      </w:pPr>
      <w:rPr>
        <w:rFonts w:hint="default"/>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36171E4"/>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15:restartNumberingAfterBreak="0">
    <w:nsid w:val="536D33FA"/>
    <w:multiLevelType w:val="hybridMultilevel"/>
    <w:tmpl w:val="247C20E6"/>
    <w:lvl w:ilvl="0" w:tplc="B810F1DA">
      <w:start w:val="1"/>
      <w:numFmt w:val="decimal"/>
      <w:lvlText w:val="%1)"/>
      <w:lvlJc w:val="left"/>
      <w:pPr>
        <w:ind w:left="1800" w:hanging="360"/>
      </w:pPr>
      <w:rPr>
        <w:rFonts w:hint="default"/>
        <w:b/>
        <w:bCs/>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4" w15:restartNumberingAfterBreak="0">
    <w:nsid w:val="58F1595E"/>
    <w:multiLevelType w:val="hybridMultilevel"/>
    <w:tmpl w:val="9404DEE2"/>
    <w:lvl w:ilvl="0" w:tplc="DB165A3E">
      <w:start w:val="1"/>
      <w:numFmt w:val="lowerRoman"/>
      <w:lvlText w:val="(%1)"/>
      <w:lvlJc w:val="left"/>
      <w:pPr>
        <w:ind w:left="2520" w:hanging="360"/>
      </w:pPr>
      <w:rPr>
        <w:rFonts w:ascii="Arial" w:eastAsia="Times New Roman" w:hAnsi="Arial" w:cs="Arial"/>
        <w:b/>
        <w:i w:val="0"/>
      </w:rPr>
    </w:lvl>
    <w:lvl w:ilvl="1" w:tplc="38464388">
      <w:start w:val="1"/>
      <w:numFmt w:val="lowerLetter"/>
      <w:lvlText w:val="%2."/>
      <w:lvlJc w:val="left"/>
      <w:pPr>
        <w:ind w:left="3600" w:hanging="720"/>
      </w:pPr>
      <w:rPr>
        <w:rFonts w:hint="default"/>
      </w:r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35" w15:restartNumberingAfterBreak="0">
    <w:nsid w:val="5CDA540F"/>
    <w:multiLevelType w:val="hybridMultilevel"/>
    <w:tmpl w:val="7F24113C"/>
    <w:lvl w:ilvl="0" w:tplc="86ACF84C">
      <w:start w:val="1"/>
      <w:numFmt w:val="lowerLetter"/>
      <w:lvlText w:val="%1."/>
      <w:lvlJc w:val="left"/>
      <w:pPr>
        <w:ind w:left="1080" w:hanging="72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5EFA70F0"/>
    <w:multiLevelType w:val="hybridMultilevel"/>
    <w:tmpl w:val="C97C12E2"/>
    <w:lvl w:ilvl="0" w:tplc="E1C26672">
      <w:start w:val="6"/>
      <w:numFmt w:val="lowerLetter"/>
      <w:lvlText w:val="%1."/>
      <w:lvlJc w:val="left"/>
      <w:pPr>
        <w:ind w:left="144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5FB5676D"/>
    <w:multiLevelType w:val="hybridMultilevel"/>
    <w:tmpl w:val="F8AECD9E"/>
    <w:lvl w:ilvl="0" w:tplc="5C02205C">
      <w:start w:val="1"/>
      <w:numFmt w:val="lowerRoman"/>
      <w:lvlText w:val="(%1)"/>
      <w:lvlJc w:val="left"/>
      <w:pPr>
        <w:ind w:left="720" w:hanging="360"/>
      </w:pPr>
      <w:rPr>
        <w:rFonts w:ascii="Arial" w:eastAsia="Times New Roman" w:hAnsi="Arial" w:cs="Arial" w:hint="default"/>
        <w:b/>
        <w:i w:val="0"/>
      </w:rPr>
    </w:lvl>
    <w:lvl w:ilvl="1" w:tplc="579C5D68">
      <w:start w:val="1"/>
      <w:numFmt w:val="lowerLetter"/>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5FF916B2"/>
    <w:multiLevelType w:val="hybridMultilevel"/>
    <w:tmpl w:val="C9147C52"/>
    <w:lvl w:ilvl="0" w:tplc="B810F1DA">
      <w:start w:val="1"/>
      <w:numFmt w:val="decimal"/>
      <w:lvlText w:val="%1)"/>
      <w:lvlJc w:val="left"/>
      <w:pPr>
        <w:ind w:left="1800" w:hanging="360"/>
      </w:pPr>
      <w:rPr>
        <w:rFonts w:hint="default"/>
        <w:b/>
        <w:bCs/>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9" w15:restartNumberingAfterBreak="0">
    <w:nsid w:val="60237728"/>
    <w:multiLevelType w:val="hybridMultilevel"/>
    <w:tmpl w:val="A594C8F0"/>
    <w:lvl w:ilvl="0" w:tplc="DB165A3E">
      <w:start w:val="1"/>
      <w:numFmt w:val="lowerRoman"/>
      <w:lvlText w:val="(%1)"/>
      <w:lvlJc w:val="left"/>
      <w:pPr>
        <w:ind w:left="720" w:hanging="360"/>
      </w:pPr>
      <w:rPr>
        <w:rFonts w:ascii="Arial" w:eastAsia="Times New Roman" w:hAnsi="Arial" w:cs="Arial"/>
        <w:b/>
        <w:i w:val="0"/>
      </w:rPr>
    </w:lvl>
    <w:lvl w:ilvl="1" w:tplc="579C5D68">
      <w:start w:val="1"/>
      <w:numFmt w:val="lowerLetter"/>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620A5792"/>
    <w:multiLevelType w:val="hybridMultilevel"/>
    <w:tmpl w:val="6622B1FC"/>
    <w:lvl w:ilvl="0" w:tplc="5A06119A">
      <w:start w:val="6"/>
      <w:numFmt w:val="lowerLetter"/>
      <w:lvlText w:val="%1."/>
      <w:lvlJc w:val="left"/>
      <w:pPr>
        <w:ind w:left="108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1" w15:restartNumberingAfterBreak="0">
    <w:nsid w:val="62925642"/>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15:restartNumberingAfterBreak="0">
    <w:nsid w:val="62A8033B"/>
    <w:multiLevelType w:val="hybridMultilevel"/>
    <w:tmpl w:val="539E563C"/>
    <w:lvl w:ilvl="0" w:tplc="BCC088E8">
      <w:start w:val="1"/>
      <w:numFmt w:val="lowerLetter"/>
      <w:lvlText w:val="%1."/>
      <w:lvlJc w:val="left"/>
      <w:pPr>
        <w:ind w:left="720" w:hanging="360"/>
      </w:pPr>
      <w:rPr>
        <w:rFonts w:hint="default"/>
        <w:b/>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3" w15:restartNumberingAfterBreak="0">
    <w:nsid w:val="62B517B2"/>
    <w:multiLevelType w:val="hybridMultilevel"/>
    <w:tmpl w:val="57A4BBB2"/>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62C7422E"/>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5" w15:restartNumberingAfterBreak="0">
    <w:nsid w:val="62DD074E"/>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63A32B27"/>
    <w:multiLevelType w:val="hybridMultilevel"/>
    <w:tmpl w:val="B8A4DF76"/>
    <w:lvl w:ilvl="0" w:tplc="E7822CF2">
      <w:start w:val="1"/>
      <w:numFmt w:val="lowerLetter"/>
      <w:lvlText w:val="%1."/>
      <w:lvlJc w:val="left"/>
      <w:pPr>
        <w:ind w:left="720" w:hanging="360"/>
      </w:pPr>
      <w:rPr>
        <w:b/>
        <w:bCs/>
      </w:rPr>
    </w:lvl>
    <w:lvl w:ilvl="1" w:tplc="6A220F3E">
      <w:start w:val="1"/>
      <w:numFmt w:val="lowerRoman"/>
      <w:lvlText w:val="(%2)"/>
      <w:lvlJc w:val="left"/>
      <w:pPr>
        <w:ind w:left="1440" w:hanging="360"/>
      </w:pPr>
      <w:rPr>
        <w:rFonts w:hint="default"/>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68944890"/>
    <w:multiLevelType w:val="hybridMultilevel"/>
    <w:tmpl w:val="15105A30"/>
    <w:lvl w:ilvl="0" w:tplc="DB165A3E">
      <w:start w:val="1"/>
      <w:numFmt w:val="lowerRoman"/>
      <w:lvlText w:val="(%1)"/>
      <w:lvlJc w:val="left"/>
      <w:pPr>
        <w:ind w:left="1800" w:hanging="360"/>
      </w:pPr>
      <w:rPr>
        <w:rFonts w:ascii="Arial" w:eastAsia="Times New Roman" w:hAnsi="Arial" w:cs="Arial"/>
        <w:b/>
        <w:i w:val="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8" w15:restartNumberingAfterBreak="0">
    <w:nsid w:val="68E73787"/>
    <w:multiLevelType w:val="hybridMultilevel"/>
    <w:tmpl w:val="10143852"/>
    <w:lvl w:ilvl="0" w:tplc="266EAEE4">
      <w:start w:val="1"/>
      <w:numFmt w:val="lowerRoman"/>
      <w:lvlText w:val="(%1)"/>
      <w:lvlJc w:val="left"/>
      <w:pPr>
        <w:ind w:left="1440" w:hanging="360"/>
      </w:pPr>
      <w:rPr>
        <w:rFonts w:ascii="Arial" w:eastAsia="Times New Roman" w:hAnsi="Arial" w:hint="default"/>
        <w:b/>
        <w:i w:val="0"/>
        <w:color w:val="auto"/>
      </w:r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9" w15:restartNumberingAfterBreak="0">
    <w:nsid w:val="6F875900"/>
    <w:multiLevelType w:val="hybridMultilevel"/>
    <w:tmpl w:val="3008186E"/>
    <w:lvl w:ilvl="0" w:tplc="B8007F9A">
      <w:start w:val="8"/>
      <w:numFmt w:val="lowerLetter"/>
      <w:lvlText w:val="%1."/>
      <w:lvlJc w:val="left"/>
      <w:pPr>
        <w:ind w:left="1353"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0" w15:restartNumberingAfterBreak="0">
    <w:nsid w:val="70386B87"/>
    <w:multiLevelType w:val="hybridMultilevel"/>
    <w:tmpl w:val="DB36315E"/>
    <w:lvl w:ilvl="0" w:tplc="0BA64790">
      <w:start w:val="1"/>
      <w:numFmt w:val="lowerRoman"/>
      <w:lvlText w:val="(%1)"/>
      <w:lvlJc w:val="left"/>
      <w:pPr>
        <w:ind w:left="1440" w:hanging="360"/>
      </w:pPr>
      <w:rPr>
        <w:rFonts w:ascii="Arial" w:eastAsia="Times New Roman" w:hAnsi="Arial" w:hint="default"/>
        <w:b/>
        <w:i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70C2178F"/>
    <w:multiLevelType w:val="hybridMultilevel"/>
    <w:tmpl w:val="50AE7B8E"/>
    <w:lvl w:ilvl="0" w:tplc="A876483C">
      <w:start w:val="1"/>
      <w:numFmt w:val="low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736E0F0C"/>
    <w:multiLevelType w:val="hybridMultilevel"/>
    <w:tmpl w:val="DB36315E"/>
    <w:lvl w:ilvl="0" w:tplc="0BA64790">
      <w:start w:val="1"/>
      <w:numFmt w:val="lowerRoman"/>
      <w:lvlText w:val="(%1)"/>
      <w:lvlJc w:val="left"/>
      <w:pPr>
        <w:ind w:left="1440" w:hanging="360"/>
      </w:pPr>
      <w:rPr>
        <w:rFonts w:ascii="Arial" w:eastAsia="Times New Roman" w:hAnsi="Arial" w:hint="default"/>
        <w:b/>
        <w:i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76254684"/>
    <w:multiLevelType w:val="hybridMultilevel"/>
    <w:tmpl w:val="E620E0E2"/>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15:restartNumberingAfterBreak="0">
    <w:nsid w:val="79F50D4F"/>
    <w:multiLevelType w:val="hybridMultilevel"/>
    <w:tmpl w:val="62920ABE"/>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7A042F38"/>
    <w:multiLevelType w:val="hybridMultilevel"/>
    <w:tmpl w:val="71925126"/>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15:restartNumberingAfterBreak="0">
    <w:nsid w:val="7F681615"/>
    <w:multiLevelType w:val="hybridMultilevel"/>
    <w:tmpl w:val="A8B0F4EA"/>
    <w:lvl w:ilvl="0" w:tplc="DB165A3E">
      <w:start w:val="1"/>
      <w:numFmt w:val="lowerRoman"/>
      <w:lvlText w:val="(%1)"/>
      <w:lvlJc w:val="left"/>
      <w:pPr>
        <w:ind w:left="2160" w:hanging="360"/>
      </w:pPr>
      <w:rPr>
        <w:rFonts w:ascii="Arial" w:eastAsia="Times New Roman" w:hAnsi="Arial" w:cs="Arial"/>
        <w:b/>
        <w:i w:val="0"/>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num w:numId="1">
    <w:abstractNumId w:val="7"/>
  </w:num>
  <w:num w:numId="2">
    <w:abstractNumId w:val="39"/>
  </w:num>
  <w:num w:numId="3">
    <w:abstractNumId w:val="55"/>
  </w:num>
  <w:num w:numId="4">
    <w:abstractNumId w:val="4"/>
  </w:num>
  <w:num w:numId="5">
    <w:abstractNumId w:val="53"/>
  </w:num>
  <w:num w:numId="6">
    <w:abstractNumId w:val="43"/>
  </w:num>
  <w:num w:numId="7">
    <w:abstractNumId w:val="46"/>
  </w:num>
  <w:num w:numId="8">
    <w:abstractNumId w:val="38"/>
  </w:num>
  <w:num w:numId="9">
    <w:abstractNumId w:val="30"/>
  </w:num>
  <w:num w:numId="10">
    <w:abstractNumId w:val="18"/>
  </w:num>
  <w:num w:numId="11">
    <w:abstractNumId w:val="20"/>
  </w:num>
  <w:num w:numId="12">
    <w:abstractNumId w:val="28"/>
  </w:num>
  <w:num w:numId="13">
    <w:abstractNumId w:val="17"/>
  </w:num>
  <w:num w:numId="14">
    <w:abstractNumId w:val="54"/>
  </w:num>
  <w:num w:numId="15">
    <w:abstractNumId w:val="31"/>
  </w:num>
  <w:num w:numId="16">
    <w:abstractNumId w:val="5"/>
  </w:num>
  <w:num w:numId="17">
    <w:abstractNumId w:val="13"/>
  </w:num>
  <w:num w:numId="18">
    <w:abstractNumId w:val="2"/>
  </w:num>
  <w:num w:numId="19">
    <w:abstractNumId w:val="29"/>
  </w:num>
  <w:num w:numId="20">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33"/>
  </w:num>
  <w:num w:numId="22">
    <w:abstractNumId w:val="51"/>
  </w:num>
  <w:num w:numId="23">
    <w:abstractNumId w:val="0"/>
  </w:num>
  <w:num w:numId="24">
    <w:abstractNumId w:val="47"/>
  </w:num>
  <w:num w:numId="25">
    <w:abstractNumId w:val="14"/>
  </w:num>
  <w:num w:numId="26">
    <w:abstractNumId w:val="56"/>
  </w:num>
  <w:num w:numId="27">
    <w:abstractNumId w:val="34"/>
  </w:num>
  <w:num w:numId="28">
    <w:abstractNumId w:val="40"/>
  </w:num>
  <w:num w:numId="29">
    <w:abstractNumId w:val="36"/>
  </w:num>
  <w:num w:numId="30">
    <w:abstractNumId w:val="12"/>
  </w:num>
  <w:num w:numId="31">
    <w:abstractNumId w:val="37"/>
  </w:num>
  <w:num w:numId="32">
    <w:abstractNumId w:val="11"/>
  </w:num>
  <w:num w:numId="33">
    <w:abstractNumId w:val="35"/>
  </w:num>
  <w:num w:numId="34">
    <w:abstractNumId w:val="22"/>
  </w:num>
  <w:num w:numId="35">
    <w:abstractNumId w:val="15"/>
  </w:num>
  <w:num w:numId="36">
    <w:abstractNumId w:val="24"/>
  </w:num>
  <w:num w:numId="37">
    <w:abstractNumId w:val="26"/>
  </w:num>
  <w:num w:numId="38">
    <w:abstractNumId w:val="16"/>
  </w:num>
  <w:num w:numId="39">
    <w:abstractNumId w:val="44"/>
  </w:num>
  <w:num w:numId="40">
    <w:abstractNumId w:val="27"/>
  </w:num>
  <w:num w:numId="41">
    <w:abstractNumId w:val="6"/>
  </w:num>
  <w:num w:numId="42">
    <w:abstractNumId w:val="45"/>
  </w:num>
  <w:num w:numId="43">
    <w:abstractNumId w:val="41"/>
  </w:num>
  <w:num w:numId="44">
    <w:abstractNumId w:val="32"/>
  </w:num>
  <w:num w:numId="45">
    <w:abstractNumId w:val="50"/>
  </w:num>
  <w:num w:numId="46">
    <w:abstractNumId w:val="1"/>
  </w:num>
  <w:num w:numId="47">
    <w:abstractNumId w:val="3"/>
  </w:num>
  <w:num w:numId="48">
    <w:abstractNumId w:val="25"/>
  </w:num>
  <w:num w:numId="49">
    <w:abstractNumId w:val="8"/>
  </w:num>
  <w:num w:numId="50">
    <w:abstractNumId w:val="21"/>
  </w:num>
  <w:num w:numId="51">
    <w:abstractNumId w:val="49"/>
  </w:num>
  <w:num w:numId="52">
    <w:abstractNumId w:val="9"/>
  </w:num>
  <w:num w:numId="53">
    <w:abstractNumId w:val="10"/>
  </w:num>
  <w:num w:numId="54">
    <w:abstractNumId w:val="48"/>
  </w:num>
  <w:num w:numId="55">
    <w:abstractNumId w:val="42"/>
  </w:num>
  <w:num w:numId="56">
    <w:abstractNumId w:val="19"/>
  </w:num>
  <w:num w:numId="57">
    <w:abstractNumId w:val="52"/>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proofState w:spelling="clean"/>
  <w:defaultTabStop w:val="720"/>
  <w:characterSpacingControl w:val="doNotCompress"/>
  <w:hdrShapeDefaults>
    <o:shapedefaults v:ext="edit" spidmax="2064"/>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74E8C"/>
    <w:rsid w:val="00033D68"/>
    <w:rsid w:val="00083830"/>
    <w:rsid w:val="000926DB"/>
    <w:rsid w:val="000C754A"/>
    <w:rsid w:val="000D1C85"/>
    <w:rsid w:val="00122A75"/>
    <w:rsid w:val="00135BAF"/>
    <w:rsid w:val="001660A7"/>
    <w:rsid w:val="001858E7"/>
    <w:rsid w:val="002052C3"/>
    <w:rsid w:val="002237A3"/>
    <w:rsid w:val="0024259A"/>
    <w:rsid w:val="002B614E"/>
    <w:rsid w:val="002D193A"/>
    <w:rsid w:val="002F4512"/>
    <w:rsid w:val="00305E25"/>
    <w:rsid w:val="00312FCA"/>
    <w:rsid w:val="00346127"/>
    <w:rsid w:val="00374E8C"/>
    <w:rsid w:val="0038410A"/>
    <w:rsid w:val="003D11D6"/>
    <w:rsid w:val="003F3123"/>
    <w:rsid w:val="00404D8A"/>
    <w:rsid w:val="00436852"/>
    <w:rsid w:val="0045633F"/>
    <w:rsid w:val="004D7362"/>
    <w:rsid w:val="00512626"/>
    <w:rsid w:val="00512CB6"/>
    <w:rsid w:val="00515B2A"/>
    <w:rsid w:val="005534D9"/>
    <w:rsid w:val="00556312"/>
    <w:rsid w:val="005634F2"/>
    <w:rsid w:val="005A0CAB"/>
    <w:rsid w:val="005E272E"/>
    <w:rsid w:val="00640CCA"/>
    <w:rsid w:val="00641E1F"/>
    <w:rsid w:val="00652DCC"/>
    <w:rsid w:val="00665288"/>
    <w:rsid w:val="006738DF"/>
    <w:rsid w:val="006863EB"/>
    <w:rsid w:val="00691A1E"/>
    <w:rsid w:val="006D6499"/>
    <w:rsid w:val="00722F93"/>
    <w:rsid w:val="007447EB"/>
    <w:rsid w:val="00792A9C"/>
    <w:rsid w:val="007C458C"/>
    <w:rsid w:val="007E13EA"/>
    <w:rsid w:val="007E5E82"/>
    <w:rsid w:val="00835503"/>
    <w:rsid w:val="0085590C"/>
    <w:rsid w:val="00873C81"/>
    <w:rsid w:val="0088333F"/>
    <w:rsid w:val="00885A8A"/>
    <w:rsid w:val="00887D20"/>
    <w:rsid w:val="0089029D"/>
    <w:rsid w:val="00893B4F"/>
    <w:rsid w:val="008B4B9A"/>
    <w:rsid w:val="008C225D"/>
    <w:rsid w:val="008E1EF9"/>
    <w:rsid w:val="008F1A68"/>
    <w:rsid w:val="009240B3"/>
    <w:rsid w:val="00924DE4"/>
    <w:rsid w:val="009649F1"/>
    <w:rsid w:val="00967E5E"/>
    <w:rsid w:val="00983F1C"/>
    <w:rsid w:val="00997BDF"/>
    <w:rsid w:val="009A26C4"/>
    <w:rsid w:val="009C38C5"/>
    <w:rsid w:val="00A00EDE"/>
    <w:rsid w:val="00A12BB1"/>
    <w:rsid w:val="00A25F2E"/>
    <w:rsid w:val="00A356F2"/>
    <w:rsid w:val="00AA6021"/>
    <w:rsid w:val="00AB7196"/>
    <w:rsid w:val="00B1406A"/>
    <w:rsid w:val="00B471C1"/>
    <w:rsid w:val="00B74597"/>
    <w:rsid w:val="00BC2241"/>
    <w:rsid w:val="00BC390A"/>
    <w:rsid w:val="00BE4F6E"/>
    <w:rsid w:val="00BE53EB"/>
    <w:rsid w:val="00BE678E"/>
    <w:rsid w:val="00C36C80"/>
    <w:rsid w:val="00C7130E"/>
    <w:rsid w:val="00D16A2D"/>
    <w:rsid w:val="00D3752B"/>
    <w:rsid w:val="00D5280E"/>
    <w:rsid w:val="00D77519"/>
    <w:rsid w:val="00D92D70"/>
    <w:rsid w:val="00D95884"/>
    <w:rsid w:val="00DD284F"/>
    <w:rsid w:val="00DE2050"/>
    <w:rsid w:val="00E74A34"/>
    <w:rsid w:val="00ED5580"/>
    <w:rsid w:val="00EF3013"/>
    <w:rsid w:val="00F3569F"/>
    <w:rsid w:val="00FF7E9F"/>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64"/>
    <o:shapelayout v:ext="edit">
      <o:idmap v:ext="edit" data="1"/>
    </o:shapelayout>
  </w:shapeDefaults>
  <w:decimalSymbol w:val="."/>
  <w:listSeparator w:val=","/>
  <w14:docId w14:val="08398F5E"/>
  <w15:docId w15:val="{0FDAA83E-3E85-4831-9522-F085B5BA2A69}"/>
  <w:documentProtection w:edit="forms" w:enforcement="true" w:cryptProviderType="rsaFull" w:cryptAlgorithmClass="hash" w:cryptAlgorithmType="typeAny" w:cryptAlgorithmSid="4" w:cryptSpinCount="50000" w:hash="8KFFDAoZatRQvHTWvrpw7I38/mU=" w:salt="XGyT3MLSpZiUtmDgkMhOVg=="/>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835503"/>
    <w:pPr>
      <w:spacing w:before="120" w:after="0" w:line="240" w:lineRule="auto"/>
      <w:jc w:val="both"/>
    </w:pPr>
    <w:rPr>
      <w:rFonts w:ascii="Arial" w:eastAsia="MS Mincho" w:hAnsi="Arial" w:cs="Arial"/>
      <w:color w:val="000000"/>
      <w:sz w:val="20"/>
      <w:szCs w:val="20"/>
    </w:rPr>
  </w:style>
  <w:style w:type="paragraph" w:styleId="Heading1">
    <w:name w:val="heading 1"/>
    <w:basedOn w:val="Normal"/>
    <w:next w:val="Normal"/>
    <w:link w:val="Heading1Char"/>
    <w:uiPriority w:val="9"/>
    <w:qFormat/>
    <w:rsid w:val="00374E8C"/>
    <w:pPr>
      <w:keepNext/>
      <w:spacing w:before="360" w:after="120"/>
      <w:ind w:left="720" w:hanging="720"/>
      <w:jc w:val="left"/>
      <w:outlineLvl w:val="0"/>
    </w:pPr>
    <w:rPr>
      <w:rFonts w:cs="Times New Roman"/>
      <w:b/>
      <w:bCs/>
      <w:i/>
      <w:iCs/>
      <w:color w:val="auto"/>
      <w:sz w:val="26"/>
      <w:szCs w:val="26"/>
    </w:rPr>
  </w:style>
  <w:style w:type="paragraph" w:styleId="Heading9">
    <w:name w:val="heading 9"/>
    <w:basedOn w:val="Normal"/>
    <w:next w:val="Normal"/>
    <w:link w:val="Heading9Char"/>
    <w:uiPriority w:val="9"/>
    <w:semiHidden/>
    <w:unhideWhenUsed/>
    <w:qFormat/>
    <w:rsid w:val="00374E8C"/>
    <w:pPr>
      <w:spacing w:before="240" w:after="60"/>
      <w:outlineLvl w:val="8"/>
    </w:pPr>
    <w:rPr>
      <w:rFonts w:ascii="Cambria" w:eastAsia="Times New Roman" w:hAnsi="Cambria" w:cs="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74E8C"/>
    <w:rPr>
      <w:rFonts w:ascii="Arial" w:eastAsia="MS Mincho" w:hAnsi="Arial" w:cs="Times New Roman"/>
      <w:b/>
      <w:bCs/>
      <w:i/>
      <w:iCs/>
      <w:sz w:val="26"/>
      <w:szCs w:val="26"/>
    </w:rPr>
  </w:style>
  <w:style w:type="character" w:customStyle="1" w:styleId="Heading9Char">
    <w:name w:val="Heading 9 Char"/>
    <w:basedOn w:val="DefaultParagraphFont"/>
    <w:link w:val="Heading9"/>
    <w:uiPriority w:val="9"/>
    <w:semiHidden/>
    <w:rsid w:val="00374E8C"/>
    <w:rPr>
      <w:rFonts w:ascii="Cambria" w:eastAsia="Times New Roman" w:hAnsi="Cambria" w:cs="Times New Roman"/>
      <w:color w:val="000000"/>
    </w:rPr>
  </w:style>
  <w:style w:type="paragraph" w:styleId="Header">
    <w:name w:val="header"/>
    <w:basedOn w:val="Normal"/>
    <w:link w:val="HeaderChar"/>
    <w:uiPriority w:val="99"/>
    <w:unhideWhenUsed/>
    <w:rsid w:val="00374E8C"/>
    <w:pPr>
      <w:tabs>
        <w:tab w:val="center" w:pos="4680"/>
        <w:tab w:val="right" w:pos="9360"/>
      </w:tabs>
      <w:spacing w:before="0"/>
    </w:pPr>
  </w:style>
  <w:style w:type="character" w:customStyle="1" w:styleId="HeaderChar">
    <w:name w:val="Header Char"/>
    <w:basedOn w:val="DefaultParagraphFont"/>
    <w:link w:val="Header"/>
    <w:uiPriority w:val="99"/>
    <w:rsid w:val="00374E8C"/>
    <w:rPr>
      <w:rFonts w:ascii="Arial" w:eastAsia="MS Mincho" w:hAnsi="Arial" w:cs="Arial"/>
      <w:color w:val="000000"/>
      <w:sz w:val="20"/>
      <w:szCs w:val="20"/>
    </w:rPr>
  </w:style>
  <w:style w:type="paragraph" w:styleId="Footer">
    <w:name w:val="footer"/>
    <w:basedOn w:val="Normal"/>
    <w:link w:val="FooterChar"/>
    <w:uiPriority w:val="99"/>
    <w:unhideWhenUsed/>
    <w:rsid w:val="00374E8C"/>
    <w:pPr>
      <w:tabs>
        <w:tab w:val="center" w:pos="4680"/>
        <w:tab w:val="right" w:pos="9360"/>
      </w:tabs>
      <w:spacing w:before="0"/>
    </w:pPr>
  </w:style>
  <w:style w:type="character" w:customStyle="1" w:styleId="FooterChar">
    <w:name w:val="Footer Char"/>
    <w:basedOn w:val="DefaultParagraphFont"/>
    <w:link w:val="Footer"/>
    <w:uiPriority w:val="99"/>
    <w:rsid w:val="00374E8C"/>
    <w:rPr>
      <w:rFonts w:ascii="Arial" w:eastAsia="MS Mincho" w:hAnsi="Arial" w:cs="Arial"/>
      <w:color w:val="000000"/>
      <w:sz w:val="20"/>
      <w:szCs w:val="20"/>
    </w:rPr>
  </w:style>
  <w:style w:type="table" w:styleId="TableGrid">
    <w:name w:val="Table Grid"/>
    <w:basedOn w:val="TableNormal"/>
    <w:uiPriority w:val="59"/>
    <w:rsid w:val="00374E8C"/>
    <w:pPr>
      <w:spacing w:after="0" w:line="240" w:lineRule="auto"/>
    </w:pPr>
    <w:rPr>
      <w:rFonts w:ascii="Arial" w:eastAsia="MS Mincho" w:hAnsi="Arial" w:cs="Arial"/>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yperlink">
    <w:name w:val="Hyperlink"/>
    <w:uiPriority w:val="99"/>
    <w:unhideWhenUsed/>
    <w:rsid w:val="00374E8C"/>
    <w:rPr>
      <w:color w:val="0000FF"/>
      <w:u w:val="single"/>
    </w:rPr>
  </w:style>
  <w:style w:type="paragraph" w:styleId="TOC1">
    <w:name w:val="toc 1"/>
    <w:basedOn w:val="Normal"/>
    <w:next w:val="Normal"/>
    <w:autoRedefine/>
    <w:uiPriority w:val="39"/>
    <w:unhideWhenUsed/>
    <w:rsid w:val="00374E8C"/>
    <w:pPr>
      <w:tabs>
        <w:tab w:val="left" w:pos="450"/>
        <w:tab w:val="right" w:leader="dot" w:pos="9017"/>
      </w:tabs>
      <w:spacing w:before="0"/>
    </w:pPr>
  </w:style>
  <w:style w:type="paragraph" w:styleId="ListParagraph">
    <w:name w:val="List Paragraph"/>
    <w:basedOn w:val="Normal"/>
    <w:link w:val="ListParagraphChar"/>
    <w:uiPriority w:val="99"/>
    <w:qFormat/>
    <w:rsid w:val="00374E8C"/>
    <w:pPr>
      <w:ind w:left="720"/>
      <w:contextualSpacing/>
    </w:pPr>
  </w:style>
  <w:style w:type="paragraph" w:styleId="BalloonText">
    <w:name w:val="Balloon Text"/>
    <w:basedOn w:val="Normal"/>
    <w:link w:val="BalloonTextChar"/>
    <w:uiPriority w:val="99"/>
    <w:semiHidden/>
    <w:unhideWhenUsed/>
    <w:rsid w:val="00374E8C"/>
    <w:pPr>
      <w:spacing w:before="0"/>
    </w:pPr>
    <w:rPr>
      <w:rFonts w:ascii="Tahoma" w:hAnsi="Tahoma" w:cs="Times New Roman"/>
      <w:color w:val="auto"/>
      <w:sz w:val="16"/>
      <w:szCs w:val="16"/>
    </w:rPr>
  </w:style>
  <w:style w:type="character" w:customStyle="1" w:styleId="BalloonTextChar">
    <w:name w:val="Balloon Text Char"/>
    <w:basedOn w:val="DefaultParagraphFont"/>
    <w:link w:val="BalloonText"/>
    <w:uiPriority w:val="99"/>
    <w:semiHidden/>
    <w:rsid w:val="00374E8C"/>
    <w:rPr>
      <w:rFonts w:ascii="Tahoma" w:eastAsia="MS Mincho" w:hAnsi="Tahoma" w:cs="Times New Roman"/>
      <w:sz w:val="16"/>
      <w:szCs w:val="16"/>
    </w:rPr>
  </w:style>
  <w:style w:type="character" w:styleId="CommentReference">
    <w:name w:val="annotation reference"/>
    <w:uiPriority w:val="99"/>
    <w:unhideWhenUsed/>
    <w:rsid w:val="00374E8C"/>
    <w:rPr>
      <w:sz w:val="16"/>
      <w:szCs w:val="16"/>
    </w:rPr>
  </w:style>
  <w:style w:type="paragraph" w:styleId="CommentText">
    <w:name w:val="annotation text"/>
    <w:basedOn w:val="Normal"/>
    <w:link w:val="CommentTextChar"/>
    <w:unhideWhenUsed/>
    <w:rsid w:val="00374E8C"/>
  </w:style>
  <w:style w:type="character" w:customStyle="1" w:styleId="CommentTextChar">
    <w:name w:val="Comment Text Char"/>
    <w:basedOn w:val="DefaultParagraphFont"/>
    <w:link w:val="CommentText"/>
    <w:rsid w:val="00374E8C"/>
    <w:rPr>
      <w:rFonts w:ascii="Arial" w:eastAsia="MS Mincho" w:hAnsi="Arial" w:cs="Arial"/>
      <w:color w:val="000000"/>
      <w:sz w:val="20"/>
      <w:szCs w:val="20"/>
    </w:rPr>
  </w:style>
  <w:style w:type="paragraph" w:styleId="CommentSubject">
    <w:name w:val="annotation subject"/>
    <w:basedOn w:val="CommentText"/>
    <w:next w:val="CommentText"/>
    <w:link w:val="CommentSubjectChar"/>
    <w:uiPriority w:val="99"/>
    <w:semiHidden/>
    <w:unhideWhenUsed/>
    <w:rsid w:val="00374E8C"/>
    <w:rPr>
      <w:rFonts w:cs="Times New Roman"/>
      <w:b/>
      <w:bCs/>
      <w:color w:val="auto"/>
    </w:rPr>
  </w:style>
  <w:style w:type="character" w:customStyle="1" w:styleId="CommentSubjectChar">
    <w:name w:val="Comment Subject Char"/>
    <w:basedOn w:val="CommentTextChar"/>
    <w:link w:val="CommentSubject"/>
    <w:uiPriority w:val="99"/>
    <w:semiHidden/>
    <w:rsid w:val="00374E8C"/>
    <w:rPr>
      <w:rFonts w:ascii="Arial" w:eastAsia="MS Mincho" w:hAnsi="Arial" w:cs="Times New Roman"/>
      <w:b/>
      <w:bCs/>
      <w:color w:val="000000"/>
      <w:sz w:val="20"/>
      <w:szCs w:val="20"/>
    </w:rPr>
  </w:style>
  <w:style w:type="paragraph" w:styleId="Revision">
    <w:name w:val="Revision"/>
    <w:hidden/>
    <w:uiPriority w:val="99"/>
    <w:semiHidden/>
    <w:rsid w:val="00374E8C"/>
    <w:pPr>
      <w:spacing w:after="0" w:line="240" w:lineRule="auto"/>
    </w:pPr>
    <w:rPr>
      <w:rFonts w:ascii="Arial" w:eastAsia="MS Mincho" w:hAnsi="Arial" w:cs="Arial"/>
      <w:color w:val="000000"/>
      <w:sz w:val="20"/>
      <w:szCs w:val="20"/>
    </w:rPr>
  </w:style>
  <w:style w:type="character" w:styleId="Strong">
    <w:name w:val="Strong"/>
    <w:qFormat/>
    <w:rsid w:val="00374E8C"/>
    <w:rPr>
      <w:b/>
      <w:bCs/>
    </w:rPr>
  </w:style>
  <w:style w:type="paragraph" w:customStyle="1" w:styleId="normal1">
    <w:name w:val="normal1"/>
    <w:basedOn w:val="Normal"/>
    <w:rsid w:val="00374E8C"/>
    <w:pPr>
      <w:spacing w:before="0"/>
      <w:jc w:val="left"/>
    </w:pPr>
    <w:rPr>
      <w:rFonts w:ascii="Times New Roman" w:eastAsia="Times New Roman" w:hAnsi="Times New Roman" w:cs="Times New Roman"/>
      <w:color w:val="auto"/>
    </w:rPr>
  </w:style>
  <w:style w:type="character" w:styleId="FollowedHyperlink">
    <w:name w:val="FollowedHyperlink"/>
    <w:basedOn w:val="DefaultParagraphFont"/>
    <w:uiPriority w:val="99"/>
    <w:semiHidden/>
    <w:unhideWhenUsed/>
    <w:rsid w:val="00BE678E"/>
    <w:rPr>
      <w:color w:val="954F72" w:themeColor="followedHyperlink"/>
      <w:u w:val="single"/>
    </w:rPr>
  </w:style>
  <w:style w:type="character" w:customStyle="1" w:styleId="ListParagraphChar">
    <w:name w:val="List Paragraph Char"/>
    <w:basedOn w:val="DefaultParagraphFont"/>
    <w:link w:val="ListParagraph"/>
    <w:uiPriority w:val="34"/>
    <w:rsid w:val="008E1EF9"/>
    <w:rPr>
      <w:rFonts w:ascii="Arial" w:eastAsia="MS Mincho" w:hAnsi="Arial" w:cs="Arial"/>
      <w:color w:val="000000"/>
      <w:sz w:val="20"/>
      <w:szCs w:val="20"/>
    </w:rPr>
  </w:style>
  <w:style w:type="character" w:customStyle="1" w:styleId="LogoportMarkup">
    <w:name w:val="LogoportMarkup"/>
    <w:basedOn w:val="DefaultParagraphFont"/>
    <w:rsid w:val="004D7362"/>
    <w:rPr>
      <w:rFonts w:ascii="Courier New" w:hAnsi="Courier New" w:cs="Courier New"/>
      <w:b w:val="0"/>
      <w:i w:val="0"/>
      <w:color w:val="FF0000"/>
      <w:sz w:val="18"/>
      <w:szCs w:val="32"/>
    </w:rPr>
  </w:style>
  <w:style w:type="character" w:customStyle="1" w:styleId="LogoportDoNotTranslate">
    <w:name w:val="LogoportDoNotTranslate"/>
    <w:basedOn w:val="DefaultParagraphFont"/>
    <w:rsid w:val="004D7362"/>
    <w:rPr>
      <w:rFonts w:ascii="Courier New" w:hAnsi="Courier New" w:cs="Courier New"/>
      <w:b w:val="0"/>
      <w:i w:val="0"/>
      <w:color w:val="808080"/>
      <w:sz w:val="18"/>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microsoft.com/japan/licensing/product.mspx" TargetMode="Externa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5C52D865D0CB4498EEC55A294A1530F" ma:contentTypeVersion="12" ma:contentTypeDescription="Create a new document." ma:contentTypeScope="" ma:versionID="d5ee21ff0920ca6788ca0b60ae3711b2">
  <xsd:schema xmlns:xsd="http://www.w3.org/2001/XMLSchema" xmlns:xs="http://www.w3.org/2001/XMLSchema" xmlns:p="http://schemas.microsoft.com/office/2006/metadata/properties" xmlns:ns2="230e9df3-be65-4c73-a93b-d1236ebd677e" xmlns:ns3="cb40a819-c2c9-4d15-af53-9c1dd3c293b5" xmlns:ns4="c4794c23-d227-4666-a8d0-747ccd3f81a3" targetNamespace="http://schemas.microsoft.com/office/2006/metadata/properties" ma:root="true" ma:fieldsID="45390b6eb0b9cb8a9d836fc466698aa9" ns2:_="" ns3:_="" ns4:_="">
    <xsd:import namespace="230e9df3-be65-4c73-a93b-d1236ebd677e"/>
    <xsd:import namespace="cb40a819-c2c9-4d15-af53-9c1dd3c293b5"/>
    <xsd:import namespace="c4794c23-d227-4666-a8d0-747ccd3f81a3"/>
    <xsd:element name="properties">
      <xsd:complexType>
        <xsd:sequence>
          <xsd:element name="documentManagement">
            <xsd:complexType>
              <xsd:all>
                <xsd:element ref="ns2:l46dced6587843b1901ea2be625ffc24" minOccurs="0"/>
                <xsd:element ref="ns2:TaxCatchAll" minOccurs="0"/>
                <xsd:element ref="ns2:pf408e84c90b463c88d98a4ca8fa4a76" minOccurs="0"/>
                <xsd:element ref="ns2:g1de90bf09944605b5395c5ca240cb6c" minOccurs="0"/>
                <xsd:element ref="ns3:SharedWithUsers" minOccurs="0"/>
                <xsd:element ref="ns4: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l46dced6587843b1901ea2be625ffc24" ma:index="3" nillable="true" ma:taxonomy="true" ma:internalName="l46dced6587843b1901ea2be625ffc24" ma:taxonomyFieldName="LCA_x0020_Fiscal_x0020_Year" ma:displayName="LCA Fiscal Year" ma:default="17;#Fiscal Year 2016|3a14a61a-c35e-44de-8ad5-95b6c87d55bf" ma:fieldId="{546dced6-5878-43b1-901e-a2be625ffc24}" ma:sspId="e385fb40-52d4-4fae-9c5b-3e8ff8a5878e" ma:termSetId="1ff17673-2e33-487a-8972-141f162c1e69" ma:anchorId="a9740f40-517f-4b4b-8cda-c688f2faebb0" ma:open="false" ma:isKeyword="false">
      <xsd:complexType>
        <xsd:sequence>
          <xsd:element ref="pc:Terms" minOccurs="0" maxOccurs="1"/>
        </xsd:sequence>
      </xsd:complexType>
    </xsd:element>
    <xsd:element name="TaxCatchAll" ma:index="4" nillable="true" ma:displayName="Taxonomy Catch All Column" ma:description="" ma:hidden="true" ma:list="{dbc7eb37-e4d9-4000-abdf-c1582428097b}" ma:internalName="TaxCatchAll" ma:showField="CatchAllData" ma:web="c4794c23-d227-4666-a8d0-747ccd3f81a3">
      <xsd:complexType>
        <xsd:complexContent>
          <xsd:extension base="dms:MultiChoiceLookup">
            <xsd:sequence>
              <xsd:element name="Value" type="dms:Lookup" maxOccurs="unbounded" minOccurs="0" nillable="true"/>
            </xsd:sequence>
          </xsd:extension>
        </xsd:complexContent>
      </xsd:complexType>
    </xsd:element>
    <xsd:element name="pf408e84c90b463c88d98a4ca8fa4a76" ma:index="6" nillable="true" ma:taxonomy="true" ma:internalName="pf408e84c90b463c88d98a4ca8fa4a76" ma:taxonomyFieldName="lcapracticegroup" ma:displayName="LCA Practice Group" ma:readOnly="false" ma:default="12;#Worldwide Sales Group (LCA)|1d16be35-564c-4ad3-8159-4e0ae4cdba01" ma:fieldId="{9f408e84-c90b-463c-88d9-8a4ca8fa4a76}" ma:sspId="e385fb40-52d4-4fae-9c5b-3e8ff8a5878e" ma:termSetId="dad97345-7d30-4e98-8710-86d8b6a8f016" ma:anchorId="00000000-0000-0000-0000-000000000000" ma:open="false" ma:isKeyword="false">
      <xsd:complexType>
        <xsd:sequence>
          <xsd:element ref="pc:Terms" minOccurs="0" maxOccurs="1"/>
        </xsd:sequence>
      </xsd:complexType>
    </xsd:element>
    <xsd:element name="g1de90bf09944605b5395c5ca240cb6c" ma:index="8" nillable="true" ma:taxonomy="true" ma:internalName="g1de90bf09944605b5395c5ca240cb6c" ma:taxonomyFieldName="lcaregion" ma:displayName="LCA Region" ma:readOnly="false" ma:default="9;#United States Area|ea9d7a8d-1619-469c-b0a4-ef1cd3c07355" ma:fieldId="{01de90bf-0994-4605-b539-5c5ca240cb6c}" ma:sspId="e385fb40-52d4-4fae-9c5b-3e8ff8a5878e" ma:termSetId="0783b91d-a0ba-4884-b8b9-b67dfb338116"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cb40a819-c2c9-4d15-af53-9c1dd3c293b5" elementFormDefault="qualified">
    <xsd:import namespace="http://schemas.microsoft.com/office/2006/documentManagement/types"/>
    <xsd:import namespace="http://schemas.microsoft.com/office/infopath/2007/PartnerControls"/>
    <xsd:element name="SharedWithUsers" ma:index="15"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c4794c23-d227-4666-a8d0-747ccd3f81a3" elementFormDefault="qualified">
    <xsd:import namespace="http://schemas.microsoft.com/office/2006/documentManagement/types"/>
    <xsd:import namespace="http://schemas.microsoft.com/office/infopath/2007/PartnerControls"/>
    <xsd:element name="SharedWithDetails" ma:index="16" nillable="true" ma:displayName="Shared With Details" ma:description=""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4"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f408e84c90b463c88d98a4ca8fa4a76 xmlns="230e9df3-be65-4c73-a93b-d1236ebd677e">
      <Terms xmlns="http://schemas.microsoft.com/office/infopath/2007/PartnerControls">
        <TermInfo xmlns="http://schemas.microsoft.com/office/infopath/2007/PartnerControls">
          <TermName xmlns="http://schemas.microsoft.com/office/infopath/2007/PartnerControls">Worldwide Sales Group (LCA)</TermName>
          <TermId xmlns="http://schemas.microsoft.com/office/infopath/2007/PartnerControls">1d16be35-564c-4ad3-8159-4e0ae4cdba01</TermId>
        </TermInfo>
      </Terms>
    </pf408e84c90b463c88d98a4ca8fa4a76>
    <l46dced6587843b1901ea2be625ffc24 xmlns="230e9df3-be65-4c73-a93b-d1236ebd677e">
      <Terms xmlns="http://schemas.microsoft.com/office/infopath/2007/PartnerControls">
        <TermInfo xmlns="http://schemas.microsoft.com/office/infopath/2007/PartnerControls">
          <TermName xmlns="http://schemas.microsoft.com/office/infopath/2007/PartnerControls">Fiscal Year 2016</TermName>
          <TermId xmlns="http://schemas.microsoft.com/office/infopath/2007/PartnerControls">3a14a61a-c35e-44de-8ad5-95b6c87d55bf</TermId>
        </TermInfo>
      </Terms>
    </l46dced6587843b1901ea2be625ffc24>
    <TaxCatchAll xmlns="230e9df3-be65-4c73-a93b-d1236ebd677e">
      <Value>12</Value>
      <Value>17</Value>
      <Value>9</Value>
    </TaxCatchAll>
    <g1de90bf09944605b5395c5ca240cb6c xmlns="230e9df3-be65-4c73-a93b-d1236ebd677e">
      <Terms xmlns="http://schemas.microsoft.com/office/infopath/2007/PartnerControls">
        <TermInfo xmlns="http://schemas.microsoft.com/office/infopath/2007/PartnerControls">
          <TermName xmlns="http://schemas.microsoft.com/office/infopath/2007/PartnerControls">United States Area</TermName>
          <TermId xmlns="http://schemas.microsoft.com/office/infopath/2007/PartnerControls">ea9d7a8d-1619-469c-b0a4-ef1cd3c07355</TermId>
        </TermInfo>
      </Terms>
    </g1de90bf09944605b5395c5ca240cb6c>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0544BE0-CB79-499B-8677-08C723A34FC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30e9df3-be65-4c73-a93b-d1236ebd677e"/>
    <ds:schemaRef ds:uri="cb40a819-c2c9-4d15-af53-9c1dd3c293b5"/>
    <ds:schemaRef ds:uri="c4794c23-d227-4666-a8d0-747ccd3f81a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04A4BC3-8127-483B-B482-C100D6AE7DA3}">
  <ds:schemaRefs>
    <ds:schemaRef ds:uri="http://schemas.microsoft.com/sharepoint/v3/contenttype/forms"/>
  </ds:schemaRefs>
</ds:datastoreItem>
</file>

<file path=customXml/itemProps3.xml><?xml version="1.0" encoding="utf-8"?>
<ds:datastoreItem xmlns:ds="http://schemas.openxmlformats.org/officeDocument/2006/customXml" ds:itemID="{9022D7C7-95A5-476A-AA28-282AF4536F4B}">
  <ds:schemaRefs>
    <ds:schemaRef ds:uri="http://schemas.microsoft.com/office/2006/metadata/properties"/>
    <ds:schemaRef ds:uri="http://schemas.microsoft.com/office/infopath/2007/PartnerControls"/>
    <ds:schemaRef ds:uri="230e9df3-be65-4c73-a93b-d1236ebd677e"/>
  </ds:schemaRefs>
</ds:datastoreItem>
</file>

<file path=customXml/itemProps4.xml><?xml version="1.0" encoding="utf-8"?>
<ds:datastoreItem xmlns:ds="http://schemas.openxmlformats.org/officeDocument/2006/customXml" ds:itemID="{3D9164A3-E62F-4B62-8EF8-639524218B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341</TotalTime>
  <Pages>10</Pages>
  <Words>4956</Words>
  <Characters>28251</Characters>
  <Application>Microsoft Office Word</Application>
  <DocSecurity>0</DocSecurity>
  <Lines>235</Lines>
  <Paragraphs>66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33141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Loren Hall (LCA)</dc:creator>
  <cp:lastModifiedBy>Elizabeth Brownell (MURPHY &amp; ASSOCIATES INC)</cp:lastModifiedBy>
  <cp:revision>31</cp:revision>
  <cp:lastPrinted>2016-07-26T13:50:00Z</cp:lastPrinted>
  <dcterms:created xsi:type="dcterms:W3CDTF">2015-05-15T21:45:00Z</dcterms:created>
  <dcterms:modified xsi:type="dcterms:W3CDTF">2019-10-01T21:39:00Z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0x01010075C52D865D0CB4498EEC55A294A1530F</vt:lpwstr>
  </property>
  <property fmtid="{D5CDD505-2E9C-101B-9397-08002B2CF9AE}" pid="3" name="_docset_NoMedatataSyncRequired">
    <vt:lpwstr>False</vt:lpwstr>
  </property>
  <property fmtid="{D5CDD505-2E9C-101B-9397-08002B2CF9AE}" pid="4" name="LCA Fiscal Year">
    <vt:lpwstr>17;#Fiscal Year 2016|3a14a61a-c35e-44de-8ad5-95b6c87d55bf</vt:lpwstr>
  </property>
  <property fmtid="{D5CDD505-2E9C-101B-9397-08002B2CF9AE}" pid="5" name="lcaregion">
    <vt:lpwstr>9;#United States Area|ea9d7a8d-1619-469c-b0a4-ef1cd3c07355</vt:lpwstr>
  </property>
  <property fmtid="{D5CDD505-2E9C-101B-9397-08002B2CF9AE}" pid="6" name="lcapracticegroup">
    <vt:lpwstr>12;#Worldwide Sales Group (LCA)|1d16be35-564c-4ad3-8159-4e0ae4cdba01</vt:lpwstr>
  </property>
</Properties>
</file>