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79F986" w14:textId="77098B36" w:rsidR="00374E8C" w:rsidRPr="00FA3E88" w:rsidRDefault="00374E8C" w:rsidP="00903EC9">
      <w:pPr>
        <w:spacing w:before="240"/>
        <w:jc w:val="left"/>
        <w:rPr>
          <w:rFonts w:ascii="Tahoma" w:hAnsi="Tahoma" w:cs="Tahoma"/>
          <w:cs/>
        </w:rPr>
      </w:pPr>
      <w:bookmarkStart w:id="0" w:name="_Toc261346423"/>
      <w:r w:rsidRPr="00FA3E88">
        <w:rPr>
          <w:rFonts w:ascii="Tahoma" w:hAnsi="Tahoma" w:cs="Tahoma"/>
          <w:sz w:val="32"/>
          <w:szCs w:val="32"/>
          <w:cs/>
        </w:rPr>
        <w:t>ข้อกำหนดเฉพาะประเทศ</w:t>
      </w:r>
    </w:p>
    <w:p w14:paraId="576679B2" w14:textId="106BD5E2" w:rsidR="00374E8C" w:rsidRPr="00FA3E88" w:rsidRDefault="00374E8C" w:rsidP="00F50FD7">
      <w:pPr>
        <w:spacing w:before="36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cs/>
        </w:rPr>
        <w:t>ข้อกำหนดเฉพาะประเทศด้านล่างนี้จะมีผลบังคับใช้แทนที่หรือเพิ่มเติมข้อกำหนดที่เทียบเท่ากันใน Microsoft Business and Services Agreement ตามที่ระบุไว้ดังนี้</w:t>
      </w:r>
    </w:p>
    <w:p w14:paraId="115790C9" w14:textId="567FA0AD" w:rsidR="00374E8C" w:rsidRPr="00FA3E88" w:rsidRDefault="00374E8C" w:rsidP="00404D8A">
      <w:pPr>
        <w:pStyle w:val="Heading1"/>
        <w:numPr>
          <w:ilvl w:val="0"/>
          <w:numId w:val="30"/>
        </w:numPr>
        <w:spacing w:after="0"/>
        <w:ind w:hanging="720"/>
        <w:rPr>
          <w:rFonts w:ascii="Tahoma" w:hAnsi="Tahoma" w:cs="Tahoma"/>
          <w:cs/>
        </w:rPr>
      </w:pPr>
      <w:r w:rsidRPr="00FA3E88">
        <w:rPr>
          <w:rFonts w:ascii="Tahoma" w:hAnsi="Tahoma" w:cs="Tahoma"/>
          <w:cs/>
        </w:rPr>
        <w:t>ข้อกำหนดเฉพาะประเทศที่กำหนดตามสถานที่</w:t>
      </w:r>
      <w:bookmarkEnd w:id="0"/>
    </w:p>
    <w:p w14:paraId="675A30CE" w14:textId="491FB839" w:rsidR="00374E8C" w:rsidRPr="00FA3E88" w:rsidRDefault="00374E8C" w:rsidP="008D7E29">
      <w:pPr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cs/>
        </w:rPr>
        <w:t>สำหรับลูกค้าที่อยู่ในประเทศใดประเทศหนึ่งที่ระบุในข้อ 1 นี้ บทบัญญัติเฉพาะของประเทศนั้นจะมีผลบังคับใช้แทนหรือเพิ่มเติมไปจากบทบัญญัติที่เทียบเคียงกันดังนี้</w:t>
      </w:r>
    </w:p>
    <w:p w14:paraId="0A0F3B1C" w14:textId="77777777" w:rsidR="00374E8C" w:rsidRPr="008D12B7" w:rsidRDefault="00374E8C" w:rsidP="00FE1586">
      <w:pPr>
        <w:keepNext/>
        <w:shd w:val="clear" w:color="auto" w:fill="000000"/>
        <w:spacing w:after="120"/>
        <w:jc w:val="left"/>
        <w:rPr>
          <w:rFonts w:ascii="Tahoma" w:hAnsi="Tahoma" w:cs="Tahoma"/>
          <w:color w:val="FFFFFF" w:themeColor="background1"/>
          <w:cs/>
        </w:rPr>
      </w:pPr>
      <w:r w:rsidRPr="00FA3E88">
        <w:rPr>
          <w:rFonts w:ascii="Tahoma" w:hAnsi="Tahoma" w:cs="Tahoma"/>
          <w:b/>
          <w:bCs/>
          <w:color w:val="FFFFFF"/>
          <w:cs/>
        </w:rPr>
        <w:t>ออสเตรเลีย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374E8C" w:rsidRPr="00FA3E88" w14:paraId="1E7FF6D0" w14:textId="77777777" w:rsidTr="00E53ABB">
        <w:trPr>
          <w:jc w:val="center"/>
        </w:trPr>
        <w:tc>
          <w:tcPr>
            <w:tcW w:w="9029" w:type="dxa"/>
            <w:shd w:val="clear" w:color="auto" w:fill="C6D9F1"/>
          </w:tcPr>
          <w:p w14:paraId="055B66B6" w14:textId="3B31061D" w:rsidR="00374E8C" w:rsidRPr="00FA3E88" w:rsidRDefault="00374E8C" w:rsidP="00FE1586">
            <w:pPr>
              <w:spacing w:after="120"/>
              <w:ind w:left="86" w:right="86"/>
              <w:jc w:val="left"/>
              <w:rPr>
                <w:rFonts w:ascii="Tahoma" w:hAnsi="Tahoma" w:cs="Tahoma"/>
                <w:b/>
                <w:bCs/>
                <w:cs/>
              </w:rPr>
            </w:pPr>
            <w:r w:rsidRPr="00FA3E88">
              <w:rPr>
                <w:rFonts w:ascii="Tahoma" w:hAnsi="Tahoma" w:cs="Tahoma"/>
                <w:b/>
                <w:bCs/>
                <w:cs/>
              </w:rPr>
              <w:t>เพิ่มเติมหัวข้อ “การรับประกัน” ด้วยข้อความต่อไปนี้</w:t>
            </w:r>
          </w:p>
        </w:tc>
      </w:tr>
    </w:tbl>
    <w:p w14:paraId="2E2C40DC" w14:textId="1561665B" w:rsidR="00374E8C" w:rsidRPr="00EB5094" w:rsidRDefault="00374E8C" w:rsidP="00F911F8">
      <w:pPr>
        <w:spacing w:after="240"/>
        <w:ind w:left="1080" w:hanging="360"/>
        <w:jc w:val="left"/>
        <w:rPr>
          <w:rFonts w:ascii="Tahoma" w:hAnsi="Tahoma" w:cs="Tahoma"/>
          <w:cs/>
          <w:lang w:val="en-US"/>
        </w:rPr>
      </w:pPr>
      <w:r w:rsidRPr="00FA3E88">
        <w:rPr>
          <w:rFonts w:ascii="Tahoma" w:hAnsi="Tahoma" w:cs="Tahoma"/>
          <w:b/>
          <w:bCs/>
          <w:cs/>
        </w:rPr>
        <w:t>d.</w:t>
      </w:r>
      <w:r w:rsidRPr="00FA3E88">
        <w:rPr>
          <w:rFonts w:ascii="Tahoma" w:hAnsi="Tahoma" w:cs="Tahoma"/>
          <w:b/>
          <w:bCs/>
          <w:cs/>
        </w:rPr>
        <w:tab/>
        <w:t>การแก้ไขของผู้บริโภค</w:t>
      </w:r>
      <w:r w:rsidR="00CA1FDF">
        <w:rPr>
          <w:rFonts w:ascii="Tahoma" w:hAnsi="Tahoma" w:cs="Tahoma"/>
          <w:b/>
          <w:bCs/>
          <w:cs/>
        </w:rPr>
        <w:t xml:space="preserve"> </w:t>
      </w:r>
      <w:r w:rsidRPr="00FA3E88">
        <w:rPr>
          <w:rFonts w:ascii="Tahoma" w:hAnsi="Tahoma" w:cs="Tahoma"/>
          <w:cs/>
        </w:rPr>
        <w:t>แม้จะมีข้อกำหนดอื่นใดในข้อตกลงนี้ (หรือข้อตกลงเพิ่มเติมใดๆ) ผู้บริโภคอาจได้รับประโยชน์จากสิทธิหรือการแก้ไขบางอย่างตามพระราชบัญญัติว่าด้วยการแข่งขันและผู้บริโภค ค.ศ. 2010 (Competition and Consumer Act 2010 (Cth)) และกฎหมายทำนองเดียวกันในระดับมลรัฐและเขตของประเทศออสเตรเลียในส่วนของความรับผิดที่ไม่อาจยกเว้นได้ ในกรณีเช่นว่านี้ ภายใต้ขอบเขตสูงสุดที่กฎหมายอนุญาตไว้ ความรับผิดดังกล่าวจะถูกจำกัดโดยให้ Microsoft เป็นผู้มีสิทธิเลือก ในกรณีของสินค้าจะจัดให้มี (1) การจัดเปลี่ยนสินค้า หรือ (2) การแก้ไขความบกพร่องของสินค้า และในกรณีของบริการจากผู้เชี่ยวชาญจะจัดให้มี (1) การจัดหาบริการจากผู้เชี่ยวชาญใหม่ หรือ (2) ค่าใช้จ่ายในการจัดหาบริการจากผู้เชี่ยวชาญใหม่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กฎหมายของออสเตรเลียกำหนดให้เราบอกกล่าวให้ผู้บริโภคที่เป็นผู้ซื้อสินค้าของ Microsoft ทราบว่า สินค้าของเรามาพร้อมกับการรับรองที่ไม่สามารถยกเว้นได้ภายใต้กฎหมายผู้บริโภคของออสเตรเลีย ท่านมีสิทธิได้รับการเปลี่ยนสินค้าหรือได้รับเงินคืนหากมีความชำรุดบกพร่องที่สำคัญ (major failure) และมีสิทธิได้รับค่าชดเชยในกรณีที่เกิดการสูญหายหรือความเสียหายอื่นใดที่สามารถคาดการณ์ได้ตามสมควร นอกจากนี้ คุณมีสิทธิที่จะส่งสินค้าเข้ารับการซ่อมหรือเปลี่ยนทดแทนหากสินค้านั้นไม่มีคุณภาพที่ยอมรับได้ และความล้มเหลวนั้นไม่มีมูลค่าเท่ากับความล้มเหลวสำคัญ</w:t>
      </w:r>
    </w:p>
    <w:p w14:paraId="074C11C2" w14:textId="0BA5FBA6" w:rsidR="00374E8C" w:rsidRPr="00F42340" w:rsidRDefault="00374E8C" w:rsidP="00A2791A">
      <w:pPr>
        <w:keepNext/>
        <w:shd w:val="clear" w:color="auto" w:fill="000000"/>
        <w:spacing w:before="360" w:after="120"/>
        <w:jc w:val="left"/>
        <w:rPr>
          <w:rFonts w:ascii="Tahoma" w:hAnsi="Tahoma" w:cs="Tahoma"/>
          <w:color w:val="FFFFFF" w:themeColor="background1"/>
          <w:cs/>
        </w:rPr>
      </w:pPr>
      <w:r w:rsidRPr="00FA3E88">
        <w:rPr>
          <w:rFonts w:ascii="Tahoma" w:hAnsi="Tahoma" w:cs="Tahoma"/>
          <w:b/>
          <w:bCs/>
          <w:color w:val="FFFFFF"/>
          <w:cs/>
        </w:rPr>
        <w:t>บังกลาเทศ อินเดีย อินโดนีเซีย พม่า สาธารณรัฐประชาชนจีน ฟิลิปปินส์ ศรีลังกา ไทย และเวียดนาม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374E8C" w:rsidRPr="00FA3E88" w14:paraId="4157CFFE" w14:textId="77777777" w:rsidTr="00E53ABB">
        <w:trPr>
          <w:jc w:val="center"/>
        </w:trPr>
        <w:tc>
          <w:tcPr>
            <w:tcW w:w="9243" w:type="dxa"/>
            <w:shd w:val="clear" w:color="auto" w:fill="C6D9F1"/>
          </w:tcPr>
          <w:p w14:paraId="0C52035D" w14:textId="5C8D8BC0" w:rsidR="00374E8C" w:rsidRPr="00FA3E88" w:rsidRDefault="00374E8C" w:rsidP="00A2791A">
            <w:pPr>
              <w:keepNext/>
              <w:spacing w:after="120"/>
              <w:ind w:left="86" w:right="86"/>
              <w:jc w:val="left"/>
              <w:rPr>
                <w:rFonts w:ascii="Tahoma" w:hAnsi="Tahoma" w:cs="Tahoma"/>
                <w:b/>
                <w:bCs/>
                <w:cs/>
              </w:rPr>
            </w:pPr>
            <w:r w:rsidRPr="00FA3E88">
              <w:rPr>
                <w:rFonts w:ascii="Tahoma" w:hAnsi="Tahoma" w:cs="Tahoma"/>
                <w:b/>
                <w:bCs/>
                <w:cs/>
              </w:rPr>
              <w:t>แทนที่ข้อย่อย “วิธีระงับข้อพิพาท” ด้วยข้อความต่อไปนี้</w:t>
            </w:r>
          </w:p>
        </w:tc>
      </w:tr>
    </w:tbl>
    <w:p w14:paraId="60D30881" w14:textId="6D683B19" w:rsidR="00374E8C" w:rsidRPr="00FA3E88" w:rsidRDefault="00374E8C" w:rsidP="00A2791A">
      <w:pPr>
        <w:ind w:left="108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cs/>
        </w:rPr>
        <w:t>การระงับข้อพิพาท</w:t>
      </w:r>
      <w:r w:rsidR="00CA1FDF">
        <w:rPr>
          <w:rFonts w:ascii="Tahoma" w:hAnsi="Tahoma" w:cs="Tahoma"/>
          <w:b/>
          <w:bCs/>
          <w:cs/>
        </w:rPr>
        <w:t xml:space="preserve"> </w:t>
      </w:r>
      <w:r w:rsidRPr="006C7AFA">
        <w:rPr>
          <w:rFonts w:ascii="Tahoma" w:hAnsi="Tahoma" w:cs="Tahoma"/>
          <w:b/>
          <w:cs/>
        </w:rPr>
        <w:t>เมื่อมีการดำเนินคดีที่เกิดขึ้นภายใต้ข้อตกลงฉบับนี้ในประเทศใดประเทศหนึ่งที่ปรากฏในรายการข้างต้น (รวมถึงข้อตกลงที่รวมข้อกำหนดในข้อตกลงฉบับนี้เข้าเป็นส่วนหนึ่ง) คู่สัญญาทั้งสองฝ่ายตกลงให้ระงับข้อพิพาทโดยอนุญาโตตุลาการตามข้อกำหนดของข้อนี้</w:t>
      </w:r>
      <w:r w:rsidR="00CA1FDF">
        <w:rPr>
          <w:rFonts w:ascii="Tahoma" w:hAnsi="Tahoma" w:cs="Tahoma"/>
          <w:b/>
          <w:bCs/>
          <w:cs/>
        </w:rPr>
        <w:t xml:space="preserve"> </w:t>
      </w:r>
      <w:r w:rsidRPr="00FA3E88">
        <w:rPr>
          <w:rFonts w:ascii="Tahoma" w:hAnsi="Tahoma" w:cs="Tahoma"/>
          <w:cs/>
        </w:rPr>
        <w:t>คำตัดสินของอนุญาโตตุลาการถือเป็นที่สุด มีผลผูกพันและไม่สามารถโต้แย้งได้ และอาจใช้เป็นพื้นฐานในการตัดสินข้อพิพาทในประเทศที่มีชื่ออยู่ข้างต้นหรือที่อื่นๆ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โดยขอบเขตสูงสุดที่กฎหมายที่ใช้บังคับอนุญาต คู่สัญญาสละสิทธิในการอุทธรณ์ทุกรูปแบบหรือวิธีการทางศาลอื่นใดที่คล้ายกัน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การเลือกสถานที่เหล่านี้ไม่ได้เป็นการปิดกั้นคู่สัญญาฝ่ายใดฝ่ายหนึ่งในการขอคำสั่งคุ้มครองชั่วคราวเกี่ยวกับการละเมิดสิทธิในทรัพย์สินทางปัญญาหรือหน้าที่ในการรักษาความลับในเขตอำนาจที่เหมาะสม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ภาษาที่ใช้ในกระบวนการอนุญาโตตุลาการต้องเป็นภาษาอังกฤษ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นอกจากนั้น ข้อกำหนดต่อไปนี้จะนำมาใช้กับประเทศต่างๆ ที่มีรายชื่อด้านล่าง</w:t>
      </w:r>
    </w:p>
    <w:p w14:paraId="1AFA36C6" w14:textId="6B84B34A" w:rsidR="00374E8C" w:rsidRPr="00FA3E88" w:rsidRDefault="00374E8C" w:rsidP="00A2791A">
      <w:pPr>
        <w:ind w:left="108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cs/>
        </w:rPr>
        <w:t>บังคลาเทศ อินโนนีเซีย ศรีลังกา ไทย และเวียดนาม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 xml:space="preserve">ข้อพิพาทใดๆ ที่เกิดขึ้นจากหรือเกี่ยวข้องกับข้อตกลงนี้ (ซึ่งรวมถึงข้อตกลงเพิ่มเติมใดๆ) รวมถึงปัญหาเกี่ยวกับการดำรงอยู่ ความสมบูรณ์ หรือการบอกเลิกสัญญา จะต้องมีการส่งเรื่องเพื่อให้ตัดสินชี้ขาดเป็นที่สุดโดยกระบวนการอนุญาโตตุลาการในสิงคโปร์ โดยเป็นไปตามกฎอนุญาโตตุลาการของศูนย์อนุญาโตตุลาการนานาชาติสิงคโปร์ (Arbitration Rules of Singapore International Arbitration Centre) (“SIAC”) </w:t>
      </w:r>
      <w:r w:rsidRPr="00FA3E88">
        <w:rPr>
          <w:rFonts w:ascii="Tahoma" w:hAnsi="Tahoma" w:cs="Tahoma"/>
          <w:cs/>
        </w:rPr>
        <w:lastRenderedPageBreak/>
        <w:t>โดยให้ถือว่ากฎดังกล่าวรวมอยู่ในข้อนี้ด้วยการอ้างอิง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องค์คณะผู้พิพากษาจะประกอบด้วยอนุญาโตตุลาการหนึ่งคนที่ได้รับมอบหมายโดยประธาน SIAC</w:t>
      </w:r>
      <w:r w:rsidR="00CA1FDF">
        <w:rPr>
          <w:rFonts w:ascii="Tahoma" w:hAnsi="Tahoma" w:cs="Tahoma"/>
          <w:cs/>
        </w:rPr>
        <w:t xml:space="preserve"> </w:t>
      </w:r>
      <w:r w:rsidRPr="007A6AA5">
        <w:rPr>
          <w:rFonts w:ascii="Tahoma" w:hAnsi="Tahoma" w:cs="Tahoma"/>
          <w:cs/>
        </w:rPr>
        <w:t>กระบวนการอนุญาโตตุลาการ</w:t>
      </w:r>
      <w:r w:rsidRPr="00FA3E88">
        <w:rPr>
          <w:rFonts w:ascii="Tahoma" w:hAnsi="Tahoma" w:cs="Tahoma"/>
          <w:cs/>
        </w:rPr>
        <w:t>จะใช้ภาษาอังกฤษ</w:t>
      </w:r>
    </w:p>
    <w:p w14:paraId="0C1411B7" w14:textId="1AAFFD03" w:rsidR="00374E8C" w:rsidRPr="00FA3E88" w:rsidRDefault="00374E8C" w:rsidP="003C724E">
      <w:pPr>
        <w:ind w:left="108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cs/>
        </w:rPr>
        <w:t>อินเดีย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การวินิจฉัยโดยอนุญาโตตุลาการจะต้องสอดคล้องกับกฎอนุญาโตตุลาการระหว่างประเทศของ Singapore International Arbitration Centre (</w:t>
      </w:r>
      <w:r w:rsidR="003C724E">
        <w:rPr>
          <w:rFonts w:ascii="Tahoma" w:hAnsi="Tahoma" w:cs="Tahoma"/>
          <w:lang w:val="en-US"/>
        </w:rPr>
        <w:t>“</w:t>
      </w:r>
      <w:r w:rsidRPr="00FA3E88">
        <w:rPr>
          <w:rFonts w:ascii="Tahoma" w:hAnsi="Tahoma" w:cs="Tahoma"/>
          <w:cs/>
        </w:rPr>
        <w:t>SIAC</w:t>
      </w:r>
      <w:r w:rsidR="003C724E">
        <w:rPr>
          <w:rFonts w:ascii="Tahoma" w:hAnsi="Tahoma" w:cs="Tahoma"/>
          <w:lang w:val="en-US"/>
        </w:rPr>
        <w:t>”</w:t>
      </w:r>
      <w:r w:rsidRPr="00FA3E88">
        <w:rPr>
          <w:rFonts w:ascii="Tahoma" w:hAnsi="Tahoma" w:cs="Tahoma"/>
          <w:cs/>
        </w:rPr>
        <w:t>) โดยให้ถือว่ามีการรวมกฎเหล่านี้ไว้ด้วยอ้างอิงในหัวข้อย่อยนี้ องค์คณะผู้พิพากษาจะประกอบด้วยอนุญาโตตุลาการหนึ่งคนที่ได้รับมอบหมายโดยประธาน SIAC ภาษาของอนุญาโตตุลาการต้องเป็นภาษาอังกฤษ และสถานที่สำหรับกระบวนการอนุญาโตตุลาการต้องเป็นสิงคโปร์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การตัดสินชี้ขาดของอนุญาโตตุลาการจะเป็นที่สุดและมีผลผูกพัน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ศาลของนิวเดลีแต่เพียงศาลเดียวจะมีอำนาจในการพิจารณาคดีใดๆ ที่เกี่ยวข้องกับการบังคับใช้คำตัดสินชี้ขาดและ/หรือสำหรับคำตัดสินชี้ขาดในการให้ความคุ้มครองชั่วคราวใดๆ</w:t>
      </w:r>
    </w:p>
    <w:p w14:paraId="78F84D67" w14:textId="4E1DDC60" w:rsidR="00374E8C" w:rsidRPr="00FA3E88" w:rsidRDefault="00374E8C" w:rsidP="00A2791A">
      <w:pPr>
        <w:ind w:left="108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cs/>
        </w:rPr>
        <w:t>สาธารณรัฐประชาชนจีน</w:t>
      </w:r>
      <w:r w:rsidR="00CA1FDF">
        <w:rPr>
          <w:rFonts w:ascii="Tahoma" w:hAnsi="Tahoma" w:cs="Tahoma"/>
          <w:b/>
          <w:bCs/>
          <w:cs/>
        </w:rPr>
        <w:t xml:space="preserve"> </w:t>
      </w:r>
      <w:r w:rsidRPr="00FA3E88">
        <w:rPr>
          <w:rFonts w:ascii="Tahoma" w:hAnsi="Tahoma" w:cs="Tahoma"/>
          <w:cs/>
        </w:rPr>
        <w:t>ข้อพิพาทใดๆ ที่เกิดขึ้นจากหรือเกี่ยวข้องกับข้อตกลงนี้ (ซึ่งรวมถึงข้อตกลงเพิ่มเติมใดๆ) รวมถึงปัญหาเกี่ยวกับการดำรงอยู่ ความสมบูรณ์ หรือการบอกเลิกสัญญา จะถูกส่งไปยังกระบวนการอนุญาโตตุลาการที่มีผลผูกพันที่คณะกรรมการอนุญาโตตุลาการเศรษฐกิจและการค้าระหว่างประเทศแห่งจีน (China International Economic and Trade Arbitration Commission) (“CIETAC”) ในปักกิ่งตามกฎที่มีผลในขณะนั้น</w:t>
      </w:r>
    </w:p>
    <w:p w14:paraId="68BE63E6" w14:textId="509FB3CD" w:rsidR="00374E8C" w:rsidRPr="00FA3E88" w:rsidRDefault="00374E8C" w:rsidP="00A2791A">
      <w:pPr>
        <w:ind w:left="108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cs/>
        </w:rPr>
        <w:t>ฟิลิปปินส์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ข้อพิพาทใดๆ ที่เกิดขึ้นจากหรือเกี่ยวข้องกับข้อตกลงนี้หรือข้อตกลงเพิ่มเติมใดๆ รวมถึงปัญหาเกี่ยวกับการดำรงอยู่ ความสมบูรณ์ หรือการบอกเลิกสัญญา จะต้องมีการส่งเรื่องเพื่อให้ตัดสินชี้ขาดเป็นที่สุดโดยกระบวนการอนุญาโตตุลาการในสิงคโปร์ โดยเป็นไปตามกฎอนุญาโตตุลาการของศูนย์อนุญาโตตุลาการนานาชาติสิงคโปร์ (Arbitration Rules of Singapore International Arbitration Centre) (“SIAC”) โดยให้ถือว่ากฎดังกล่าวรวมอยู่ในข้อนี้ด้วยการอ้างอิง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องค์คณะผู้พิพากษาจะประกอบด้วยอนุญาโตตุลาการหนึ่งคนที่ได้รับมอบหมายโดยประธาน SIAC</w:t>
      </w:r>
    </w:p>
    <w:p w14:paraId="6B0B5594" w14:textId="530FFB0C" w:rsidR="00374E8C" w:rsidRPr="00FA3E88" w:rsidRDefault="00374E8C" w:rsidP="00A2791A">
      <w:pPr>
        <w:ind w:left="108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cs/>
        </w:rPr>
        <w:t>ข้อพิพาทที่เกิดจากหรือเกี่ยวเนื่องกับข้อกำหนดการให้บริการ รวมถึงคำถามใดๆ เกี่ยวกับการดำรงอยู่ การบังคับใช้ หรือการสิ้นสุดถูกระงับโดยอนุญาโตตุลาการตามกฎอนุญาโตตุลาการ UNCITRAL ที่มีผลบังคับใช้ ณ วันที่เกิดข้อพิพาท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สถานที่สำหรับกระบวนการอนุญาโตตุลาการจะเป็นสิงคโปร์</w:t>
      </w:r>
      <w:r w:rsidR="00CA1FDF">
        <w:rPr>
          <w:rFonts w:ascii="Tahoma" w:hAnsi="Tahoma" w:cs="Tahoma"/>
          <w:cs/>
        </w:rPr>
        <w:t xml:space="preserve"> </w:t>
      </w:r>
      <w:r w:rsidRPr="00E575A2">
        <w:rPr>
          <w:rFonts w:ascii="Tahoma" w:hAnsi="Tahoma" w:cs="Tahoma"/>
          <w:cs/>
        </w:rPr>
        <w:t>กระบวนการอ</w:t>
      </w:r>
      <w:r w:rsidRPr="00FA3E88">
        <w:rPr>
          <w:rFonts w:ascii="Tahoma" w:hAnsi="Tahoma" w:cs="Tahoma"/>
          <w:cs/>
        </w:rPr>
        <w:t>นุญาโตตุลาการจะใช้ภาษาอังกฤษ</w:t>
      </w:r>
    </w:p>
    <w:p w14:paraId="2CDF059A" w14:textId="77777777" w:rsidR="00374E8C" w:rsidRPr="00CA5401" w:rsidRDefault="00374E8C" w:rsidP="00A2791A">
      <w:pPr>
        <w:keepNext/>
        <w:shd w:val="clear" w:color="auto" w:fill="000000"/>
        <w:spacing w:before="360" w:after="120"/>
        <w:jc w:val="left"/>
        <w:rPr>
          <w:rFonts w:ascii="Tahoma" w:hAnsi="Tahoma" w:cs="Tahoma"/>
          <w:color w:val="FFFFFF" w:themeColor="background1"/>
          <w:cs/>
        </w:rPr>
      </w:pPr>
      <w:r w:rsidRPr="00FA3E88">
        <w:rPr>
          <w:rFonts w:ascii="Tahoma" w:hAnsi="Tahoma" w:cs="Tahoma"/>
          <w:b/>
          <w:bCs/>
          <w:color w:val="FFFFFF"/>
          <w:cs/>
        </w:rPr>
        <w:t>บังคลาเทศ อินโนนีเซีย และศรีลังกา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374E8C" w:rsidRPr="00FA3E88" w14:paraId="69B07100" w14:textId="77777777" w:rsidTr="000C754A">
        <w:trPr>
          <w:jc w:val="center"/>
        </w:trPr>
        <w:tc>
          <w:tcPr>
            <w:tcW w:w="9029" w:type="dxa"/>
            <w:shd w:val="clear" w:color="auto" w:fill="C6D9F1"/>
          </w:tcPr>
          <w:p w14:paraId="02E6C216" w14:textId="37AF5646" w:rsidR="00374E8C" w:rsidRPr="00FA3E88" w:rsidRDefault="00374E8C" w:rsidP="00A2791A">
            <w:pPr>
              <w:keepNext/>
              <w:spacing w:after="120"/>
              <w:ind w:left="86" w:right="86"/>
              <w:jc w:val="left"/>
              <w:rPr>
                <w:rFonts w:ascii="Tahoma" w:hAnsi="Tahoma" w:cs="Tahoma"/>
                <w:b/>
                <w:bCs/>
                <w:cs/>
              </w:rPr>
            </w:pPr>
            <w:r w:rsidRPr="00FA3E88">
              <w:rPr>
                <w:rFonts w:ascii="Tahoma" w:hAnsi="Tahoma" w:cs="Tahoma"/>
                <w:b/>
                <w:bCs/>
                <w:cs/>
              </w:rPr>
              <w:t>แทนที่ประโยคที่สามของหัวข้อย่อย “กฎหมายที่ใช้บังคับ” ด้วยข้อความต่อไปนี้</w:t>
            </w:r>
          </w:p>
        </w:tc>
      </w:tr>
    </w:tbl>
    <w:p w14:paraId="30EBF0E2" w14:textId="7E118FF0" w:rsidR="00374E8C" w:rsidRPr="00FA3E88" w:rsidRDefault="000C754A" w:rsidP="00A2791A">
      <w:pPr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cs/>
        </w:rPr>
        <w:t>ข้อพิพาทใดๆ ที่เกิดขึ้นจากหรือเกี่ยวข้องกับบริการจากผู้เชี่ยวชาญจะอยู่ภายใต้กฎหมายของสิงคโปร์</w:t>
      </w:r>
    </w:p>
    <w:p w14:paraId="6684DD73" w14:textId="77777777" w:rsidR="00374E8C" w:rsidRPr="005F7578" w:rsidRDefault="00374E8C" w:rsidP="00A2791A">
      <w:pPr>
        <w:keepNext/>
        <w:shd w:val="clear" w:color="auto" w:fill="000000"/>
        <w:spacing w:before="360" w:after="120"/>
        <w:jc w:val="left"/>
        <w:rPr>
          <w:rFonts w:ascii="Tahoma" w:hAnsi="Tahoma" w:cs="Tahoma"/>
          <w:color w:val="FFFFFF" w:themeColor="background1"/>
          <w:cs/>
        </w:rPr>
      </w:pPr>
      <w:r w:rsidRPr="00FA3E88">
        <w:rPr>
          <w:rFonts w:ascii="Tahoma" w:hAnsi="Tahoma" w:cs="Tahoma"/>
          <w:b/>
          <w:bCs/>
          <w:color w:val="FFFFFF"/>
          <w:cs/>
        </w:rPr>
        <w:t>อินเดีย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374E8C" w:rsidRPr="00FA3E88" w14:paraId="66B8AD67" w14:textId="77777777" w:rsidTr="00E53ABB">
        <w:trPr>
          <w:jc w:val="center"/>
        </w:trPr>
        <w:tc>
          <w:tcPr>
            <w:tcW w:w="9029" w:type="dxa"/>
            <w:shd w:val="clear" w:color="auto" w:fill="C6D9F1"/>
          </w:tcPr>
          <w:p w14:paraId="12306C55" w14:textId="0E88F86E" w:rsidR="00374E8C" w:rsidRPr="00FA3E88" w:rsidRDefault="00374E8C" w:rsidP="00A2791A">
            <w:pPr>
              <w:keepNext/>
              <w:spacing w:after="120"/>
              <w:ind w:left="86" w:right="86"/>
              <w:jc w:val="left"/>
              <w:rPr>
                <w:rFonts w:ascii="Tahoma" w:hAnsi="Tahoma" w:cs="Tahoma"/>
                <w:b/>
                <w:bCs/>
                <w:cs/>
              </w:rPr>
            </w:pPr>
            <w:r w:rsidRPr="00FA3E88">
              <w:rPr>
                <w:rFonts w:ascii="Tahoma" w:hAnsi="Tahoma" w:cs="Tahoma"/>
                <w:b/>
                <w:bCs/>
                <w:cs/>
              </w:rPr>
              <w:t>แทนที่ประโยคแรกของหัวข้อย่อย “กฎหมายที่ใช้บังคับ” ด้วยข้อความต่อไปนี้</w:t>
            </w:r>
          </w:p>
        </w:tc>
      </w:tr>
    </w:tbl>
    <w:p w14:paraId="55E12EEB" w14:textId="5FA1D9B9" w:rsidR="00374E8C" w:rsidRPr="00FA3E88" w:rsidRDefault="00374E8C" w:rsidP="00A2791A">
      <w:pPr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cs/>
        </w:rPr>
        <w:t>ข้อกำหนดของข้อตกลงเพิ่มเติมแต่ละฉบับที่เข้าทำกับบริษัทในเครือของ Microsoft ที่ตั้งอยู่ในอินเดียจะอยู่ภายใต้บังคับและได้รับการตีความตามกฎหมายของประเทศอินเดีย</w:t>
      </w:r>
    </w:p>
    <w:p w14:paraId="3AD1D9CB" w14:textId="77777777" w:rsidR="00374E8C" w:rsidRPr="005F7578" w:rsidRDefault="00374E8C" w:rsidP="00A2791A">
      <w:pPr>
        <w:keepNext/>
        <w:shd w:val="clear" w:color="auto" w:fill="000000"/>
        <w:spacing w:before="360" w:after="120"/>
        <w:jc w:val="left"/>
        <w:rPr>
          <w:rFonts w:ascii="Tahoma" w:hAnsi="Tahoma" w:cs="Tahoma"/>
          <w:color w:val="FFFFFF" w:themeColor="background1"/>
          <w:cs/>
        </w:rPr>
      </w:pPr>
      <w:r w:rsidRPr="00FA3E88">
        <w:rPr>
          <w:rFonts w:ascii="Tahoma" w:hAnsi="Tahoma" w:cs="Tahoma"/>
          <w:b/>
          <w:bCs/>
          <w:color w:val="FFFFFF"/>
          <w:cs/>
        </w:rPr>
        <w:t>ญี่ปุ่น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374E8C" w:rsidRPr="00FA3E88" w14:paraId="1FA1DACC" w14:textId="77777777" w:rsidTr="00E53ABB">
        <w:trPr>
          <w:jc w:val="center"/>
        </w:trPr>
        <w:tc>
          <w:tcPr>
            <w:tcW w:w="9029" w:type="dxa"/>
            <w:shd w:val="clear" w:color="auto" w:fill="C6D9F1"/>
          </w:tcPr>
          <w:p w14:paraId="0A4F4F4C" w14:textId="21EBBD79" w:rsidR="00374E8C" w:rsidRPr="00FA3E88" w:rsidRDefault="00374E8C" w:rsidP="00A2791A">
            <w:pPr>
              <w:spacing w:after="120"/>
              <w:ind w:left="86" w:right="86"/>
              <w:jc w:val="left"/>
              <w:rPr>
                <w:rFonts w:ascii="Tahoma" w:hAnsi="Tahoma" w:cs="Tahoma"/>
                <w:b/>
                <w:bCs/>
                <w:cs/>
              </w:rPr>
            </w:pPr>
            <w:r w:rsidRPr="00FA3E88">
              <w:rPr>
                <w:rFonts w:ascii="Tahoma" w:hAnsi="Tahoma" w:cs="Tahoma"/>
                <w:b/>
                <w:bCs/>
                <w:cs/>
              </w:rPr>
              <w:t>แทนที่ URL ที่ระบุไว้ในหัวข้อ “คำจำกัดความ” ในคำจำกัดความของ Volume Licensing Site ด้วยข้อความต่อไปนี้</w:t>
            </w:r>
          </w:p>
        </w:tc>
      </w:tr>
    </w:tbl>
    <w:p w14:paraId="1F5382D4" w14:textId="7C72D245" w:rsidR="00374E8C" w:rsidRPr="00FA3E88" w:rsidRDefault="00FB06B0" w:rsidP="00A2791A">
      <w:pPr>
        <w:spacing w:after="240"/>
        <w:jc w:val="left"/>
        <w:rPr>
          <w:rFonts w:ascii="Tahoma" w:hAnsi="Tahoma" w:cs="Tahoma"/>
          <w:cs/>
        </w:rPr>
      </w:pPr>
      <w:hyperlink r:id="rId11" w:history="1">
        <w:r w:rsidR="00C36C80" w:rsidRPr="00FA3E88">
          <w:rPr>
            <w:rStyle w:val="Hyperlink"/>
            <w:rFonts w:ascii="Tahoma" w:hAnsi="Tahoma" w:cs="Tahoma"/>
            <w:cs/>
          </w:rPr>
          <w:t>http://www.microsoft.com/japan/licensing/product.mspx</w:t>
        </w:r>
      </w:hyperlink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D5280E" w:rsidRPr="00FA3E88" w14:paraId="7DFE2B22" w14:textId="77777777" w:rsidTr="00360ABF">
        <w:trPr>
          <w:jc w:val="center"/>
        </w:trPr>
        <w:tc>
          <w:tcPr>
            <w:tcW w:w="9029" w:type="dxa"/>
            <w:shd w:val="clear" w:color="auto" w:fill="C6D9F1"/>
          </w:tcPr>
          <w:p w14:paraId="555376B7" w14:textId="77777777" w:rsidR="00D5280E" w:rsidRPr="00FA3E88" w:rsidRDefault="00D5280E" w:rsidP="00903EC9">
            <w:pPr>
              <w:keepNext/>
              <w:spacing w:after="120"/>
              <w:ind w:left="86" w:right="86"/>
              <w:jc w:val="left"/>
              <w:rPr>
                <w:rFonts w:ascii="Tahoma" w:hAnsi="Tahoma" w:cs="Tahoma"/>
                <w:b/>
                <w:bCs/>
                <w:cs/>
              </w:rPr>
            </w:pPr>
            <w:r w:rsidRPr="00FA3E88">
              <w:rPr>
                <w:rFonts w:ascii="Tahoma" w:hAnsi="Tahoma" w:cs="Tahoma"/>
                <w:b/>
                <w:bCs/>
                <w:cs/>
              </w:rPr>
              <w:lastRenderedPageBreak/>
              <w:t>แทนที่ข้อย่อย “กฎหมายที่ใช้บังคับ” ด้วยข้อความต่อไปนี้</w:t>
            </w:r>
          </w:p>
        </w:tc>
      </w:tr>
    </w:tbl>
    <w:p w14:paraId="1AC9C3B2" w14:textId="31FE1CE7" w:rsidR="00D5280E" w:rsidRPr="00FA3E88" w:rsidRDefault="00D5280E" w:rsidP="00A2791A">
      <w:pPr>
        <w:spacing w:after="24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cs/>
        </w:rPr>
        <w:t>เงื่อนไขของข้อตกลงเพิ่มเติมหรือข้อกำหนดการให้บริการจะอยู่ภายใต้บังคับและตีความตามกฎหมายญี่ปุ่น ข้อตกลงนี้ไม่อยู่ภายใต้บังคับของอนุสัญญาสหประชาชาติว่าด้วยสัญญาซื้อขายสินค้าระหว่างประเทศปีค.ศ. 1980 และเอกสารอื่นๆ ที่เกี่ยวข้องกับอนุสัญญานี้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374E8C" w:rsidRPr="00FA3E88" w14:paraId="51D33B3F" w14:textId="77777777" w:rsidTr="00E53ABB">
        <w:trPr>
          <w:jc w:val="center"/>
        </w:trPr>
        <w:tc>
          <w:tcPr>
            <w:tcW w:w="9029" w:type="dxa"/>
            <w:shd w:val="clear" w:color="auto" w:fill="C6D9F1"/>
          </w:tcPr>
          <w:p w14:paraId="61CEB3C3" w14:textId="4C3D6386" w:rsidR="00374E8C" w:rsidRPr="00FA3E88" w:rsidRDefault="00374E8C" w:rsidP="00A2791A">
            <w:pPr>
              <w:spacing w:after="120"/>
              <w:ind w:left="86" w:right="86"/>
              <w:jc w:val="left"/>
              <w:rPr>
                <w:rFonts w:ascii="Tahoma" w:hAnsi="Tahoma" w:cs="Tahoma"/>
                <w:b/>
                <w:bCs/>
                <w:cs/>
              </w:rPr>
            </w:pPr>
            <w:r w:rsidRPr="00FA3E88">
              <w:rPr>
                <w:rFonts w:ascii="Tahoma" w:hAnsi="Tahoma" w:cs="Tahoma"/>
                <w:b/>
                <w:bCs/>
                <w:cs/>
              </w:rPr>
              <w:t>แทนที่ข้อย่อย “วิธีระงับข้อพิพาท” ด้วยข้อความต่อไปนี้</w:t>
            </w:r>
          </w:p>
        </w:tc>
      </w:tr>
    </w:tbl>
    <w:p w14:paraId="2F94BFF2" w14:textId="66614620" w:rsidR="00374E8C" w:rsidRPr="00A331DF" w:rsidRDefault="00374E8C" w:rsidP="00A2791A">
      <w:pPr>
        <w:spacing w:after="240"/>
        <w:jc w:val="left"/>
        <w:rPr>
          <w:rFonts w:ascii="Tahoma" w:hAnsi="Tahoma" w:cs="Tahoma"/>
          <w:cs/>
        </w:rPr>
      </w:pPr>
      <w:r w:rsidRPr="00A331DF">
        <w:rPr>
          <w:rFonts w:ascii="Tahoma" w:hAnsi="Tahoma" w:cs="Tahoma"/>
          <w:color w:val="auto"/>
          <w:cs/>
        </w:rPr>
        <w:t>ข้อพิพาทใดที่เกิดจากหรือเกี่ยวเนื่องกับข้อตกลงนี้ (รวมถึงข้อตกลงเพิ่มเติมใดๆ หรือข้อกำหนดการให้บริการที่รวมอยู่ในข้อกำหนดเหล่านี้) รวมถึงปัญหาใดๆ ที่เกี่ยวกับการดำรงอยู่ ความสมบูรณ์หรือการสิ้นสุดสัญญา โดยอยู่ภายใต้เขตอำนาจศาลในศาลแขวงโตเกียว</w:t>
      </w:r>
      <w:r w:rsidR="00CA1FDF" w:rsidRPr="00A331DF">
        <w:rPr>
          <w:rFonts w:ascii="Tahoma" w:hAnsi="Tahoma" w:cs="Tahoma"/>
          <w:color w:val="auto"/>
          <w:cs/>
        </w:rPr>
        <w:t xml:space="preserve"> </w:t>
      </w:r>
      <w:r w:rsidRPr="00A331DF">
        <w:rPr>
          <w:rFonts w:ascii="Tahoma" w:hAnsi="Tahoma" w:cs="Tahoma"/>
          <w:cs/>
        </w:rPr>
        <w:t>การเลือกเขตอำนาจศาลไม่ถือเป็นการขัดขวางคู่สัญญาฝ่ายใดฝ่ายหนึ่งมิให้ขอคำสั่งคุ้มครองชั่วคราวเกี่ยวกับการละเมิดสิทธิในทรัพย์สินทางปัญญา หรือหน้าที่ในการรักษาความลับในเขตอำนาจที่เหมาะสม</w:t>
      </w:r>
    </w:p>
    <w:p w14:paraId="26DAF03A" w14:textId="2D3B96D9" w:rsidR="00374E8C" w:rsidRPr="000B0FEF" w:rsidRDefault="00374E8C" w:rsidP="00A2791A">
      <w:pPr>
        <w:keepNext/>
        <w:shd w:val="clear" w:color="auto" w:fill="000000"/>
        <w:spacing w:before="360" w:after="120"/>
        <w:jc w:val="left"/>
        <w:rPr>
          <w:rFonts w:ascii="Tahoma" w:hAnsi="Tahoma" w:cs="Tahoma"/>
          <w:color w:val="FFFFFF" w:themeColor="background1"/>
          <w:cs/>
        </w:rPr>
      </w:pPr>
      <w:r w:rsidRPr="00FA3E88">
        <w:rPr>
          <w:rFonts w:ascii="Tahoma" w:hAnsi="Tahoma" w:cs="Tahoma"/>
          <w:b/>
          <w:bCs/>
          <w:color w:val="FFFFFF"/>
          <w:cs/>
        </w:rPr>
        <w:t>นิวซีแลนด์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374E8C" w:rsidRPr="00FA3E88" w14:paraId="57C3A344" w14:textId="77777777" w:rsidTr="00E53ABB">
        <w:trPr>
          <w:jc w:val="center"/>
        </w:trPr>
        <w:tc>
          <w:tcPr>
            <w:tcW w:w="9029" w:type="dxa"/>
            <w:shd w:val="clear" w:color="auto" w:fill="C6D9F1"/>
          </w:tcPr>
          <w:p w14:paraId="383EAEC6" w14:textId="7090E591" w:rsidR="00374E8C" w:rsidRPr="00FA3E88" w:rsidRDefault="00374E8C" w:rsidP="00A2791A">
            <w:pPr>
              <w:keepNext/>
              <w:spacing w:after="120"/>
              <w:ind w:left="86" w:right="86"/>
              <w:jc w:val="left"/>
              <w:rPr>
                <w:rFonts w:ascii="Tahoma" w:hAnsi="Tahoma" w:cs="Tahoma"/>
                <w:b/>
                <w:bCs/>
                <w:cs/>
              </w:rPr>
            </w:pPr>
            <w:r w:rsidRPr="00FA3E88">
              <w:rPr>
                <w:rFonts w:ascii="Tahoma" w:hAnsi="Tahoma" w:cs="Tahoma"/>
                <w:b/>
                <w:bCs/>
                <w:cs/>
              </w:rPr>
              <w:t>เพิ่มเติมหัวข้อ “ข้อปลีกย่อย” ด้วยข้อความต่อไปนี้</w:t>
            </w:r>
          </w:p>
        </w:tc>
      </w:tr>
    </w:tbl>
    <w:p w14:paraId="075B5088" w14:textId="219B4EDC" w:rsidR="00374E8C" w:rsidRPr="00FA3E88" w:rsidRDefault="008F316B" w:rsidP="00A2791A">
      <w:pPr>
        <w:ind w:left="1080" w:hanging="360"/>
        <w:jc w:val="left"/>
        <w:rPr>
          <w:rFonts w:ascii="Tahoma" w:hAnsi="Tahoma" w:cs="Tahoma"/>
          <w:cs/>
        </w:rPr>
      </w:pPr>
      <w:r w:rsidRPr="008F316B">
        <w:rPr>
          <w:rFonts w:ascii="Tahoma" w:hAnsi="Tahoma" w:cs="Tahoma"/>
          <w:b/>
          <w:bCs/>
          <w:cs/>
        </w:rPr>
        <w:t>o.</w:t>
      </w:r>
      <w:r w:rsidR="0089029D" w:rsidRPr="00FA3E88">
        <w:rPr>
          <w:rFonts w:ascii="Tahoma" w:hAnsi="Tahoma" w:cs="Tahoma"/>
          <w:b/>
          <w:bCs/>
          <w:cs/>
        </w:rPr>
        <w:tab/>
        <w:t>กฎหมายลายลักษณ์อักษร</w:t>
      </w:r>
    </w:p>
    <w:p w14:paraId="552D294D" w14:textId="4CA1900B" w:rsidR="00374E8C" w:rsidRPr="006C7AFA" w:rsidRDefault="00374E8C" w:rsidP="00A2791A">
      <w:pPr>
        <w:pStyle w:val="ListParagraph"/>
        <w:numPr>
          <w:ilvl w:val="0"/>
          <w:numId w:val="27"/>
        </w:numPr>
        <w:ind w:left="1440"/>
        <w:contextualSpacing w:val="0"/>
        <w:jc w:val="left"/>
        <w:rPr>
          <w:rFonts w:ascii="Tahoma" w:hAnsi="Tahoma" w:cs="Tahoma"/>
          <w:b/>
          <w:cs/>
        </w:rPr>
      </w:pPr>
      <w:r w:rsidRPr="00FA3E88">
        <w:rPr>
          <w:rFonts w:ascii="Tahoma" w:hAnsi="Tahoma" w:cs="Tahoma"/>
          <w:b/>
          <w:bCs/>
          <w:cs/>
        </w:rPr>
        <w:t>ธุรกิจ</w:t>
      </w:r>
      <w:r w:rsidR="00CA1FDF">
        <w:rPr>
          <w:rFonts w:ascii="Tahoma" w:hAnsi="Tahoma" w:cs="Tahoma"/>
          <w:b/>
          <w:bCs/>
          <w:cs/>
        </w:rPr>
        <w:t xml:space="preserve"> </w:t>
      </w:r>
      <w:r w:rsidRPr="006C7AFA">
        <w:rPr>
          <w:rFonts w:ascii="Tahoma" w:hAnsi="Tahoma" w:cs="Tahoma"/>
          <w:b/>
          <w:cs/>
        </w:rPr>
        <w:t>ในกรณีที่ Microsoft เป็นผู้จัดหา (ตามที่คำดังกล่าวได้รับการนิยามไว้ในพระราชบัญญัติการรับประกันต่อผู้บริโภค ค.ศ. 1993 (Consumer Guarantees Act 1993 (“CGA”)) ผลิตภัณฑ์หรือบริการจากผู้เชี่ยวชาญ ลูกค้าขอยืนยันว่าผลิตภัณฑ์หรือบริการจากผู้เชี่ยวชาญที่ Microsoft จัดหาตามข้อตกลงเพิ่มเติมหรือข้อกำหนดการให้บริการนั้นได้มาเพื่อวัตถุประสงค์ทางธุรกิจ (ตามที่คำดังกล่าวได้รับการนิยามไว้ใน CGA) และลูกค้าตกลงว่า CGA จะไม่มีผลใช้บังคับกับผลิตภัณฑ์หรือบริการจากผู้เชี่ยวชาญที่จัดหาไว้ให้โดย Microsoft</w:t>
      </w:r>
    </w:p>
    <w:p w14:paraId="40965C25" w14:textId="79B9E7CC" w:rsidR="00374E8C" w:rsidRPr="006C7AFA" w:rsidRDefault="00374E8C" w:rsidP="00A2791A">
      <w:pPr>
        <w:pStyle w:val="ListParagraph"/>
        <w:numPr>
          <w:ilvl w:val="0"/>
          <w:numId w:val="27"/>
        </w:numPr>
        <w:ind w:left="1440"/>
        <w:contextualSpacing w:val="0"/>
        <w:jc w:val="left"/>
        <w:rPr>
          <w:rFonts w:ascii="Tahoma" w:hAnsi="Tahoma" w:cs="Tahoma"/>
          <w:b/>
          <w:cs/>
        </w:rPr>
      </w:pPr>
      <w:r w:rsidRPr="00FA3E88">
        <w:rPr>
          <w:rFonts w:ascii="Tahoma" w:hAnsi="Tahoma" w:cs="Tahoma"/>
          <w:b/>
          <w:bCs/>
          <w:cs/>
        </w:rPr>
        <w:t>ผู้บริโภค</w:t>
      </w:r>
      <w:r w:rsidR="00CA1FDF">
        <w:rPr>
          <w:rFonts w:ascii="Tahoma" w:hAnsi="Tahoma" w:cs="Tahoma"/>
          <w:b/>
          <w:bCs/>
          <w:cs/>
        </w:rPr>
        <w:t xml:space="preserve"> </w:t>
      </w:r>
      <w:r w:rsidRPr="006C7AFA">
        <w:rPr>
          <w:rFonts w:ascii="Tahoma" w:hAnsi="Tahoma" w:cs="Tahoma"/>
          <w:b/>
          <w:cs/>
        </w:rPr>
        <w:t>ไม่มีข้อกำหนดใดในข้อตกลงนี้ (หรือข้อตกลงเพิ่มเติมหรือข้อกำหนดการให้บริการใดๆ ที่รวมมากับข้อกำหนดเหล่านี้) ที่มุ่งหมายเป็นการจำกัดสิทธิต่าง ๆ ของ “ผู้บริโภค” ตาม CGA ในกรณีที่พระราชบัญญัตินี้มีผลบังคับใช้ ยกเว้นขอบเขตที่อนุญาตโดยพระราชบัญญัติดังกล่าว และข้อกำหนดของข้อตกลงนี้จะได้รับการแก้ไขเท่าที่จำเป็นเพื่อให้บรรลุความมุ่งหมายดังกล่าว</w:t>
      </w:r>
    </w:p>
    <w:p w14:paraId="3D5A0F35" w14:textId="49345239" w:rsidR="00374E8C" w:rsidRPr="00FA3E88" w:rsidRDefault="00374E8C" w:rsidP="00A2791A">
      <w:pPr>
        <w:pStyle w:val="Heading1"/>
        <w:numPr>
          <w:ilvl w:val="0"/>
          <w:numId w:val="30"/>
        </w:numPr>
        <w:spacing w:after="0"/>
        <w:ind w:hanging="720"/>
        <w:rPr>
          <w:rFonts w:ascii="Tahoma" w:hAnsi="Tahoma" w:cs="Tahoma"/>
          <w:cs/>
        </w:rPr>
      </w:pPr>
      <w:bookmarkStart w:id="1" w:name="_Toc261346424"/>
      <w:r w:rsidRPr="00FA3E88">
        <w:rPr>
          <w:rFonts w:ascii="Tahoma" w:hAnsi="Tahoma" w:cs="Tahoma"/>
          <w:cs/>
        </w:rPr>
        <w:t>ข้อกำหนดเฉพาะประเทศที่กำหนดตามกฎหมายที่ใช้บังคับ</w:t>
      </w:r>
      <w:bookmarkEnd w:id="1"/>
    </w:p>
    <w:p w14:paraId="3E12C8B3" w14:textId="66E2E9C8" w:rsidR="00374E8C" w:rsidRPr="00FA3E88" w:rsidRDefault="00374E8C" w:rsidP="00903EC9">
      <w:pPr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cs/>
        </w:rPr>
        <w:t>ในกรณีที่กฎหมายของเขตอำนาจศาลใดที่ระบุข้างล่างนี้มีผลใช้บังคับต่อข้อกำหนดของข้อตกลงหรือคำตัดสินของศาล ข้อกำหนดเฉพาะประเทศต่อไปนี้จะมีผลบังคับใช้แทนหรือเพิ่มเติมไปจากข้อกำหนดที่เทียบเคียงกันดังนี้</w:t>
      </w:r>
    </w:p>
    <w:p w14:paraId="61910AFA" w14:textId="77777777" w:rsidR="00374E8C" w:rsidRPr="000B0FEF" w:rsidRDefault="00374E8C" w:rsidP="00903EC9">
      <w:pPr>
        <w:keepNext/>
        <w:shd w:val="clear" w:color="auto" w:fill="000000"/>
        <w:spacing w:after="120"/>
        <w:jc w:val="left"/>
        <w:rPr>
          <w:rFonts w:ascii="Tahoma" w:hAnsi="Tahoma" w:cs="Tahoma"/>
          <w:color w:val="FFFFFF" w:themeColor="background1"/>
          <w:cs/>
        </w:rPr>
      </w:pPr>
      <w:r w:rsidRPr="00FA3E88">
        <w:rPr>
          <w:rFonts w:ascii="Tahoma" w:hAnsi="Tahoma" w:cs="Tahoma"/>
          <w:b/>
          <w:bCs/>
          <w:color w:val="FFFFFF"/>
          <w:cs/>
        </w:rPr>
        <w:t>ออสเตรีย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374E8C" w:rsidRPr="00FA3E88" w14:paraId="1A98832C" w14:textId="77777777" w:rsidTr="00E53ABB">
        <w:trPr>
          <w:jc w:val="center"/>
        </w:trPr>
        <w:tc>
          <w:tcPr>
            <w:tcW w:w="9029" w:type="dxa"/>
            <w:shd w:val="clear" w:color="auto" w:fill="C6D9F1"/>
          </w:tcPr>
          <w:p w14:paraId="145EF98E" w14:textId="7F805B84" w:rsidR="00374E8C" w:rsidRPr="00FA3E88" w:rsidRDefault="00374E8C" w:rsidP="00A2791A">
            <w:pPr>
              <w:keepNext/>
              <w:spacing w:after="120"/>
              <w:ind w:left="86" w:right="86"/>
              <w:jc w:val="left"/>
              <w:rPr>
                <w:rFonts w:ascii="Tahoma" w:hAnsi="Tahoma" w:cs="Tahoma"/>
                <w:b/>
                <w:bCs/>
                <w:cs/>
              </w:rPr>
            </w:pPr>
            <w:r w:rsidRPr="00FA3E88">
              <w:rPr>
                <w:rFonts w:ascii="Tahoma" w:hAnsi="Tahoma" w:cs="Tahoma"/>
                <w:b/>
                <w:bCs/>
                <w:cs/>
              </w:rPr>
              <w:t>เพิ่มเติมหัวข้อ “การรับประกัน” ด้วยข้อความต่อไปนี้</w:t>
            </w:r>
          </w:p>
        </w:tc>
      </w:tr>
    </w:tbl>
    <w:p w14:paraId="67ECE681" w14:textId="7A71648E" w:rsidR="00374E8C" w:rsidRPr="00FA3E88" w:rsidRDefault="00374E8C" w:rsidP="00A2791A">
      <w:pPr>
        <w:pStyle w:val="ListParagraph"/>
        <w:numPr>
          <w:ilvl w:val="0"/>
          <w:numId w:val="53"/>
        </w:numPr>
        <w:ind w:left="108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cs/>
        </w:rPr>
        <w:t>ลักษณะที่ได้ตกลงไว้ในส่วนของการเรียกร้องสิทธิเนื่องจากความบกพร่องด้านคุณภาพและความบกพร่องของกรรมสิทธิ์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ตราบเท่าที่ Microsoft ควรต้องจัดหาสังหาริมทรัพย์ที่ยังจะมีการผลิต (herzustellende, bewegliche Sache) หรือตราบเท่าที่มีการพิจารณาถึงประสิทธิภาพการทำงาน (Werkleistungen) ในบริการจากผู้เชี่ยวชาญของ Microsoft เป็นกรณีพิเศษ ก็จะมีการนำข้อกำหนดข้อ ง. ถึง ฌ. ต่อไปนี้ในหัวข้อนี้มาใช้กับการเรียกร้องสิทธิเนื่องจากความบกพร่องด้านคุณภาพหรือความบกพร่องของกรรมสิทธิ์ (ซึ่งเรียกรวมกันว่า “ความบกพร่อง”) แต่จะไม่มีการนำมาใช้กับกรณีที่เป็นการเรียกร้องสิทธิสำหรับค่าเสียหายหรือการใช้คืนค่าใช้จ่าย ข้อกำหนดที่มีอยู่ในส่วนหัวข้อ “ข้อจำกัดการรับผิด” จะนำมาใช้กับการเรียกร้องสิทธิค่าเสียหายหรือค่าใช้จ่ายที่เกิดจากความบกพร่อง</w:t>
      </w:r>
    </w:p>
    <w:p w14:paraId="0653D38F" w14:textId="02A86A46" w:rsidR="00374E8C" w:rsidRPr="00FA3E88" w:rsidRDefault="00374E8C" w:rsidP="00A2791A">
      <w:pPr>
        <w:pStyle w:val="ListParagraph"/>
        <w:numPr>
          <w:ilvl w:val="0"/>
          <w:numId w:val="53"/>
        </w:numPr>
        <w:ind w:left="1080"/>
        <w:contextualSpacing w:val="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cs/>
        </w:rPr>
        <w:t>การรับประกันในกรณีการปกปิดความบกพร่องโดยประสงค์ร้าย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 xml:space="preserve">ในกรณีที่เป็นการปกปิดความบกพร่องโดยประสงค์ร้าย (arglistiges Verschweigen) </w:t>
      </w:r>
      <w:r w:rsidRPr="00FA3E88">
        <w:rPr>
          <w:rFonts w:ascii="Tahoma" w:hAnsi="Tahoma" w:cs="Tahoma"/>
          <w:cs/>
        </w:rPr>
        <w:lastRenderedPageBreak/>
        <w:t>สิทธิของลูกค้าและการสิ้นสุดลงของสิทธิดังกล่าวจะกำหนดตามกฎหมายลายลักษณ์อักษรที่บังคับใช้เท่านั้น</w:t>
      </w:r>
    </w:p>
    <w:p w14:paraId="58E7CF9E" w14:textId="63FA59D2" w:rsidR="00374E8C" w:rsidRPr="00FA3E88" w:rsidRDefault="00374E8C" w:rsidP="00A2791A">
      <w:pPr>
        <w:pStyle w:val="ListParagraph"/>
        <w:numPr>
          <w:ilvl w:val="0"/>
          <w:numId w:val="53"/>
        </w:numPr>
        <w:ind w:left="1080"/>
        <w:contextualSpacing w:val="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cs/>
        </w:rPr>
        <w:t>ลักษณะของซอฟต์แวร์ที่ระบุไว้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โดยขึ้นอยู่กับความก้าวหน้าของเทคโนโลยีในขณะนั้น Microsoft ส่งหนังสือบอกกล่าวแก่ลูกค้าโดยชัดแจ้งว่าเป็นไปไม่ได้ที่จะพัฒนาผลิตภัณฑ์ซอฟต์แวร์ที่ซับซ้อนโดยปราศจากความบกพร่องทางเทคนิคอย่างสิ้นเชิง ลักษณะของซอฟต์แวร์ที่ Microsoft จัดให้ตามที่ระบุไว้ในสัญญา (vertragliche Beschaffenheit) ไม่จำเป็นต้องเป็นซอฟต์แวร์ที่ปราศจากข้อผิดพลาดในการเขียนโปรแกรมอย่างสิ้นเชิง หากแต่เป็นซอฟต์แวร์ที่ปราศจากข้อผิดพลาดในการเขียนโปรแกรมที่ส่งผลเสียต่อการใช้งานอย่างมาก</w:t>
      </w:r>
    </w:p>
    <w:p w14:paraId="5014C2DB" w14:textId="2EA0DEC0" w:rsidR="00374E8C" w:rsidRPr="00FA3E88" w:rsidRDefault="00374E8C" w:rsidP="00A2791A">
      <w:pPr>
        <w:pStyle w:val="ListParagraph"/>
        <w:numPr>
          <w:ilvl w:val="0"/>
          <w:numId w:val="53"/>
        </w:numPr>
        <w:ind w:left="1080"/>
        <w:contextualSpacing w:val="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cs/>
        </w:rPr>
        <w:t>ภาระหน้าที่ในการแจ้งข้อบกพร่องให้ทราบเป็นลายลักษณ์อักษร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ตราบเท่าที่ Microsoft ต้องจัดหาสังหาริมทรัพย์ที่ยังมีการผลิต ลูกค้าอาจเรียกร้องสิทธิต่อ Microsoft ได้เฉพาะในกรณีที่ลูกค้าได้ปฏิบัติตามภาระหน้าที่ของตนอย่างเหมาะสมในการแจ้ง Microsoft ให้ทราบถึงความบกพร่องทั้งหมด ตาม § 377 ของประมวลกฎหมายแพ่งออสเตรีย (UGB)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ลูกค้าต้องส่งหนังสือแจ้งให้ Microsoft ทราบอย่างเป็นลายลักษณ์อักษรถึงความบกพร่องที่ชัดเจน ซึ่งลูกค้าพบขณะทำการตรวจสอบตาม § 377 ของประมวลกฎหมายแพ่งออสเตรีย (UGB) โดยทันที แต่ต้องไม่เกินจากระยะเวลาสองสัปดาห์หลังจากการส่งมอบ ลูกค้าต้องส่งหนังสือแจ้งให้ Microsoft ทราบเป็นลายลักษณ์อักษรถึงความบกพร่องใดๆ ที่ซ่อนอยู่ทันทีหลังจากที่พบความบกพร่องนั้นๆ</w:t>
      </w:r>
    </w:p>
    <w:p w14:paraId="478418F6" w14:textId="24AC9619" w:rsidR="00374E8C" w:rsidRPr="00FA3E88" w:rsidRDefault="00374E8C" w:rsidP="00A2791A">
      <w:pPr>
        <w:pStyle w:val="ListParagraph"/>
        <w:numPr>
          <w:ilvl w:val="0"/>
          <w:numId w:val="53"/>
        </w:numPr>
        <w:ind w:left="1080"/>
        <w:contextualSpacing w:val="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cs/>
        </w:rPr>
        <w:t>การชำระเงินคืนสำหรับข้อบกพร่องที่ไม่ได้อยู่ภายใต้เงื่อนไขของการรับประกันแบบจำกัด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ในกรณีที่ Microsoft พิสูจน์ได้ว่าไม่มีความบกพร่องที่ Microsoft ต้องรับผิดชอบตามข้อกำหนดในข้อนี้ Microsoft มีสิทธิที่จะเรียกการชำระเงินคืนสำหรับค่าใช้จ่ายต่างๆ ตามอัตรามาตรฐานของ Microsoft ที่เกิดขึ้นจากความพยายามแก้ไขโดย Microsoft</w:t>
      </w:r>
    </w:p>
    <w:p w14:paraId="31BE6132" w14:textId="013BF024" w:rsidR="00374E8C" w:rsidRPr="00FA3E88" w:rsidRDefault="00374E8C" w:rsidP="00A2791A">
      <w:pPr>
        <w:pStyle w:val="ListParagraph"/>
        <w:numPr>
          <w:ilvl w:val="0"/>
          <w:numId w:val="53"/>
        </w:numPr>
        <w:spacing w:after="240"/>
        <w:ind w:left="1080"/>
        <w:contextualSpacing w:val="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cs/>
        </w:rPr>
        <w:t>ไม่มีการรับประกันข้อบกพร่องที่มีสาเหตุจากการเปลี่ยนแปลงแก้ไข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ลูกค้าอาจเรียกร้องสิทธิตามข้อกำหนดในข้อนี้ไม่ได้ หากลูกค้าหรือบุคคลภายนอกได้ปรับเปลี่ยนสังหาริมทรัพย์ที่ยังมีการผลิตที่จัดหาให้หรือประสิทธิภาพการทำงาน โดยไม่ได้รับความยินยอมจาก Microsoft เว้นแต่ลูกค้าจะสามารถพิสูจน์ได้ว่าความบกพร่องที่กล่าวถึงไม่ได้เกิดจากการปรับเปลี่ยนนั้น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374E8C" w:rsidRPr="00FA3E88" w14:paraId="708FA4EE" w14:textId="77777777" w:rsidTr="00E53ABB">
        <w:trPr>
          <w:jc w:val="center"/>
        </w:trPr>
        <w:tc>
          <w:tcPr>
            <w:tcW w:w="9029" w:type="dxa"/>
            <w:shd w:val="clear" w:color="auto" w:fill="C6D9F1"/>
          </w:tcPr>
          <w:p w14:paraId="6FA38E1B" w14:textId="000EA1A9" w:rsidR="00374E8C" w:rsidRPr="00FA3E88" w:rsidRDefault="00374E8C" w:rsidP="00A2791A">
            <w:pPr>
              <w:spacing w:after="120"/>
              <w:ind w:left="86" w:right="86"/>
              <w:jc w:val="left"/>
              <w:rPr>
                <w:rFonts w:ascii="Tahoma" w:hAnsi="Tahoma" w:cs="Tahoma"/>
                <w:b/>
                <w:bCs/>
                <w:cs/>
              </w:rPr>
            </w:pPr>
            <w:r w:rsidRPr="00FA3E88">
              <w:rPr>
                <w:rFonts w:ascii="Tahoma" w:hAnsi="Tahoma" w:cs="Tahoma"/>
                <w:b/>
                <w:bCs/>
                <w:cs/>
              </w:rPr>
              <w:t>เพื่อวัตถุประสงค์ของบริการจากผู้เชี่ยวชาญ ให้แทนที่หัวข้อ “ข้อจำกัดการรับผิด” ด้วยข้อความต่อไปนี้</w:t>
            </w:r>
          </w:p>
        </w:tc>
      </w:tr>
    </w:tbl>
    <w:p w14:paraId="51B739DE" w14:textId="0A5C1018" w:rsidR="00374E8C" w:rsidRPr="00FA3E88" w:rsidRDefault="00404D8A" w:rsidP="00903EC9">
      <w:pPr>
        <w:keepNext/>
        <w:ind w:left="720" w:hanging="72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i/>
          <w:iCs/>
          <w:sz w:val="26"/>
          <w:szCs w:val="26"/>
          <w:cs/>
        </w:rPr>
        <w:t>7.</w:t>
      </w:r>
      <w:r w:rsidRPr="00FA3E88">
        <w:rPr>
          <w:rFonts w:ascii="Tahoma" w:hAnsi="Tahoma" w:cs="Tahoma"/>
          <w:b/>
          <w:bCs/>
          <w:i/>
          <w:iCs/>
          <w:sz w:val="26"/>
          <w:szCs w:val="26"/>
          <w:cs/>
        </w:rPr>
        <w:tab/>
        <w:t>ข้อจำกัดการรับผิด</w:t>
      </w:r>
    </w:p>
    <w:p w14:paraId="7D33D9C7" w14:textId="77777777" w:rsidR="00374E8C" w:rsidRPr="00FA3E88" w:rsidRDefault="00374E8C" w:rsidP="00A2791A">
      <w:pPr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cs/>
        </w:rPr>
        <w:t>ความรับผิดของ Microsoft ในความเสียหายใดๆ และความเสียหายทั้งหมดที่เกี่ยวข้องกับการให้บริการจากผู้เชี่ยวชาญ ไม่ว่าจะมีสาเหตุจากการละเมิดสัญญา ข้อบกพร่อง หรือการกระทำที่ผิดกฎหมาย จะถูกจำกัดไว้ดังนี้</w:t>
      </w:r>
    </w:p>
    <w:p w14:paraId="4936A938" w14:textId="3F32B16E" w:rsidR="00374E8C" w:rsidRPr="00FA3E88" w:rsidRDefault="00374E8C" w:rsidP="008832CF">
      <w:pPr>
        <w:ind w:left="1080" w:hanging="36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cs/>
        </w:rPr>
        <w:t>a.</w:t>
      </w:r>
      <w:r w:rsidRPr="00FA3E88">
        <w:rPr>
          <w:rFonts w:ascii="Tahoma" w:hAnsi="Tahoma" w:cs="Tahoma"/>
          <w:b/>
          <w:bCs/>
          <w:cs/>
        </w:rPr>
        <w:tab/>
        <w:t xml:space="preserve">ความรับผิดในกรณีของการเจตนา ความประมาทเลินเล่ออย่างร้ายแรงแบบ </w:t>
      </w:r>
      <w:r w:rsidR="008832CF">
        <w:rPr>
          <w:rFonts w:ascii="Tahoma" w:hAnsi="Tahoma" w:cs="Tahoma"/>
          <w:b/>
          <w:bCs/>
          <w:lang w:val="en-US"/>
        </w:rPr>
        <w:t>“</w:t>
      </w:r>
      <w:r w:rsidRPr="00FA3E88">
        <w:rPr>
          <w:rFonts w:ascii="Tahoma" w:hAnsi="Tahoma" w:cs="Tahoma"/>
          <w:b/>
          <w:bCs/>
          <w:cs/>
        </w:rPr>
        <w:t>รุนแรง</w:t>
      </w:r>
      <w:r w:rsidR="008832CF">
        <w:rPr>
          <w:rFonts w:ascii="Tahoma" w:hAnsi="Tahoma" w:cs="Tahoma"/>
          <w:b/>
          <w:bCs/>
          <w:lang w:val="en-US"/>
        </w:rPr>
        <w:t>“</w:t>
      </w:r>
      <w:r w:rsidRPr="00FA3E88">
        <w:rPr>
          <w:rFonts w:ascii="Tahoma" w:hAnsi="Tahoma" w:cs="Tahoma"/>
          <w:b/>
          <w:bCs/>
          <w:cs/>
        </w:rPr>
        <w:t xml:space="preserve"> ความรับผิดในผลิตภัณฑ์ การปกปิดโดยประสงค์ร้าย และการเรียกร้องสิทธิในเรื่องความเสียหายต่อชีวิต ร่างกาย หรือสุขภาพ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ในกรณีของการกระทำโดยเจตนา หรือ</w:t>
      </w:r>
      <w:r w:rsidRPr="00060ACE">
        <w:rPr>
          <w:rFonts w:ascii="Tahoma" w:hAnsi="Tahoma" w:cs="Tahoma"/>
          <w:cs/>
        </w:rPr>
        <w:t xml:space="preserve">ความประมาทเลินเล่ออย่างร้ายแรงแบบ </w:t>
      </w:r>
      <w:r w:rsidR="008832CF">
        <w:rPr>
          <w:rFonts w:ascii="Tahoma" w:hAnsi="Tahoma" w:cs="Tahoma"/>
          <w:lang w:val="en-US"/>
        </w:rPr>
        <w:t>“</w:t>
      </w:r>
      <w:r w:rsidRPr="00060ACE">
        <w:rPr>
          <w:rFonts w:ascii="Tahoma" w:hAnsi="Tahoma" w:cs="Tahoma"/>
          <w:cs/>
        </w:rPr>
        <w:t>รุนแรง</w:t>
      </w:r>
      <w:r w:rsidR="008832CF">
        <w:rPr>
          <w:rFonts w:ascii="Tahoma" w:hAnsi="Tahoma" w:cs="Tahoma"/>
          <w:lang w:val="en-US"/>
        </w:rPr>
        <w:t>”</w:t>
      </w:r>
      <w:r w:rsidRPr="00FA3E88">
        <w:rPr>
          <w:rFonts w:ascii="Tahoma" w:hAnsi="Tahoma" w:cs="Tahoma"/>
          <w:cs/>
        </w:rPr>
        <w:t xml:space="preserve"> การเรียกร้องสิทธิตามพระราชบัญญัติความรับผิดในผลิตภัณฑ์ การปกปิดความบกพร่องโดยประสงค์ร้าย รวมทั้งการเรียกร้องสิทธิในเรื่องความเสียหายต่อชีวิต ร่างกาย หรือสุขภาพ ความรับผิดของ Microsoft จะได้รับการกำหนดตามกฎหมายลายลักษณ์อักษร</w:t>
      </w:r>
    </w:p>
    <w:p w14:paraId="5106A1FC" w14:textId="672DFF8F" w:rsidR="00374E8C" w:rsidRPr="00FA3E88" w:rsidRDefault="00374E8C" w:rsidP="00A2791A">
      <w:pPr>
        <w:ind w:left="1080" w:hanging="36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cs/>
        </w:rPr>
        <w:t>b.</w:t>
      </w:r>
      <w:r w:rsidRPr="00FA3E88">
        <w:rPr>
          <w:rFonts w:ascii="Tahoma" w:hAnsi="Tahoma" w:cs="Tahoma"/>
          <w:b/>
          <w:bCs/>
          <w:cs/>
        </w:rPr>
        <w:tab/>
        <w:t>ข้อจำกัดในกรณีของความประมาทเลินเล่ออย่างร้ายแรงแบบ “ธรรมดา”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ในกรณีที่เป็นความประมาทเลินเล่ออย่างร้ายแรงแบบ “ธรรมดา” ความรับผิดของ Microsoft จะจำกัดอยู่ที่การจ่ายเงินชดใช้ค่าเสียหายทั่วไปที่สามารถคาดการณ์ได้ โดยจะไม่เกินจำนวนเงินที่เป็นค่าตอบแทนจากลูกค้าสำหรับบริการจากผู้เชี่ยวชาญที่ดำเนินการไม่ถูกต้องเท่านั้น หรือหากเกี่ยวข้องกับบริการจากผู้เชี่ยวชาญหลายบริการ จำนวนเงินจะไม่เกินมูลค่ารวมทั้งหมด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สำหรับบริการจากผู้เชี่ยวชาญที่จัดไว้ให้กับลูกค้าโดยไม่คิดค่าใช้จ่าย ความรับผิดทั้งหมดของ Microsoft ที่มีต่อลูกค้าจะมีมูลค่าไม่เกิน 5000 ดอลลาร์สหรัฐฯ หรือมีมูลค่าเทียบเท่ากันในสกุลเงินของประเทศนั้น</w:t>
      </w:r>
    </w:p>
    <w:p w14:paraId="068115D2" w14:textId="6295478D" w:rsidR="00374E8C" w:rsidRPr="00FA3E88" w:rsidRDefault="00374E8C" w:rsidP="00A94ACC">
      <w:pPr>
        <w:ind w:left="108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cs/>
        </w:rPr>
        <w:lastRenderedPageBreak/>
        <w:t xml:space="preserve">ในกรณีที่เป็นการประมาทเลินเล่ออย่างร้ายแรงแบบ </w:t>
      </w:r>
      <w:r w:rsidR="00A94ACC">
        <w:rPr>
          <w:rFonts w:ascii="Tahoma" w:hAnsi="Tahoma" w:cs="Tahoma"/>
          <w:lang w:val="en-US"/>
        </w:rPr>
        <w:t>“</w:t>
      </w:r>
      <w:r w:rsidRPr="00FA3E88">
        <w:rPr>
          <w:rFonts w:ascii="Tahoma" w:hAnsi="Tahoma" w:cs="Tahoma"/>
          <w:cs/>
        </w:rPr>
        <w:t>ธรรมดา</w:t>
      </w:r>
      <w:r w:rsidR="00A94ACC">
        <w:rPr>
          <w:rFonts w:ascii="Tahoma" w:hAnsi="Tahoma" w:cs="Tahoma"/>
          <w:lang w:val="en-US"/>
        </w:rPr>
        <w:t>”</w:t>
      </w:r>
      <w:r w:rsidRPr="00FA3E88">
        <w:rPr>
          <w:rFonts w:ascii="Tahoma" w:hAnsi="Tahoma" w:cs="Tahoma"/>
          <w:cs/>
        </w:rPr>
        <w:t xml:space="preserve"> Microsoft จะไม่รับผิดชอบไม่ว่าในกรณีใดๆ ต่อความสูญเสียอันเนื่องมาจากการผิดสัญญา หรือความเสียหายที่เป็นผลสืบเนื่อง (ซึ่งรวมถึงแต่ไม่จำกัดเฉพาะการสูญเสียกำไรที่คาดไว้ การสูญเสียความนิยม การสูญเสียข้อมูล การสูญเสีญที่เป็นผลมาจากการหยุดชะงักของธุรกิจ หรือการสูญเสียในลักษณะอื่นๆ ที่คล้ายคลึงกัน) ซึ่งเกิดขึ้นหรือเกี่ยวข้องกับข้อกำหนดการให้บริการ บริการที่จัดให้ โปรแกรมแก้ไข หรือเอกสารหรือข้อมูลอื่นใด</w:t>
      </w:r>
    </w:p>
    <w:p w14:paraId="212EC187" w14:textId="4971978F" w:rsidR="00374E8C" w:rsidRPr="00FA3E88" w:rsidRDefault="00374E8C" w:rsidP="00A2791A">
      <w:pPr>
        <w:ind w:left="1080" w:hanging="36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cs/>
        </w:rPr>
        <w:t>c.</w:t>
      </w:r>
      <w:r w:rsidRPr="00FA3E88">
        <w:rPr>
          <w:rFonts w:ascii="Tahoma" w:hAnsi="Tahoma" w:cs="Tahoma"/>
          <w:b/>
          <w:bCs/>
          <w:cs/>
        </w:rPr>
        <w:tab/>
        <w:t>หลักฐานที่ยืนยันการเจตนาหรือการประมาทเลินเล่ออย่างร้ายแรง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ลูกค้าจะต้องมีหลักฐานที่สามารถยืนยันกรณีการเจตนาหรือการประมาทเลินเล่ออย่างร้ายแรงได้</w:t>
      </w:r>
    </w:p>
    <w:p w14:paraId="19C32047" w14:textId="3DC7C610" w:rsidR="00374E8C" w:rsidRPr="00FA3E88" w:rsidRDefault="00374E8C" w:rsidP="00A2791A">
      <w:pPr>
        <w:ind w:left="1080" w:hanging="36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cs/>
        </w:rPr>
        <w:t>d.</w:t>
      </w:r>
      <w:r w:rsidRPr="00FA3E88">
        <w:rPr>
          <w:rFonts w:ascii="Tahoma" w:hAnsi="Tahoma" w:cs="Tahoma"/>
          <w:b/>
          <w:bCs/>
          <w:cs/>
        </w:rPr>
        <w:tab/>
        <w:t>ข้อจำกัดในกรณีของการประมาทเลินเล่อเล็กน้อย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การรับผิดของ Microsoft ในกรณีของการประมาทเลินเล่อเล็กน้อยได้รับการยกเว้น</w:t>
      </w:r>
    </w:p>
    <w:p w14:paraId="6DB9FB2A" w14:textId="6B405AC7" w:rsidR="00374E8C" w:rsidRPr="00FA3E88" w:rsidRDefault="00374E8C" w:rsidP="00A2791A">
      <w:pPr>
        <w:ind w:left="1080" w:hanging="36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cs/>
        </w:rPr>
        <w:t>e.</w:t>
      </w:r>
      <w:r w:rsidRPr="00FA3E88">
        <w:rPr>
          <w:rFonts w:ascii="Tahoma" w:hAnsi="Tahoma" w:cs="Tahoma"/>
          <w:b/>
          <w:bCs/>
          <w:cs/>
        </w:rPr>
        <w:tab/>
        <w:t>การรับผิดต่อการสูญเสียข้อมูลและค่าใช้จ่ายในการกู้คืน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ลูกค้ามีภาระหน้าที่ที่จะต้องเก็บรักษาข้อมูลและโปรแกรมใดๆ ทั้งหมดก่อนที่ Microsoft จะดำเนินการ Microsoft จะไม่รับผิดชอบไม่ว่าในกรณีใดๆ ต่อการสูญเสียข้อมูลหรือโปรแกรม หรือค่าใช้จ่ายในการกู้คืนข้อมูลหรือโปรแกรม ตราบเท่าที่การสูญเสียดังกล่าวเป็นสิ่งที่สามารถหลีกเลี่ยงได้โดยการปฏิบัติตามภาระหน้าที่นี้ นอกจากนี้ Microsoft จะดำเนินการตามสมมุติฐานที่ว่าไม่มีการแก้ไขหรือปรับเปลี่ยนซอฟต์แวร์มาตรฐาน เว้นแต่ลูกค้าจะได้แจ้งรายละเอียดการแก้ไขหรือปรับเปลี่ยนเป็นลายลักษณ์อักษรก่อนที่ Microsoft จะดำเนินการ</w:t>
      </w:r>
    </w:p>
    <w:p w14:paraId="12E55D04" w14:textId="59F3C870" w:rsidR="00374E8C" w:rsidRPr="00FA3E88" w:rsidRDefault="00374E8C" w:rsidP="00A2791A">
      <w:pPr>
        <w:ind w:left="1080" w:hanging="36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cs/>
        </w:rPr>
        <w:t>f.</w:t>
      </w:r>
      <w:r w:rsidRPr="00FA3E88">
        <w:rPr>
          <w:rFonts w:ascii="Tahoma" w:hAnsi="Tahoma" w:cs="Tahoma"/>
          <w:b/>
          <w:bCs/>
          <w:cs/>
        </w:rPr>
        <w:tab/>
        <w:t>การจำกัดระยะเวลาในการเรียกร้องสิทธิ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การเรียกร้องสิทธิใดๆ ก็ตามในกรณีของความเสียหายที่เกิดจากความบกพร่องจะสิ้นสุดลงภายในระยะเวลาหนึ่งปี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ในกรณีของประสิทธิภาพการทำงาน ระยะเวลาที่มีการจำกัดไว้จะเริ่มต้นขึ้นในวันที่มีการตกลงรับ (Abnahme)</w:t>
      </w:r>
    </w:p>
    <w:p w14:paraId="042E2585" w14:textId="77777777" w:rsidR="00374E8C" w:rsidRPr="00FA3E88" w:rsidRDefault="00374E8C" w:rsidP="00A2791A">
      <w:pPr>
        <w:ind w:left="108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cs/>
        </w:rPr>
        <w:t>การเรียกร้องสิทธิอื่นใดต่อ Microsoft ในกรณีของความเสียหายจะสิ้นสุดลงภายในเวลาสองปีนับจากวันที่มีเหตุของการดำเนินคดีเกิดขึ้น</w:t>
      </w:r>
    </w:p>
    <w:p w14:paraId="7962023B" w14:textId="1564B04B" w:rsidR="00374E8C" w:rsidRPr="00FA3E88" w:rsidRDefault="00374E8C" w:rsidP="00833584">
      <w:pPr>
        <w:ind w:left="108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cs/>
        </w:rPr>
        <w:t xml:space="preserve">ข้อกำหนดที่อยู่ในข้อย่อยนี้ในเรื่อง </w:t>
      </w:r>
      <w:r w:rsidR="00AC015E">
        <w:rPr>
          <w:rFonts w:ascii="Tahoma" w:hAnsi="Tahoma" w:cs="Tahoma"/>
          <w:lang w:val="en-US"/>
        </w:rPr>
        <w:t>“</w:t>
      </w:r>
      <w:r w:rsidRPr="00FA3E88">
        <w:rPr>
          <w:rFonts w:ascii="Tahoma" w:hAnsi="Tahoma" w:cs="Tahoma"/>
          <w:cs/>
        </w:rPr>
        <w:t>การจำกัดระยะเวลาในการเรียกร้องสิทธิ</w:t>
      </w:r>
      <w:r w:rsidR="00AC015E">
        <w:rPr>
          <w:rFonts w:ascii="Tahoma" w:hAnsi="Tahoma" w:cs="Tahoma"/>
          <w:lang w:val="en-US"/>
        </w:rPr>
        <w:t>”</w:t>
      </w:r>
      <w:r w:rsidRPr="00FA3E88">
        <w:rPr>
          <w:rFonts w:ascii="Tahoma" w:hAnsi="Tahoma" w:cs="Tahoma"/>
          <w:cs/>
        </w:rPr>
        <w:t xml:space="preserve"> จะไม่มีผลใช้บังคับใดๆ ต่อกรณีที่อยู่ภายใต้บังคับของข้อย่อยข้างต้นเรื่อง </w:t>
      </w:r>
      <w:r w:rsidR="00833584">
        <w:rPr>
          <w:rFonts w:ascii="Tahoma" w:hAnsi="Tahoma" w:cs="Tahoma"/>
          <w:lang w:val="en-US"/>
        </w:rPr>
        <w:t>“</w:t>
      </w:r>
      <w:r w:rsidRPr="00FA3E88">
        <w:rPr>
          <w:rFonts w:ascii="Tahoma" w:hAnsi="Tahoma" w:cs="Tahoma"/>
          <w:cs/>
        </w:rPr>
        <w:t>การรับผิดในกรณีของการเจตนา การรับผิดต่อผลิตภัณฑ์ การปกปิดความบกพร่องโดยประสงค์ร้าย และการเรียกร้องสิทธิต่อความเสียหายต่อต่อชีวิต ร่างกาย หรือสุขภาพ</w:t>
      </w:r>
      <w:r w:rsidR="00833584">
        <w:rPr>
          <w:rFonts w:ascii="Tahoma" w:hAnsi="Tahoma" w:cs="Tahoma"/>
          <w:lang w:val="en-US"/>
        </w:rPr>
        <w:t>”</w:t>
      </w:r>
      <w:r w:rsidRPr="00FA3E88">
        <w:rPr>
          <w:rFonts w:ascii="Tahoma" w:hAnsi="Tahoma" w:cs="Tahoma"/>
          <w:cs/>
        </w:rPr>
        <w:t xml:space="preserve"> โดยหากเป็นในกรณีดังกล่าว ให้กฎหมายที่เป็นลายลักษณ์อักษรมีผลใช้บังคับ</w:t>
      </w:r>
    </w:p>
    <w:p w14:paraId="7D5D4BDC" w14:textId="77777777" w:rsidR="0088333F" w:rsidRPr="000E722D" w:rsidRDefault="0088333F" w:rsidP="0024735B">
      <w:pPr>
        <w:keepNext/>
        <w:shd w:val="clear" w:color="auto" w:fill="000000"/>
        <w:spacing w:before="360" w:after="120"/>
        <w:jc w:val="left"/>
        <w:rPr>
          <w:rFonts w:ascii="Tahoma" w:hAnsi="Tahoma" w:cs="Tahoma"/>
          <w:color w:val="FFFFFF" w:themeColor="background1"/>
          <w:cs/>
        </w:rPr>
      </w:pPr>
      <w:r w:rsidRPr="00FA3E88">
        <w:rPr>
          <w:rFonts w:ascii="Tahoma" w:hAnsi="Tahoma" w:cs="Tahoma"/>
          <w:b/>
          <w:bCs/>
          <w:color w:val="FFFFFF"/>
          <w:cs/>
        </w:rPr>
        <w:t xml:space="preserve">แคนาดา 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8333F" w:rsidRPr="00FA3E88" w14:paraId="1141F7A7" w14:textId="77777777" w:rsidTr="00A13DC6">
        <w:trPr>
          <w:jc w:val="center"/>
        </w:trPr>
        <w:tc>
          <w:tcPr>
            <w:tcW w:w="9029" w:type="dxa"/>
            <w:shd w:val="clear" w:color="auto" w:fill="BDD6EE" w:themeFill="accent1" w:themeFillTint="66"/>
          </w:tcPr>
          <w:p w14:paraId="7F34377F" w14:textId="53D3481E" w:rsidR="0088333F" w:rsidRPr="00FA3E88" w:rsidRDefault="0088333F" w:rsidP="0024735B">
            <w:pPr>
              <w:keepNext/>
              <w:spacing w:after="120"/>
              <w:ind w:left="86" w:right="86"/>
              <w:jc w:val="left"/>
              <w:rPr>
                <w:rFonts w:ascii="Tahoma" w:hAnsi="Tahoma" w:cs="Tahoma"/>
                <w:b/>
                <w:bCs/>
                <w:cs/>
              </w:rPr>
            </w:pPr>
            <w:r w:rsidRPr="00FA3E88">
              <w:rPr>
                <w:rFonts w:ascii="Tahoma" w:hAnsi="Tahoma" w:cs="Tahoma"/>
                <w:b/>
                <w:bCs/>
                <w:cs/>
              </w:rPr>
              <w:t>แทนที่หัวข้อย่อย “คำปฏิเสธการรับประกัน” ในหัวข้อ “การรับประกัน” ด้วยข้อความต่อไปนี้</w:t>
            </w:r>
          </w:p>
        </w:tc>
      </w:tr>
    </w:tbl>
    <w:p w14:paraId="2AC68687" w14:textId="319025B8" w:rsidR="0088333F" w:rsidRPr="00DA57E8" w:rsidRDefault="00404D8A" w:rsidP="0024735B">
      <w:pPr>
        <w:pStyle w:val="ListParagraph"/>
        <w:ind w:left="1080" w:hanging="360"/>
        <w:jc w:val="left"/>
        <w:rPr>
          <w:rFonts w:ascii="Tahoma" w:hAnsi="Tahoma" w:cs="Tahoma"/>
          <w:cs/>
        </w:rPr>
      </w:pPr>
      <w:r w:rsidRPr="00DA57E8">
        <w:rPr>
          <w:rFonts w:ascii="Tahoma" w:hAnsi="Tahoma" w:cs="Tahoma"/>
          <w:b/>
          <w:bCs/>
          <w:cs/>
        </w:rPr>
        <w:t>c.</w:t>
      </w:r>
      <w:r w:rsidRPr="00DA57E8">
        <w:rPr>
          <w:rFonts w:ascii="Tahoma" w:hAnsi="Tahoma" w:cs="Tahoma"/>
          <w:b/>
          <w:bCs/>
          <w:cs/>
        </w:rPr>
        <w:tab/>
        <w:t>คำปฏิเสธการรับประกัน</w:t>
      </w:r>
      <w:r w:rsidR="00CA1FDF" w:rsidRPr="00DA57E8">
        <w:rPr>
          <w:rFonts w:ascii="Tahoma" w:hAnsi="Tahoma" w:cs="Tahoma"/>
          <w:b/>
          <w:bCs/>
          <w:cs/>
        </w:rPr>
        <w:t xml:space="preserve"> </w:t>
      </w:r>
      <w:r w:rsidRPr="00DA57E8">
        <w:rPr>
          <w:rFonts w:ascii="Tahoma" w:hAnsi="Tahoma" w:cs="Tahoma"/>
          <w:b/>
          <w:bCs/>
          <w:cs/>
        </w:rPr>
        <w:t>เว้นแต่การรับประกันแบบจำกัดข้างต้น Microsoft ไม่ได้ให้การรับประกันหรือ และขอปฏิเสธการรับประกันโดยชัดแจ้ง และการรับประกันหรือเงื่อนไขโดยนัย หรือโดยกฎหมาย ซึ่งรวมถึงการรับประกันหรือเงื่อนไขถึงคุณภาพ กรรมสิทธิ์ การไม่ละเมิด คุณสมบัติมาตรฐานของผลิตภัณฑ์ และความเหมาะสมเพื่อการใช้งานเฉพาะด้าน</w:t>
      </w:r>
    </w:p>
    <w:p w14:paraId="5560C37F" w14:textId="72FF7B79" w:rsidR="00374E8C" w:rsidRPr="000E722D" w:rsidRDefault="00374E8C" w:rsidP="0024735B">
      <w:pPr>
        <w:keepNext/>
        <w:shd w:val="clear" w:color="auto" w:fill="000000"/>
        <w:spacing w:before="360" w:after="120"/>
        <w:jc w:val="left"/>
        <w:rPr>
          <w:rFonts w:ascii="Tahoma" w:hAnsi="Tahoma" w:cs="Tahoma"/>
          <w:color w:val="FFFFFF" w:themeColor="background1"/>
          <w:cs/>
        </w:rPr>
      </w:pPr>
      <w:r w:rsidRPr="00FA3E88">
        <w:rPr>
          <w:rFonts w:ascii="Tahoma" w:hAnsi="Tahoma" w:cs="Tahoma"/>
          <w:b/>
          <w:bCs/>
          <w:color w:val="FFFFFF"/>
          <w:cs/>
        </w:rPr>
        <w:t>สาธารณรัฐเช็ก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374E8C" w:rsidRPr="00FA3E88" w14:paraId="101D7BBF" w14:textId="77777777" w:rsidTr="00E53ABB">
        <w:trPr>
          <w:jc w:val="center"/>
        </w:trPr>
        <w:tc>
          <w:tcPr>
            <w:tcW w:w="9029" w:type="dxa"/>
            <w:shd w:val="clear" w:color="auto" w:fill="C6D9F1"/>
          </w:tcPr>
          <w:p w14:paraId="25142007" w14:textId="6B8289A7" w:rsidR="00374E8C" w:rsidRPr="00FA3E88" w:rsidRDefault="00374E8C" w:rsidP="0024735B">
            <w:pPr>
              <w:spacing w:after="120"/>
              <w:ind w:left="86" w:right="86"/>
              <w:jc w:val="left"/>
              <w:rPr>
                <w:rFonts w:ascii="Tahoma" w:hAnsi="Tahoma" w:cs="Tahoma"/>
                <w:b/>
                <w:bCs/>
                <w:cs/>
              </w:rPr>
            </w:pPr>
            <w:r w:rsidRPr="00FA3E88">
              <w:rPr>
                <w:rFonts w:ascii="Tahoma" w:hAnsi="Tahoma" w:cs="Tahoma"/>
                <w:b/>
                <w:bCs/>
                <w:cs/>
              </w:rPr>
              <w:t>เพิ่มเติมหัวข้อ “การรับประกัน” ด้วยข้อความต่อไปนี้</w:t>
            </w:r>
          </w:p>
        </w:tc>
      </w:tr>
    </w:tbl>
    <w:p w14:paraId="562101A3" w14:textId="5F575371" w:rsidR="00374E8C" w:rsidRPr="00FA3E88" w:rsidRDefault="00404D8A" w:rsidP="0024735B">
      <w:pPr>
        <w:spacing w:after="240"/>
        <w:ind w:left="1080" w:hanging="36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cs/>
        </w:rPr>
        <w:t>d.</w:t>
      </w:r>
      <w:r w:rsidRPr="00FA3E88">
        <w:rPr>
          <w:rFonts w:ascii="Tahoma" w:hAnsi="Tahoma" w:cs="Tahoma"/>
          <w:b/>
          <w:bCs/>
          <w:cs/>
        </w:rPr>
        <w:tab/>
        <w:t>การบริการที่จัดให้</w:t>
      </w:r>
      <w:r w:rsidR="00CA1FDF">
        <w:rPr>
          <w:rFonts w:ascii="Tahoma" w:hAnsi="Tahoma" w:cs="Tahoma"/>
          <w:b/>
          <w:bCs/>
          <w:cs/>
        </w:rPr>
        <w:t xml:space="preserve"> </w:t>
      </w:r>
      <w:r w:rsidRPr="00FA3E88">
        <w:rPr>
          <w:rFonts w:ascii="Tahoma" w:hAnsi="Tahoma" w:cs="Tahoma"/>
          <w:cs/>
        </w:rPr>
        <w:t>บริการที่จัดให้ของ Microsoft พัฒนาขึ้นตามความรู้ทางเทคนิคและวิทยาศาสตร์ที่ทันสมัยล่าสุด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โดยขึ้นอยู่กับความก้าวหน้าของเทคโนโลยีในขณะนั้น Microsoft ส่งหนังสือบอกกล่าวแก่ลูกค้าโดยชัดแจ้งว่าเป็นไปไม่ได้ที่จะพัฒนาซอฟต์แวร์ที่ซับซ้อนโดยปราศจากความบกพร่องทางเทคนิคอย่างสิ้นเชิง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 xml:space="preserve">ซอฟต์แวร์ที่ Microsoft จัดให้ไม่จำเป็นต้องเป็นซอฟต์แวร์ที่ปราศจากข้อผิดพลาดในการเขียนโปรแกรมอย่างสิ้นเชิง แต่จะสามารถทำงานได้ตามที่ระบุไว้ในคู่มือการใช้ของ Microsoft </w:t>
      </w:r>
      <w:r w:rsidRPr="00FA3E88">
        <w:rPr>
          <w:rFonts w:ascii="Tahoma" w:hAnsi="Tahoma" w:cs="Tahoma"/>
          <w:cs/>
        </w:rPr>
        <w:lastRenderedPageBreak/>
        <w:t>หรือหากไม่มีคู่มือการใช้งานจะเป็นไปตามข้อกำหนดการให้บริการ มาตรฐานของอุตสาหกรรมที่เกี่ยวข้อง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374E8C" w:rsidRPr="00FA3E88" w14:paraId="5F4C31E2" w14:textId="77777777" w:rsidTr="00924DE4">
        <w:trPr>
          <w:jc w:val="center"/>
        </w:trPr>
        <w:tc>
          <w:tcPr>
            <w:tcW w:w="9029" w:type="dxa"/>
            <w:shd w:val="clear" w:color="auto" w:fill="C6D9F1"/>
          </w:tcPr>
          <w:p w14:paraId="07443905" w14:textId="09E7B4F2" w:rsidR="00374E8C" w:rsidRPr="00FA3E88" w:rsidRDefault="00374E8C" w:rsidP="0024735B">
            <w:pPr>
              <w:spacing w:after="120"/>
              <w:ind w:left="86" w:right="86"/>
              <w:jc w:val="left"/>
              <w:rPr>
                <w:rFonts w:ascii="Tahoma" w:hAnsi="Tahoma" w:cs="Tahoma"/>
                <w:b/>
                <w:bCs/>
                <w:cs/>
              </w:rPr>
            </w:pPr>
            <w:r w:rsidRPr="00FA3E88">
              <w:rPr>
                <w:rFonts w:ascii="Tahoma" w:hAnsi="Tahoma" w:cs="Tahoma"/>
                <w:b/>
                <w:bCs/>
                <w:cs/>
              </w:rPr>
              <w:t>เพิ่มเติมย่อหน้าแรกของหัวข้อ “ข้อจำกัดการรับผิด” ด้วยข้อความต่อไปนี้</w:t>
            </w:r>
          </w:p>
        </w:tc>
      </w:tr>
    </w:tbl>
    <w:p w14:paraId="0922865E" w14:textId="77777777" w:rsidR="00924DE4" w:rsidRPr="00FA3E88" w:rsidRDefault="00924DE4" w:rsidP="0024735B">
      <w:pPr>
        <w:ind w:left="108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cs/>
        </w:rPr>
        <w:t>ข้อจำกัดที่มีอยู่ในย่อหน้านี้แสดงให้เห็นความเสียหายที่คู่สัญญาตกลงกันไว้โดยชัดแจ้งว่าสามารถเล็งเห็นได้เมื่อสิ้นสุดข้อตกลงนี้ โดยพิจารณากรณีแวดล้อมทั้งหมดที่คู่สัญญาทราบหรือควรได้ทราบในขณะที่ใช้ความระมัดระวังตามสมควร และที่สามารถเกิดขึ้นจากการละเมิดหน้าที่ของ Microsoft ที่มีอยู่ภายใต้ข้อตกลงนี้ ข้อจำกัดความรับผิดในข้อนี้จะไม่นำมาใช้กับความรับผิดที่เกิดจากการกระทำความผิดโดยเจตนาหรือความประมาทเลินเล่ออย่างร้ายแรงโดยคู่สัญญาฝ่ายใดฝ่ายหนึ่ง</w:t>
      </w:r>
    </w:p>
    <w:p w14:paraId="0C8980C5" w14:textId="39817C94" w:rsidR="00924DE4" w:rsidRPr="00FA3E88" w:rsidRDefault="008E1EF9" w:rsidP="0024735B">
      <w:pPr>
        <w:spacing w:after="240"/>
        <w:ind w:left="108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cs/>
        </w:rPr>
        <w:t>การมีสิทธิของคู่สัญญาฝ่ายใดก็ตามในค่าเสียหายที่อาจเกิดขึ้นภายใต้ข้อตกลงนี้จะได้รับการชดเชยด้วยเงินชดเชย ทั้งนี้ จะไม่นำมาตรา 2951 (1) แห่งประมวลกฎหมายแพ่ง (พระราชบัญญัติเลขที่ 89/2012 Coll.) ที่ได้รับการแก้ไขมาใช้บังคับ</w:t>
      </w:r>
    </w:p>
    <w:p w14:paraId="4B0C429B" w14:textId="77777777" w:rsidR="008E1EF9" w:rsidRPr="000E722D" w:rsidRDefault="008E1EF9" w:rsidP="0024735B">
      <w:pPr>
        <w:keepNext/>
        <w:shd w:val="clear" w:color="auto" w:fill="000000"/>
        <w:spacing w:before="360" w:after="120"/>
        <w:jc w:val="left"/>
        <w:rPr>
          <w:rFonts w:ascii="Tahoma" w:hAnsi="Tahoma" w:cs="Tahoma"/>
          <w:color w:val="FFFFFF" w:themeColor="background1"/>
          <w:cs/>
        </w:rPr>
      </w:pPr>
      <w:r w:rsidRPr="00FA3E88">
        <w:rPr>
          <w:rFonts w:ascii="Tahoma" w:hAnsi="Tahoma" w:cs="Tahoma"/>
          <w:b/>
          <w:bCs/>
          <w:color w:val="FFFFFF"/>
          <w:cs/>
        </w:rPr>
        <w:t xml:space="preserve">อังกฤษและเวลส์ 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E1EF9" w:rsidRPr="00FA3E88" w14:paraId="0B31A5F4" w14:textId="77777777" w:rsidTr="00A13DC6">
        <w:trPr>
          <w:jc w:val="center"/>
        </w:trPr>
        <w:tc>
          <w:tcPr>
            <w:tcW w:w="9029" w:type="dxa"/>
            <w:shd w:val="clear" w:color="auto" w:fill="C6D9F1"/>
          </w:tcPr>
          <w:p w14:paraId="30641977" w14:textId="77777777" w:rsidR="008E1EF9" w:rsidRPr="00FA3E88" w:rsidRDefault="008E1EF9" w:rsidP="0024735B">
            <w:pPr>
              <w:spacing w:after="120"/>
              <w:ind w:left="86" w:right="86"/>
              <w:jc w:val="left"/>
              <w:rPr>
                <w:rFonts w:ascii="Tahoma" w:hAnsi="Tahoma" w:cs="Tahoma"/>
                <w:b/>
                <w:bCs/>
                <w:cs/>
              </w:rPr>
            </w:pPr>
            <w:r w:rsidRPr="00FA3E88">
              <w:rPr>
                <w:rFonts w:ascii="Tahoma" w:hAnsi="Tahoma" w:cs="Tahoma"/>
                <w:b/>
                <w:bCs/>
                <w:cs/>
              </w:rPr>
              <w:t>แทนที่ข้อย่อยของ “ข้อจำกัดการรับผิด” ในเรื่อง “ข้อยกเว้น” ด้วยข้อความต่อไปนี้</w:t>
            </w:r>
          </w:p>
        </w:tc>
      </w:tr>
    </w:tbl>
    <w:p w14:paraId="0AB82C34" w14:textId="2519E660" w:rsidR="008E1EF9" w:rsidRPr="00A6143F" w:rsidRDefault="008E1EF9" w:rsidP="0024735B">
      <w:pPr>
        <w:pStyle w:val="ListParagraph"/>
        <w:numPr>
          <w:ilvl w:val="0"/>
          <w:numId w:val="50"/>
        </w:numPr>
        <w:spacing w:after="240"/>
        <w:ind w:left="1080"/>
        <w:contextualSpacing w:val="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cs/>
        </w:rPr>
        <w:t>ข้อยกเว้น</w:t>
      </w:r>
      <w:r w:rsidR="00CA1FDF">
        <w:rPr>
          <w:rFonts w:ascii="Tahoma" w:hAnsi="Tahoma" w:cs="Tahoma"/>
          <w:cs/>
        </w:rPr>
        <w:t xml:space="preserve"> </w:t>
      </w:r>
      <w:r w:rsidRPr="00A6143F">
        <w:rPr>
          <w:rFonts w:ascii="Tahoma" w:hAnsi="Tahoma" w:cs="Tahoma"/>
          <w:cs/>
        </w:rPr>
        <w:t>ไม่ว่าในกรณีใด คู่สัญญาจะไม่รับผิดจาก การสูญเสียรายได้หรือการสูญเสียเงินออมที่คาดหมายไว้ (ไม่ว่าในกรณีโดยตรงหรือโดยอ้อม) ค่าเสียหายโดยอ้อม ค่าเสียหายต่อเนื่อง ค่าเสียหายพิเศษ ค่าเสียหายที่เป็นการลงโทษ หรือค่าเสียหายที่เป็นผลสืบเนื่อง รวมถึงการสูญเสียการใช้งาน การสูญเสียข้อมูลทางธุรกิจ หรือการหยุดชะงักของธุรกิจ ไม่ว่าเกิดขึ้นอย่างไรหรืออยู่บนพื้นฐานของทฤษฎีความรับผิดใดก็ตาม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E1EF9" w:rsidRPr="00FA3E88" w14:paraId="1C866D0F" w14:textId="77777777" w:rsidTr="00A13DC6">
        <w:trPr>
          <w:jc w:val="center"/>
        </w:trPr>
        <w:tc>
          <w:tcPr>
            <w:tcW w:w="9029" w:type="dxa"/>
            <w:shd w:val="clear" w:color="auto" w:fill="C6D9F1"/>
          </w:tcPr>
          <w:p w14:paraId="34542E71" w14:textId="77777777" w:rsidR="008E1EF9" w:rsidRPr="00FA3E88" w:rsidRDefault="008E1EF9" w:rsidP="0024735B">
            <w:pPr>
              <w:spacing w:after="120"/>
              <w:ind w:left="86" w:right="86"/>
              <w:jc w:val="left"/>
              <w:rPr>
                <w:rFonts w:ascii="Tahoma" w:hAnsi="Tahoma" w:cs="Tahoma"/>
                <w:b/>
                <w:bCs/>
                <w:cs/>
              </w:rPr>
            </w:pPr>
            <w:r w:rsidRPr="00FA3E88">
              <w:rPr>
                <w:rFonts w:ascii="Tahoma" w:hAnsi="Tahoma" w:cs="Tahoma"/>
                <w:b/>
                <w:bCs/>
                <w:cs/>
              </w:rPr>
              <w:t>เพิ่มเติมหัวข้อ “ข้อจำกัดการรับผิด” ด้วยข้อย่อยต่อไปนี้</w:t>
            </w:r>
          </w:p>
        </w:tc>
      </w:tr>
    </w:tbl>
    <w:p w14:paraId="6C12A147" w14:textId="581BAB88" w:rsidR="008E1EF9" w:rsidRPr="00FA3E88" w:rsidRDefault="008E1EF9" w:rsidP="0024735B">
      <w:pPr>
        <w:pStyle w:val="ListParagraph"/>
        <w:numPr>
          <w:ilvl w:val="0"/>
          <w:numId w:val="49"/>
        </w:numPr>
        <w:spacing w:after="24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cs/>
        </w:rPr>
        <w:t>การรับผิดในกรณีที่บุคคลเสียชีวิตหรือได้รับบาดเจ็บ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ไม่มีข้อความใดในข้อตกลงนี้ที่จะยกเว้นการรับผิดในกรณีที่บุคคลเสียชีวิตหรือได้รับบาดเจ็บโดยมีสาเหตุจากการประมาทเลินเล่อ หรือการรับผิดในคำรับรองที่เป็นเท็จเพื่อหลอกลวง</w:t>
      </w:r>
    </w:p>
    <w:p w14:paraId="647549B6" w14:textId="77777777" w:rsidR="00374E8C" w:rsidRPr="000E722D" w:rsidRDefault="00374E8C" w:rsidP="0024735B">
      <w:pPr>
        <w:keepNext/>
        <w:shd w:val="clear" w:color="auto" w:fill="000000"/>
        <w:spacing w:before="360" w:after="120"/>
        <w:jc w:val="left"/>
        <w:rPr>
          <w:rFonts w:ascii="Tahoma" w:hAnsi="Tahoma" w:cs="Tahoma"/>
          <w:color w:val="FFFFFF" w:themeColor="background1"/>
          <w:cs/>
        </w:rPr>
      </w:pPr>
      <w:r w:rsidRPr="00FA3E88">
        <w:rPr>
          <w:rFonts w:ascii="Tahoma" w:hAnsi="Tahoma" w:cs="Tahoma"/>
          <w:b/>
          <w:bCs/>
          <w:color w:val="FFFFFF"/>
          <w:cs/>
        </w:rPr>
        <w:t>เยอรมนี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374E8C" w:rsidRPr="00FA3E88" w14:paraId="60538362" w14:textId="77777777" w:rsidTr="00E53ABB">
        <w:trPr>
          <w:jc w:val="center"/>
        </w:trPr>
        <w:tc>
          <w:tcPr>
            <w:tcW w:w="9029" w:type="dxa"/>
            <w:shd w:val="clear" w:color="auto" w:fill="C6D9F1"/>
          </w:tcPr>
          <w:p w14:paraId="0299C627" w14:textId="6FA25473" w:rsidR="00374E8C" w:rsidRPr="00FA3E88" w:rsidRDefault="00512CB6" w:rsidP="0024735B">
            <w:pPr>
              <w:keepNext/>
              <w:spacing w:after="120"/>
              <w:ind w:left="86" w:right="86"/>
              <w:jc w:val="left"/>
              <w:rPr>
                <w:rFonts w:ascii="Tahoma" w:hAnsi="Tahoma" w:cs="Tahoma"/>
                <w:b/>
                <w:bCs/>
                <w:cs/>
              </w:rPr>
            </w:pPr>
            <w:r w:rsidRPr="00FA3E88">
              <w:rPr>
                <w:rFonts w:ascii="Tahoma" w:hAnsi="Tahoma" w:cs="Tahoma"/>
                <w:b/>
                <w:bCs/>
                <w:cs/>
              </w:rPr>
              <w:t>แทนที่หัวข้อ “การรับประกัน” ด้วยข้อความต่อไปนี้</w:t>
            </w:r>
          </w:p>
        </w:tc>
      </w:tr>
    </w:tbl>
    <w:p w14:paraId="39CD23C0" w14:textId="77777777" w:rsidR="008C225D" w:rsidRPr="00FA3E88" w:rsidRDefault="008C225D" w:rsidP="00903EC9">
      <w:pPr>
        <w:keepNext/>
        <w:ind w:left="720" w:hanging="72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i/>
          <w:iCs/>
          <w:sz w:val="26"/>
          <w:szCs w:val="26"/>
          <w:cs/>
        </w:rPr>
        <w:t>5.</w:t>
      </w:r>
      <w:r w:rsidRPr="00FA3E88">
        <w:rPr>
          <w:rFonts w:ascii="Tahoma" w:hAnsi="Tahoma" w:cs="Tahoma"/>
          <w:b/>
          <w:bCs/>
          <w:i/>
          <w:iCs/>
          <w:sz w:val="26"/>
          <w:szCs w:val="26"/>
          <w:cs/>
        </w:rPr>
        <w:tab/>
        <w:t>การรับประกัน</w:t>
      </w:r>
    </w:p>
    <w:p w14:paraId="130ABD38" w14:textId="176C9755" w:rsidR="00374E8C" w:rsidRPr="00FA3E88" w:rsidRDefault="008C225D" w:rsidP="0024735B">
      <w:pPr>
        <w:pStyle w:val="ListParagraph"/>
        <w:numPr>
          <w:ilvl w:val="1"/>
          <w:numId w:val="56"/>
        </w:numPr>
        <w:ind w:left="108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cs/>
        </w:rPr>
        <w:t>ภายใต้หัวข้อ 5(b) ข้อกำหนดต่อไปนี้จะใช้กับการเรียกร้องสิทธิที่เกิดจากความบกพร่องด้านคุณภาพหรือความบกพร่องด้านกรรมสิทธิ์ (เรียกรวมว่า “ความบกพร่อง”) แต่จะไม่ใช่กับกรณีการเรียกร้องสิทธิเพื่อค่าเสียหายหรือเงินชดเชยค่าใช้จ่าย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ในส่วนของข้อกำหนดที่มีอยู่ในหัวข้อ “ข้อจำกัดการรับผิด” จะนำมาใช้กับการเรียกร้องสิทธิในค่าเสียหายหรือค่าใช้จ่ายที่เกิดจากความบกพร่อง</w:t>
      </w:r>
    </w:p>
    <w:p w14:paraId="75B01B8C" w14:textId="7750342C" w:rsidR="00374E8C" w:rsidRPr="00FA3E88" w:rsidRDefault="00374E8C" w:rsidP="0024735B">
      <w:pPr>
        <w:pStyle w:val="ListParagraph"/>
        <w:numPr>
          <w:ilvl w:val="0"/>
          <w:numId w:val="45"/>
        </w:numPr>
        <w:contextualSpacing w:val="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cs/>
        </w:rPr>
        <w:t>ในกรณีที่เป็นการปกปิดความบกพร่องโดยประสงค์ร้าย (arglistiges Verschweigen) สิทธิของลูกค้าและการสิ้นสุดลงของสิทธิดังกล่าวจะกำหนดตามกฎหมายลายลักษณ์อักษรที่บังคับใช้เท่านั้น</w:t>
      </w:r>
    </w:p>
    <w:p w14:paraId="7C0F8D4C" w14:textId="77777777" w:rsidR="008C225D" w:rsidRPr="00FA3E88" w:rsidRDefault="008C225D" w:rsidP="0024735B">
      <w:pPr>
        <w:pStyle w:val="ListParagraph"/>
        <w:numPr>
          <w:ilvl w:val="0"/>
          <w:numId w:val="45"/>
        </w:numPr>
        <w:contextualSpacing w:val="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cs/>
        </w:rPr>
        <w:t>Microsoft รับประกันว่า Online Service แต่ละรายการจะให้บริการตาม SLA ที่ใช้บังคับในระหว่างการใช้งานของลูกค้า การแก้ไขที่ลูกค้าจะได้รับหากมีการทำผิดการรับประกันนี้มีอยู่ใน SLA อย่างไรก็ตาม สิทธิการรับประกันตามกฎหมายของลูกค้าจะยังคงไม่ได้รับผลกระทบใดๆ</w:t>
      </w:r>
    </w:p>
    <w:p w14:paraId="5AEE7D02" w14:textId="44CB5CE6" w:rsidR="008C225D" w:rsidRPr="00FA3E88" w:rsidRDefault="008C225D" w:rsidP="0024735B">
      <w:pPr>
        <w:pStyle w:val="ListParagraph"/>
        <w:numPr>
          <w:ilvl w:val="0"/>
          <w:numId w:val="45"/>
        </w:numPr>
        <w:contextualSpacing w:val="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cs/>
        </w:rPr>
        <w:t xml:space="preserve">Microsoft จะแก้ไขความบกพร่องที่ลูกค้าได้แจ้งให้ Microsoft ทราบก่อนสิ้นสุดระยะเวลาที่มีการจำกัดไว้ดังที่กำหนดไว้ในข้อนี้ ในกรณีที่ลูกค้าได้เรียกร้องสิทธิต่อ Microsoft เพื่อขอให้มีการดำเนินการภายหลัง </w:t>
      </w:r>
      <w:r w:rsidRPr="00FA3E88">
        <w:rPr>
          <w:rFonts w:ascii="Tahoma" w:hAnsi="Tahoma" w:cs="Tahoma"/>
          <w:cs/>
        </w:rPr>
        <w:lastRenderedPageBreak/>
        <w:t>(Nacherfüllung) Microsoft จะมีสิทธิตามดุลยพินิจของตนเองแต่เพียงผู้เดียว ในการแก้ไขความบกพร่องหรือในการจัดหาสังหาริมทรัพย์ให้ใหม่ หรือสร้างงานใหม่ที่ไม่มีความบกพร่องให้ในกรณีที่เป็นความบกพร่องของประสิทธิภาพการทำงาน ลูกค้าตกลงที่จะให้ความร่วมมือในการดำเนินการภายหลังของ Microsoft โดยการให้ข้อมูลและเอกสารที่จำเป็น และให้ความช่วยเหลือตามสมควรที่จำเป็นทั้งหมด</w:t>
      </w:r>
    </w:p>
    <w:p w14:paraId="001DBAA1" w14:textId="1D70354A" w:rsidR="00374E8C" w:rsidRPr="00FA3E88" w:rsidRDefault="00374E8C" w:rsidP="0024735B">
      <w:pPr>
        <w:pStyle w:val="ListParagraph"/>
        <w:numPr>
          <w:ilvl w:val="0"/>
          <w:numId w:val="45"/>
        </w:numPr>
        <w:contextualSpacing w:val="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cs/>
        </w:rPr>
        <w:t>ภาระหน้าที่ของ Microsoft จะไม่นำมาใช้กับการเรียกร้องสิทธิที่มาจาก (1) ข้อมูลจำเพาะ รหัส หรือวัสดุที่ลูกค้าให้มา (2) การที่ลูกค้าใช้ผลิตภัณฑ์และ/หรือบริการที่จัดให้แก่ลูกค้าภายหลังจากที่ Microsoft แจ้งคำบอกกล่าวให้ลูกค้ายกเลิกการใช้เนื่องจากการเรียกร้องสิทธิดังกล่าว (3) การที่ลูกค้ารวมผลิตภัณฑ์และ/หรือบริการที่จัดให้กับผลิตภัณฑ์ ข้อมูลหรือกระบวนการทางธุรกิจที่ไม่ใช่ของ Microsoft (4) การที่ลูกค้าหรือบุคคลภายนอกดัดแปลงผลิตภัณฑ์และ/หรือบริการจากผู้เชี่ยวชาญโดยปราศจากความยินยอมจาก Microsoft เว้นแต่ว่าลูกค้าสามารถพิสูจน์ได้ว่าความบกพร่องที่เป็นปัญหาไม่ได้เกิดจากการดัดแปลงนั้น</w:t>
      </w:r>
    </w:p>
    <w:p w14:paraId="4EE71440" w14:textId="76CC04A7" w:rsidR="00374E8C" w:rsidRPr="00FA3E88" w:rsidRDefault="00374E8C" w:rsidP="0024735B">
      <w:pPr>
        <w:pStyle w:val="ListParagraph"/>
        <w:numPr>
          <w:ilvl w:val="0"/>
          <w:numId w:val="45"/>
        </w:numPr>
        <w:contextualSpacing w:val="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cs/>
        </w:rPr>
        <w:t>การเรียกร้องสิทธิทั้งหมดที่ลูกค้ามีสิทธิตามข้อกำหนดในข้อนี้จะสิ้นสุดระยะเวลาลงภายในเวลาหนึ่งปี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ในกรณีประสิทธิภาพการทำงาน ระยะเวลาที่มีการจำกัดไว้จะเริ่มต้นขึ้นในวันที่มีการตกลงรับ (Abnahme) สำหรับกรณีอื่นๆ ทั้งหมด ระยะเวลาที่มีการจำกัดไว้จะเริ่มต้นในวันที่มีการส่งมอบ</w:t>
      </w:r>
    </w:p>
    <w:p w14:paraId="55B904F4" w14:textId="351A61F9" w:rsidR="008C225D" w:rsidRPr="00FA3E88" w:rsidRDefault="008C225D" w:rsidP="0024735B">
      <w:pPr>
        <w:pStyle w:val="ListParagraph"/>
        <w:numPr>
          <w:ilvl w:val="0"/>
          <w:numId w:val="45"/>
        </w:numPr>
        <w:contextualSpacing w:val="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cs/>
        </w:rPr>
        <w:t>ลูกค้ารับรองและรับประกันว่าจะปฏิบัติตามข้อกำหนดของ Enrollment และจะต่อสู้คดีให้กับ Microsoft จากการเรียกร้องสิทธิที่เกิดจากบุคคลภายนอกที่ไม่ได้อยู่ในเครือ โดยมีเงื่อนไขว่าลูกค้ามีหน้าที่รับผิดชอบต่อการเรียกร้องสิทธิที่เกิดจากบุคคลภายนอกที่ไม่ได้อยู่ในเครือดังกล่าว ลูกค้าจะชำระเงินตามจำนวนที่เกิดจากคำพิพากษาถึงที่สุดที่มีผลในทางลบ หรือการระงับข้อพิพาทซึ่งได้รับการยินยอมที่เกิดจากการเรียกร้องสิทธิดังกล่าว และจะชดเชยค่าใช้จ่ายตามสมควรให้แก่ Microsoft ในการที่ Microsoft ได้ดำเนินการต่อการเรียกร้องสิทธิดังกล่าว</w:t>
      </w:r>
    </w:p>
    <w:p w14:paraId="502D4D5F" w14:textId="62869B75" w:rsidR="008C225D" w:rsidRPr="00FA3E88" w:rsidRDefault="008C225D" w:rsidP="0024735B">
      <w:pPr>
        <w:pStyle w:val="ListParagraph"/>
        <w:numPr>
          <w:ilvl w:val="1"/>
          <w:numId w:val="56"/>
        </w:numPr>
        <w:ind w:left="1080"/>
        <w:contextualSpacing w:val="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cs/>
        </w:rPr>
        <w:t>ภายใต้ขอบเขตที่ Online Services ของ Microsoft ถือว่าเป็นการเช่าซื้อ (mietweise Überlassung) และอยู่ภายใต้บทบัญญัติตามกฎหมายของกฎหมายการเช่าของเยอรมัน (mietrechtliche Regelungen) ข้อกำหนดเกี่ยวกับการรับประกันโดยจำกัดที่ระบุข้างต้นจะไม่ยกเว้นหรือจำกัดสิทธิการรับประกันตามกฎหมายของลูกค้า โดยข้อกำหนดการรับประกันตามกฎหมายที่เกี่ยวข้องจะใช้กับการเรียกร้องสิทธิที่เกิดจากความบกพร่อง แต่อยู่ภายใต้ข้อกำหนดต่อไปนี้ซึ่งจะไม่บังคับใช้เมื่อการเรียกร้องสิทธิเพื่อค่าเสียหายหรือเงินชดเชยค่าใช้จ่าย การรับประกันเพิ่มเติมใดๆ ที่เกี่ยวกับการแก้ไขของลูกค้าภายใต้ข้อตกลงนี้และเอกสารประกอบจะยังคงไม่ได้รับผลกระทบใดๆ</w:t>
      </w:r>
    </w:p>
    <w:p w14:paraId="3A7739C9" w14:textId="77777777" w:rsidR="008C225D" w:rsidRPr="00FA3E88" w:rsidRDefault="008C225D" w:rsidP="0024735B">
      <w:pPr>
        <w:pStyle w:val="ListParagraph"/>
        <w:numPr>
          <w:ilvl w:val="0"/>
          <w:numId w:val="57"/>
        </w:numPr>
        <w:contextualSpacing w:val="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cs/>
        </w:rPr>
        <w:t>ลูกค้าสละสิทธิดังนี้ (1) สิทธิในการหักกลบลบหนี้ (Recht zur Aufrechnung) (2) สิทธิในการลดราคา (Minderungsrecht) และ (3) สิทธิในการยึดหน่วง (Zurückbehaltungsrecht) ภายใต้ขอบเขตสูงสุดที่กฎหมายลายลักษณ์อักษรที่ใช้บังคับอนุญาต โดยมีเงื่อนไขว่าการเรียกร้องสิทธิเพื่อสิทธิอย่างใดอย่างหนึ่งที่กล่าวมาก่อนหน้านี้ต้องไม่มีทั้งการไม่โต้แย้ง (unbestritten) หรือการยอมรับโดยคำตัดสินแสดงสิทธิ์ (rechtskräftig festgestellt) เพื่อหลีกเลี่ยงข้อสงสัย การเรียกร้องสิทธิใดๆ ของลูกค้าสำหรับลาภมิควรได้ (ungerechtfertigte Bereicherung) ต่อ Microsoft จะไม่ได้รับการยกเว้น</w:t>
      </w:r>
    </w:p>
    <w:p w14:paraId="30A63F66" w14:textId="7906F2B6" w:rsidR="008C225D" w:rsidRPr="00FA3E88" w:rsidRDefault="008C225D" w:rsidP="0024735B">
      <w:pPr>
        <w:pStyle w:val="ListParagraph"/>
        <w:numPr>
          <w:ilvl w:val="0"/>
          <w:numId w:val="57"/>
        </w:numPr>
        <w:spacing w:after="240"/>
        <w:contextualSpacing w:val="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cs/>
        </w:rPr>
        <w:t>เครดิตของการบริการที่ระบุในข้อตกลงระดับการให้บริการและหักกลบลบหนี้จากค่าธรรมเนียมการใช้บริการรายเดือนที่ใช้บังคับของลูกค้าสำหรับปัญหาด้านประสิทธิภาพหรือความพร้อมในการให้บริการตามข้อ 5 นี้ และข้อตกลงระดับการให้บริการที่ใช้บังคับจะมีการหักกลบลบหนี้ (verrechnet) โดยอัตโนมัติจากการการเรียกร้องสิทธิที่ลูกค้าอาจใช้เพื่อลาภมิควรได้ หรือการเรียกร้องสิทธิเพื่อค่าเสียหายหรือค่าใช้จ่ายที่เกิดจากความบกพร่องโดยอิงจากเหตุการณ์เดียวกันที่ก่อให้เกิดปัญหาด้านประสิทธิภาพหรือความพร้อมในการให้บริการ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8C225D" w:rsidRPr="00FA3E88" w14:paraId="40A10D85" w14:textId="77777777" w:rsidTr="009435ED">
        <w:trPr>
          <w:jc w:val="center"/>
        </w:trPr>
        <w:tc>
          <w:tcPr>
            <w:tcW w:w="9029" w:type="dxa"/>
            <w:shd w:val="clear" w:color="auto" w:fill="C6D9F1"/>
          </w:tcPr>
          <w:p w14:paraId="529F342A" w14:textId="0EDB59E1" w:rsidR="008C225D" w:rsidRPr="00FA3E88" w:rsidRDefault="008C225D" w:rsidP="0024735B">
            <w:pPr>
              <w:spacing w:after="120"/>
              <w:ind w:left="86" w:right="86"/>
              <w:jc w:val="left"/>
              <w:rPr>
                <w:rFonts w:ascii="Tahoma" w:hAnsi="Tahoma" w:cs="Tahoma"/>
                <w:b/>
                <w:bCs/>
                <w:cs/>
              </w:rPr>
            </w:pPr>
            <w:r w:rsidRPr="00FA3E88">
              <w:rPr>
                <w:rFonts w:ascii="Tahoma" w:hAnsi="Tahoma" w:cs="Tahoma"/>
                <w:b/>
                <w:bCs/>
                <w:cs/>
              </w:rPr>
              <w:t>เพื่อวัตถุประสงค์ของ Online Services ให้เพิ่มเติมหัวข้อ “การต่อสู้คดีในเรื่องการเรียกร้องสิทธิของบุคคลภายนอก“ ด้วยข้อความดังต่อไปนี้</w:t>
            </w:r>
          </w:p>
        </w:tc>
      </w:tr>
    </w:tbl>
    <w:p w14:paraId="42065145" w14:textId="41AC5C96" w:rsidR="008C225D" w:rsidRPr="00FA3E88" w:rsidRDefault="00D5280E" w:rsidP="0024735B">
      <w:pPr>
        <w:spacing w:after="240"/>
        <w:ind w:left="1077" w:hanging="357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cs/>
        </w:rPr>
        <w:t>c.</w:t>
      </w:r>
      <w:r w:rsidRPr="00FA3E88">
        <w:rPr>
          <w:rFonts w:ascii="Tahoma" w:hAnsi="Tahoma" w:cs="Tahoma"/>
          <w:b/>
          <w:bCs/>
          <w:cs/>
        </w:rPr>
        <w:tab/>
      </w:r>
      <w:r w:rsidRPr="00FA3E88">
        <w:rPr>
          <w:rFonts w:ascii="Tahoma" w:hAnsi="Tahoma" w:cs="Tahoma"/>
          <w:cs/>
        </w:rPr>
        <w:t xml:space="preserve">ภายใต้ขอบเขตของการที่ลูกค้าได้สั่งซื้อ Online Services ภายใต้ Enrollment ภาระหน้าที่ของลูกค้าในการต่อสู้คดีให้กับ Microsoft </w:t>
      </w:r>
      <w:r w:rsidRPr="00FA3E88">
        <w:rPr>
          <w:rFonts w:ascii="Tahoma" w:hAnsi="Tahoma" w:cs="Tahoma"/>
          <w:cs/>
        </w:rPr>
        <w:lastRenderedPageBreak/>
        <w:t>จากการเรียกร้องสิทธิที่เรียกร้องโดยบุคคลภายนอกที่ไม่ได้อยู่ในเครือตามข้อ 6 (b) จะใช้เฉพาะกรณีที่ลูกค้าต้องรับผิดชอบต่อการละเมิดหรือการฝ่าฝืนนโยบายการใช้ที่ได้อนุญาตเท่านั้น นอกจากนั้น Microsoft จะมีสิทธิในการระงับหรือยุติ Online Service ได้ตามข้อ 6(c) เท่านั้น โดยมีเงื่อนไขว่า Microsoft ต้องมีเหตุผลอย่างเพียงพอที่จะสงสัยว่าข้อมูลของลูกค้า หรือซอฟต์แวร์ที่ไม่ใช่ของ Microsoft หรือเทคโนโลยีที่ใช้โดยลูกค้ากับ Online Service ซึ่ง Microsoft ต้องการจะยุติการให้บริการนั้น ทำการละเมิดสิทธิทางทรัพย์สินทางปัญญาของบุคคลภายนอกจริงๆ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374E8C" w:rsidRPr="00FA3E88" w14:paraId="77B658B1" w14:textId="77777777" w:rsidTr="00E53ABB">
        <w:trPr>
          <w:jc w:val="center"/>
        </w:trPr>
        <w:tc>
          <w:tcPr>
            <w:tcW w:w="9029" w:type="dxa"/>
            <w:shd w:val="clear" w:color="auto" w:fill="C6D9F1"/>
          </w:tcPr>
          <w:p w14:paraId="3F63EE36" w14:textId="49DD4FD6" w:rsidR="00374E8C" w:rsidRPr="00FA3E88" w:rsidRDefault="00512CB6" w:rsidP="0024735B">
            <w:pPr>
              <w:spacing w:after="120"/>
              <w:ind w:left="86" w:right="86"/>
              <w:jc w:val="left"/>
              <w:rPr>
                <w:rFonts w:ascii="Tahoma" w:hAnsi="Tahoma" w:cs="Tahoma"/>
                <w:b/>
                <w:bCs/>
                <w:cs/>
              </w:rPr>
            </w:pPr>
            <w:r w:rsidRPr="00FA3E88">
              <w:rPr>
                <w:rFonts w:ascii="Tahoma" w:hAnsi="Tahoma" w:cs="Tahoma"/>
                <w:b/>
                <w:bCs/>
                <w:cs/>
              </w:rPr>
              <w:t>แทนที่หัวข้อ “ข้อจำกัดการรับผิด” ด้วยข้อความต่อไปนี้</w:t>
            </w:r>
          </w:p>
        </w:tc>
      </w:tr>
    </w:tbl>
    <w:p w14:paraId="29757EA8" w14:textId="00A710D1" w:rsidR="00374E8C" w:rsidRPr="00FA3E88" w:rsidRDefault="00404D8A" w:rsidP="00903EC9">
      <w:pPr>
        <w:keepNext/>
        <w:ind w:left="720" w:hanging="72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i/>
          <w:iCs/>
          <w:sz w:val="26"/>
          <w:szCs w:val="26"/>
          <w:cs/>
        </w:rPr>
        <w:t>7.</w:t>
      </w:r>
      <w:r w:rsidRPr="00FA3E88">
        <w:rPr>
          <w:rFonts w:ascii="Tahoma" w:hAnsi="Tahoma" w:cs="Tahoma"/>
          <w:b/>
          <w:bCs/>
          <w:i/>
          <w:iCs/>
          <w:sz w:val="26"/>
          <w:szCs w:val="26"/>
          <w:cs/>
        </w:rPr>
        <w:tab/>
        <w:t>ข้อจำกัดการรับผิด</w:t>
      </w:r>
    </w:p>
    <w:p w14:paraId="1B88AC5B" w14:textId="7D5ED642" w:rsidR="00374E8C" w:rsidRPr="00FA3E88" w:rsidRDefault="00374E8C" w:rsidP="0024735B">
      <w:pPr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cs/>
        </w:rPr>
        <w:t>อาจมีสถานการณ์บางอย่างที่ลูกค้ามีสิทธิเรียกร้องค่าเสียหายหรือชดเชยค่าใช้จ่ายที่เสียเปล่าไป (Ersatz vergeblicher Aufwendungen) จาก Microsoft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ไม่ว่าจะด้วยข้อกฎหมายสำหรับการเรียกร้องสิทธิของลูกค้าข้อใดก็ตาม (การละเมิดสัญญา ความบกพร่อง การละเมิดสิทธิ หรืออื่นๆ นอกจากนี้) การรับผิดของ Microsoft สำหรับค่าเสียหายที่เป็นผลตามมาทั้งหมดจะจำกัดไว้ดังนี้</w:t>
      </w:r>
    </w:p>
    <w:p w14:paraId="6548D0CF" w14:textId="3A923BCD" w:rsidR="00374E8C" w:rsidRPr="00FA3E88" w:rsidRDefault="00374E8C" w:rsidP="0024735B">
      <w:pPr>
        <w:ind w:left="1080" w:hanging="36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cs/>
        </w:rPr>
        <w:t>a.</w:t>
      </w:r>
      <w:r w:rsidRPr="00FA3E88">
        <w:rPr>
          <w:rFonts w:ascii="Tahoma" w:hAnsi="Tahoma" w:cs="Tahoma"/>
          <w:cs/>
        </w:rPr>
        <w:tab/>
        <w:t>ในกรณีของการกระทำโดยเจตนา การเรียกร้องสิทธิตามพระราชบัญญัติคุ้มครองผู้บริโภคเยอรมัน (German Product Liability Act) (</w:t>
      </w:r>
      <w:r w:rsidRPr="00FA3E88">
        <w:rPr>
          <w:rFonts w:ascii="Tahoma" w:hAnsi="Tahoma" w:cs="Tahoma"/>
          <w:i/>
          <w:iCs/>
          <w:cs/>
        </w:rPr>
        <w:t>Produkthaftungsgesetz</w:t>
      </w:r>
      <w:r w:rsidRPr="00FA3E88">
        <w:rPr>
          <w:rFonts w:ascii="Tahoma" w:hAnsi="Tahoma" w:cs="Tahoma"/>
          <w:cs/>
        </w:rPr>
        <w:t>), การปิดบังความบกพร่องโดยประสงค์ร้าย รวมทั้งการเรียกร้องสิทธิที่อาศัยเหตุความเสียหายต่อชีวิต ร่างกาย หรือสุขภาพ การรับผิดของ Microsoft จะเป็นไปตามที่กำหนดโดยกฎหมายลายลักษณ์อักษรเท่านั้น</w:t>
      </w:r>
    </w:p>
    <w:p w14:paraId="357F866B" w14:textId="2A323E08" w:rsidR="00374E8C" w:rsidRPr="00FA3E88" w:rsidRDefault="00374E8C" w:rsidP="0024735B">
      <w:pPr>
        <w:ind w:left="1080" w:hanging="36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cs/>
        </w:rPr>
        <w:t>b.</w:t>
      </w:r>
      <w:r w:rsidRPr="00FA3E88">
        <w:rPr>
          <w:rFonts w:ascii="Tahoma" w:hAnsi="Tahoma" w:cs="Tahoma"/>
          <w:b/>
          <w:bCs/>
          <w:cs/>
        </w:rPr>
        <w:tab/>
      </w:r>
      <w:r w:rsidRPr="00FA3E88">
        <w:rPr>
          <w:rFonts w:ascii="Tahoma" w:hAnsi="Tahoma" w:cs="Tahoma"/>
          <w:cs/>
        </w:rPr>
        <w:t>ในกรณีของการประมาทเลินเล่ออย่างร้ายแรง การรับผิดของ Microsoft จะจำกัดอยู่ที่ความเสียหายที่สามารถเล็งเห็นได้ตามปกติเท่านั้น ข้อจำกัดนี้ไม่นำมาใช้กับความเสียหายที่เกิดจากเจ้าหน้าที่ฝ่ายบริหารหรือตัวแทนฝ่ายกฎหมายของ Microsoft</w:t>
      </w:r>
    </w:p>
    <w:p w14:paraId="78547BF4" w14:textId="3F14943C" w:rsidR="00374E8C" w:rsidRPr="00FA3E88" w:rsidRDefault="00374E8C" w:rsidP="00482744">
      <w:pPr>
        <w:ind w:left="1080" w:hanging="36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cs/>
        </w:rPr>
        <w:t>c.</w:t>
      </w:r>
      <w:r w:rsidRPr="00FA3E88">
        <w:rPr>
          <w:rFonts w:ascii="Tahoma" w:hAnsi="Tahoma" w:cs="Tahoma"/>
          <w:b/>
          <w:bCs/>
          <w:cs/>
        </w:rPr>
        <w:tab/>
      </w:r>
      <w:r w:rsidRPr="00FA3E88">
        <w:rPr>
          <w:rFonts w:ascii="Tahoma" w:hAnsi="Tahoma" w:cs="Tahoma"/>
          <w:cs/>
        </w:rPr>
        <w:t xml:space="preserve">ในกรณีของความประมาทเลินเล่อเล็กน้อย Microsoft จะรับผิดเฉพาะในกรณีที่ Microsoft ละเมิดหน้าที่ตามสัญญาดังกล่าวที่มีผลให้บรรลุเป้าหมายในการปฏิบัติงานตามที่กำหนดไว้ในข้อตกลงนี้ โดยที่การละเมิดดังกล่าวอาจส่งผลเสียต่อจุดมุ่งหมายของข้อตกลงนี้และการปฏิบัติตามสิ่งที่ลูกค้าให้ความเชื่อถือเสมอมา (ที่เรียกว่า </w:t>
      </w:r>
      <w:r w:rsidR="00482744">
        <w:rPr>
          <w:rFonts w:ascii="Tahoma" w:hAnsi="Tahoma" w:cs="Tahoma"/>
          <w:lang w:val="en-US"/>
        </w:rPr>
        <w:t>“</w:t>
      </w:r>
      <w:r w:rsidRPr="00FA3E88">
        <w:rPr>
          <w:rFonts w:ascii="Tahoma" w:hAnsi="Tahoma" w:cs="Tahoma"/>
          <w:cs/>
        </w:rPr>
        <w:t>ภาระหน้าที่ทั่วไป</w:t>
      </w:r>
      <w:r w:rsidR="00482744">
        <w:rPr>
          <w:rFonts w:ascii="Tahoma" w:hAnsi="Tahoma" w:cs="Tahoma"/>
          <w:lang w:val="en-US"/>
        </w:rPr>
        <w:t>”</w:t>
      </w:r>
      <w:r w:rsidRPr="00FA3E88">
        <w:rPr>
          <w:rFonts w:ascii="Tahoma" w:hAnsi="Tahoma" w:cs="Tahoma"/>
          <w:cs/>
        </w:rPr>
        <w:t>) (</w:t>
      </w:r>
      <w:r w:rsidRPr="00FA3E88">
        <w:rPr>
          <w:rFonts w:ascii="Tahoma" w:hAnsi="Tahoma" w:cs="Tahoma"/>
          <w:i/>
          <w:iCs/>
          <w:cs/>
        </w:rPr>
        <w:t>Kardinalpflichten</w:t>
      </w:r>
      <w:r w:rsidRPr="00FA3E88">
        <w:rPr>
          <w:rFonts w:ascii="Tahoma" w:hAnsi="Tahoma" w:cs="Tahoma"/>
          <w:cs/>
        </w:rPr>
        <w:t>))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ในกรณีดังกล่าว การรับผิดของ Microsoft จะจำกัดอยู่ที่ความเสียหายตามปกติและที่สามารถเล็งเห็นได้เท่านั้น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ในกรณีอื่นๆ ทั้งหมด Microsoft จะไม่รับผิดต่อความประมาทเลินเล่อเล็กน้อย</w:t>
      </w:r>
    </w:p>
    <w:p w14:paraId="5C242B9C" w14:textId="213BE861" w:rsidR="00374E8C" w:rsidRPr="00FA3E88" w:rsidRDefault="00374E8C" w:rsidP="00903EC9">
      <w:pPr>
        <w:tabs>
          <w:tab w:val="left" w:pos="1080"/>
        </w:tabs>
        <w:ind w:left="990" w:hanging="27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cs/>
        </w:rPr>
        <w:t>d.</w:t>
      </w:r>
      <w:r w:rsidR="00903EC9">
        <w:rPr>
          <w:rFonts w:ascii="Tahoma" w:hAnsi="Tahoma" w:cs="Tahoma"/>
          <w:b/>
          <w:bCs/>
          <w:cs/>
        </w:rPr>
        <w:tab/>
      </w:r>
      <w:r w:rsidRPr="00FA3E88">
        <w:rPr>
          <w:rFonts w:ascii="Tahoma" w:hAnsi="Tahoma" w:cs="Tahoma"/>
          <w:cs/>
        </w:rPr>
        <w:t>ในกรณีของการรับผิดโดยปราศจากความผิดในกรณีที่ไม่สามารถดำเนินการได้ขณะที่การทำงานล่าช้า การรับผิดของ Microsoft ยังจะจำกัดไว้แต่ความเสียหายที่สามารถเล็งเห็นได้ตามปกติเท่านั้น</w:t>
      </w:r>
    </w:p>
    <w:p w14:paraId="72A9F621" w14:textId="7B002F35" w:rsidR="00374E8C" w:rsidRPr="00FA3E88" w:rsidRDefault="00374E8C" w:rsidP="0024735B">
      <w:pPr>
        <w:ind w:left="1080" w:hanging="36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cs/>
        </w:rPr>
        <w:t>e.</w:t>
      </w:r>
      <w:r w:rsidRPr="00FA3E88">
        <w:rPr>
          <w:rFonts w:ascii="Tahoma" w:hAnsi="Tahoma" w:cs="Tahoma"/>
          <w:cs/>
        </w:rPr>
        <w:tab/>
        <w:t>ในกรณีที่ Microsoft ต้องจัดหาสังหาริมทรัพย์ที่ยังมีการผลิต การเรียกร้องสิทธิในกรณีของค่าเสียหายหรือค่าใช้จ่ายที่เกิดจากความบกพร่องเป็นสิทธิที่มีเงื่อนไขขึ้นอยู่กับการที่ลูกค้าปฏิบัติตามภาระหน้าที่ของลูกค้า ซึ่งอธิบายไว้ข้างต้นในการแจ้งให้ Microsoft ทราบถึงความบกพร่องทั้งหมด</w:t>
      </w:r>
    </w:p>
    <w:p w14:paraId="511FF9AA" w14:textId="120BFD65" w:rsidR="008C225D" w:rsidRPr="00FA3E88" w:rsidRDefault="008C225D" w:rsidP="0024735B">
      <w:pPr>
        <w:ind w:left="1080" w:hanging="360"/>
        <w:jc w:val="left"/>
        <w:rPr>
          <w:rFonts w:ascii="Tahoma" w:hAnsi="Tahoma" w:cs="Tahoma"/>
          <w:cs/>
        </w:rPr>
      </w:pPr>
      <w:r w:rsidRPr="00FA3E88">
        <w:rPr>
          <w:rFonts w:ascii="Tahoma" w:eastAsia="Calibri" w:hAnsi="Tahoma" w:cs="Tahoma"/>
          <w:b/>
          <w:bCs/>
          <w:color w:val="auto"/>
          <w:cs/>
        </w:rPr>
        <w:t>f.</w:t>
      </w:r>
      <w:r w:rsidRPr="00FA3E88">
        <w:rPr>
          <w:rFonts w:ascii="Tahoma" w:eastAsia="Calibri" w:hAnsi="Tahoma" w:cs="Tahoma"/>
          <w:color w:val="auto"/>
          <w:cs/>
        </w:rPr>
        <w:tab/>
        <w:t>ในกรณีที่ Online Service ของ Microsoft ถือว่าเป็นการเช่าซื้อ (</w:t>
      </w:r>
      <w:r w:rsidRPr="00FA3E88">
        <w:rPr>
          <w:rFonts w:ascii="Tahoma" w:eastAsia="Calibri" w:hAnsi="Tahoma" w:cs="Tahoma"/>
          <w:i/>
          <w:iCs/>
          <w:color w:val="auto"/>
          <w:cs/>
        </w:rPr>
        <w:t>mietweise Überlassung</w:t>
      </w:r>
      <w:r w:rsidRPr="00FA3E88">
        <w:rPr>
          <w:rFonts w:ascii="Tahoma" w:eastAsia="Calibri" w:hAnsi="Tahoma" w:cs="Tahoma"/>
          <w:color w:val="auto"/>
          <w:cs/>
        </w:rPr>
        <w:t>) และอยู่ภายใต้บทบัญญัติของกฎหมายการเช่าของเยอรมัน (</w:t>
      </w:r>
      <w:r w:rsidRPr="00FA3E88">
        <w:rPr>
          <w:rFonts w:ascii="Tahoma" w:eastAsia="Calibri" w:hAnsi="Tahoma" w:cs="Tahoma"/>
          <w:i/>
          <w:iCs/>
          <w:color w:val="auto"/>
          <w:cs/>
        </w:rPr>
        <w:t>mietrechtliche Regelungen</w:t>
      </w:r>
      <w:r w:rsidRPr="00FA3E88">
        <w:rPr>
          <w:rFonts w:ascii="Tahoma" w:eastAsia="Calibri" w:hAnsi="Tahoma" w:cs="Tahoma"/>
          <w:color w:val="auto"/>
          <w:cs/>
        </w:rPr>
        <w:t>) Microsoft จะไม่รับผิดต่อความเสียหายที่มาจากความบกพร่องในความหมายของ § 536 ประมวลกฎหมายแพ่งเยอรมัน (German Civil Code) (</w:t>
      </w:r>
      <w:r w:rsidRPr="00FA3E88">
        <w:rPr>
          <w:rFonts w:ascii="Tahoma" w:eastAsia="Calibri" w:hAnsi="Tahoma" w:cs="Tahoma"/>
          <w:i/>
          <w:iCs/>
          <w:color w:val="auto"/>
          <w:cs/>
        </w:rPr>
        <w:t>Bürgerliches Gesetzbuch</w:t>
      </w:r>
      <w:r w:rsidRPr="00FA3E88">
        <w:rPr>
          <w:rFonts w:ascii="Tahoma" w:eastAsia="Calibri" w:hAnsi="Tahoma" w:cs="Tahoma"/>
          <w:color w:val="auto"/>
          <w:cs/>
        </w:rPr>
        <w:t>) ที่มีอยู่แล้วในเวลาที่มีการทำสัญญาเช่าซื้อ § 536 ย่อหน้า 1, 1st alt. ประมวลกฎหมายแพ่งเยอรมัน (German Civil Code) จะไม่ใช้บังคับ</w:t>
      </w:r>
    </w:p>
    <w:p w14:paraId="7D5456DB" w14:textId="09289E59" w:rsidR="00374E8C" w:rsidRPr="00FA3E88" w:rsidRDefault="00827C9C" w:rsidP="0024735B">
      <w:pPr>
        <w:ind w:left="1080" w:hanging="360"/>
        <w:jc w:val="left"/>
        <w:rPr>
          <w:rFonts w:ascii="Tahoma" w:hAnsi="Tahoma" w:cs="Tahoma"/>
          <w:cs/>
        </w:rPr>
      </w:pPr>
      <w:r w:rsidRPr="00827C9C">
        <w:rPr>
          <w:rFonts w:ascii="Tahoma" w:hAnsi="Tahoma" w:cs="Tahoma"/>
          <w:b/>
          <w:bCs/>
          <w:cs/>
        </w:rPr>
        <w:t>g</w:t>
      </w:r>
      <w:r w:rsidR="008C225D" w:rsidRPr="00827C9C">
        <w:rPr>
          <w:rFonts w:ascii="Tahoma" w:hAnsi="Tahoma" w:cs="Tahoma"/>
          <w:b/>
          <w:bCs/>
          <w:cs/>
        </w:rPr>
        <w:t>.</w:t>
      </w:r>
      <w:r w:rsidR="008C225D" w:rsidRPr="00FA3E88">
        <w:rPr>
          <w:rFonts w:ascii="Tahoma" w:hAnsi="Tahoma" w:cs="Tahoma"/>
          <w:cs/>
        </w:rPr>
        <w:tab/>
        <w:t>การเรียกร้องสิทธิใดๆ ก็ตามในกรณีของความเสียหายหรือค่าใช้จ่ายที่เกิดจากความบกพร่องจะสิ้นสุดลงภายในระยะเวลาหนึ่งปี</w:t>
      </w:r>
      <w:r w:rsidR="00CA1FDF">
        <w:rPr>
          <w:rFonts w:ascii="Tahoma" w:hAnsi="Tahoma" w:cs="Tahoma"/>
          <w:cs/>
        </w:rPr>
        <w:t xml:space="preserve"> </w:t>
      </w:r>
      <w:r w:rsidR="008C225D" w:rsidRPr="00FA3E88">
        <w:rPr>
          <w:rFonts w:ascii="Tahoma" w:hAnsi="Tahoma" w:cs="Tahoma"/>
          <w:cs/>
        </w:rPr>
        <w:t xml:space="preserve">สำหรับสังหาริมทรัพย์ที่ยังมีการผลิตที่จัดหาให้ ระยะเวลาที่มีการจำกัดไว้จะเริ่มต้นขึ้นในวันที่จัดส่ง ในกรณีของประสิทธิภาพการทำงาน ระยะเวลาที่มีการจำกัดไว้จะเริ่มต้นขึ้นในวันที่มีการตกลงรับ (Abnahme) ข้อกำหนดนี้ไม่มีผลต่อ § 438 วรรค 1 Nr 1 a) ของประมวลกฎหมายแพ่งเยอรมัน </w:t>
      </w:r>
    </w:p>
    <w:p w14:paraId="27950DF7" w14:textId="305C4DBA" w:rsidR="00374E8C" w:rsidRPr="00FA3E88" w:rsidRDefault="00374E8C" w:rsidP="0024735B">
      <w:pPr>
        <w:ind w:left="108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cs/>
        </w:rPr>
        <w:lastRenderedPageBreak/>
        <w:t>การเรียกร้องสิทธิอื่นใดต่อ Microsoft ในกรณีของความเสียหายหรือค่าใช้จ่ายจะสิ้นสุดลงภายในเวลาสองปีนับจากวันที่มีเหตุของการดำเนินคดีเกิดขึ้น</w:t>
      </w:r>
    </w:p>
    <w:p w14:paraId="1C4580B1" w14:textId="57A34DC9" w:rsidR="00374E8C" w:rsidRPr="00FA3E88" w:rsidRDefault="00374E8C" w:rsidP="0024735B">
      <w:pPr>
        <w:ind w:left="108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cs/>
        </w:rPr>
        <w:t>ข้อกำหนดที่มีอยู่ในข้อย่อยนี้จะไม่นำมาใช้กับการปกปิดความบกพร่องโดยประสงค์ร้าย การกระทำโดยเจตนา หรือพฤติกรรมที่เป็นความประมาทเลินเล่ออย่างร้ายแรงในส่วนของการกระทำโดย Microsoft หรือการเรียกร้องสิทธิภายใต้พระราชบัญญัติคุ้มครองผู้บริโภคเยอรมัน (German Product Liability Act) หรือความเสียหายต่อชีวิต ร่างกาย หรือสุขภาพ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ในกรณีดังกล่าว จะนำกฎหมายลายลักษณ์อักษรมาบังคับใช้</w:t>
      </w:r>
    </w:p>
    <w:p w14:paraId="3166D67A" w14:textId="77777777" w:rsidR="00374E8C" w:rsidRPr="00576819" w:rsidRDefault="00374E8C" w:rsidP="0024735B">
      <w:pPr>
        <w:keepNext/>
        <w:shd w:val="clear" w:color="auto" w:fill="000000"/>
        <w:spacing w:before="360" w:after="120"/>
        <w:jc w:val="left"/>
        <w:rPr>
          <w:rFonts w:ascii="Tahoma" w:hAnsi="Tahoma" w:cs="Tahoma"/>
          <w:color w:val="FFFFFF" w:themeColor="background1"/>
          <w:cs/>
        </w:rPr>
      </w:pPr>
      <w:r w:rsidRPr="00FA3E88">
        <w:rPr>
          <w:rFonts w:ascii="Tahoma" w:hAnsi="Tahoma" w:cs="Tahoma"/>
          <w:b/>
          <w:bCs/>
          <w:color w:val="FFFFFF"/>
          <w:cs/>
        </w:rPr>
        <w:t>ฮังการี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374E8C" w:rsidRPr="00FA3E88" w14:paraId="7075C13E" w14:textId="77777777" w:rsidTr="00E53ABB">
        <w:trPr>
          <w:jc w:val="center"/>
        </w:trPr>
        <w:tc>
          <w:tcPr>
            <w:tcW w:w="9029" w:type="dxa"/>
            <w:shd w:val="clear" w:color="auto" w:fill="C6D9F1"/>
          </w:tcPr>
          <w:p w14:paraId="513EC76F" w14:textId="332C7EC0" w:rsidR="00374E8C" w:rsidRPr="00FA3E88" w:rsidRDefault="00374E8C" w:rsidP="0024735B">
            <w:pPr>
              <w:keepNext/>
              <w:spacing w:after="120"/>
              <w:ind w:left="86" w:right="86"/>
              <w:jc w:val="left"/>
              <w:rPr>
                <w:rFonts w:ascii="Tahoma" w:hAnsi="Tahoma" w:cs="Tahoma"/>
                <w:b/>
                <w:bCs/>
                <w:cs/>
              </w:rPr>
            </w:pPr>
            <w:r w:rsidRPr="00FA3E88">
              <w:rPr>
                <w:rFonts w:ascii="Tahoma" w:hAnsi="Tahoma" w:cs="Tahoma"/>
                <w:b/>
                <w:bCs/>
                <w:cs/>
              </w:rPr>
              <w:t>เพิ่มเติมหัวข้อ “ข้อจำกัดการรับผิด” ด้วยข้อความต่อไปนี้</w:t>
            </w:r>
          </w:p>
        </w:tc>
      </w:tr>
    </w:tbl>
    <w:p w14:paraId="70835225" w14:textId="1305899A" w:rsidR="00374E8C" w:rsidRPr="00FA3E88" w:rsidRDefault="00D92D70" w:rsidP="0024735B">
      <w:pPr>
        <w:ind w:left="1080" w:hanging="36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cs/>
        </w:rPr>
        <w:t>e.</w:t>
      </w:r>
      <w:r w:rsidRPr="00FA3E88">
        <w:rPr>
          <w:rFonts w:ascii="Tahoma" w:hAnsi="Tahoma" w:cs="Tahoma"/>
          <w:b/>
          <w:bCs/>
          <w:cs/>
        </w:rPr>
        <w:tab/>
        <w:t>ข้อตกลงการเจรจา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คู่สัญญารับรู้ว่าได้มีการเข้าทำข้อตกลงนี้พร้อมกับข้อกำหนดที่ได้รับการเจรจาระหว่างคู่สัญญาแต่ละฝ่าย และคู่สัญญามีโอกาสเสนอข้อเสนอในการแก้ไขเพิ่มเติมในร่างข้อตกลงต่างๆ แล้ว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ลูกค้ารับรู้ว่า Microsoft ได้ให้ความใส่ใจอย่างชัดแจ้งในข้อกำหนดและเงื่อนไขที่กำหนดไว้ในหัวข้อ ”การรับประกัน” “การต่อสู้คดีในเรื่องการเรียกร้องสิทธิของบุคคลภายนอก” และ “ข้อจำกัดการรับผิด” ของข้อตกลงนี้ และลูกค้ารับรู้ถึงการยอมรับข้อกำหนดเหล่านี้อย่างชัดแจ้ง</w:t>
      </w:r>
    </w:p>
    <w:p w14:paraId="36437FFE" w14:textId="742B90D9" w:rsidR="00374E8C" w:rsidRPr="00576819" w:rsidRDefault="00374E8C" w:rsidP="0024735B">
      <w:pPr>
        <w:keepNext/>
        <w:shd w:val="clear" w:color="auto" w:fill="000000"/>
        <w:spacing w:before="360" w:after="120"/>
        <w:jc w:val="left"/>
        <w:rPr>
          <w:rFonts w:ascii="Tahoma" w:hAnsi="Tahoma" w:cs="Tahoma"/>
          <w:color w:val="FFFFFF" w:themeColor="background1"/>
          <w:cs/>
        </w:rPr>
      </w:pPr>
      <w:r w:rsidRPr="00FA3E88">
        <w:rPr>
          <w:rFonts w:ascii="Tahoma" w:hAnsi="Tahoma" w:cs="Tahoma"/>
          <w:b/>
          <w:bCs/>
          <w:color w:val="FFFFFF"/>
          <w:cs/>
        </w:rPr>
        <w:t>โปแลนด์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374E8C" w:rsidRPr="00FA3E88" w14:paraId="5DCF8C7C" w14:textId="77777777" w:rsidTr="00404D8A">
        <w:trPr>
          <w:jc w:val="center"/>
        </w:trPr>
        <w:tc>
          <w:tcPr>
            <w:tcW w:w="9029" w:type="dxa"/>
            <w:shd w:val="clear" w:color="auto" w:fill="C6D9F1"/>
          </w:tcPr>
          <w:p w14:paraId="433EDDCB" w14:textId="78586CB4" w:rsidR="00374E8C" w:rsidRPr="00FA3E88" w:rsidRDefault="00374E8C" w:rsidP="0024735B">
            <w:pPr>
              <w:spacing w:after="120"/>
              <w:ind w:left="86" w:right="86"/>
              <w:jc w:val="left"/>
              <w:rPr>
                <w:rFonts w:ascii="Tahoma" w:hAnsi="Tahoma" w:cs="Tahoma"/>
                <w:b/>
                <w:bCs/>
                <w:cs/>
              </w:rPr>
            </w:pPr>
            <w:r w:rsidRPr="00FA3E88">
              <w:rPr>
                <w:rFonts w:ascii="Tahoma" w:hAnsi="Tahoma" w:cs="Tahoma"/>
                <w:b/>
                <w:bCs/>
                <w:cs/>
              </w:rPr>
              <w:t>เพิ่มเติมหัวข้อ “ข้อจำกัดการรับผิด” ด้วยข้อความต่อไปนี้</w:t>
            </w:r>
          </w:p>
        </w:tc>
      </w:tr>
    </w:tbl>
    <w:p w14:paraId="7E4D65C8" w14:textId="734F2BA0" w:rsidR="00374E8C" w:rsidRPr="00F149E3" w:rsidRDefault="00BC390A" w:rsidP="0024735B">
      <w:pPr>
        <w:ind w:left="1080" w:hanging="360"/>
        <w:jc w:val="left"/>
        <w:rPr>
          <w:rFonts w:ascii="Tahoma" w:hAnsi="Tahoma" w:cs="Tahoma"/>
          <w:cs/>
          <w:lang w:val="en-US"/>
        </w:rPr>
      </w:pPr>
      <w:r w:rsidRPr="00FA3E88">
        <w:rPr>
          <w:rFonts w:ascii="Tahoma" w:hAnsi="Tahoma" w:cs="Tahoma"/>
          <w:b/>
          <w:bCs/>
          <w:cs/>
        </w:rPr>
        <w:t>e.</w:t>
      </w:r>
      <w:r w:rsidRPr="00FA3E88">
        <w:rPr>
          <w:rFonts w:ascii="Tahoma" w:hAnsi="Tahoma" w:cs="Tahoma"/>
          <w:cs/>
        </w:rPr>
        <w:tab/>
        <w:t>หากการดำเนินการหรือการละเว้นที่ทำให้เกิดความเสียหายมีสาเหตุจากการที่ Microsoft ไม่ดำเนินการหรือดำเนินการอย่างไม่เหมาะสมตามข้อตกลงนี้หรือข้อกำหนดการให้บริการใดๆ ก็ตาม และพร้อมกันนั้นได้ประกอบขึ้นเป็นมูลฐานในการรับผิดต่อการละเมิดของ Microsoft ลูกค้ามีสิทธิที่จะเรียกร้องให้มีการแก้ไขความเสียหายดังกล่าวเป็นกรณีพิเศษตามข้อตกลงในข้อนี้ และภายในขอบเขตที่ระบุไว้ในหัวข้อย่อย “ข้อจำกัดการรับผิด” ข้างต้น</w:t>
      </w:r>
    </w:p>
    <w:p w14:paraId="3AB3D944" w14:textId="77777777" w:rsidR="00374E8C" w:rsidRPr="00576819" w:rsidRDefault="00374E8C" w:rsidP="0024735B">
      <w:pPr>
        <w:keepNext/>
        <w:shd w:val="clear" w:color="auto" w:fill="000000"/>
        <w:spacing w:before="360" w:after="120"/>
        <w:jc w:val="left"/>
        <w:rPr>
          <w:rFonts w:ascii="Tahoma" w:hAnsi="Tahoma" w:cs="Tahoma"/>
          <w:color w:val="FFFFFF" w:themeColor="background1"/>
          <w:cs/>
        </w:rPr>
      </w:pPr>
      <w:r w:rsidRPr="00FA3E88">
        <w:rPr>
          <w:rFonts w:ascii="Tahoma" w:hAnsi="Tahoma" w:cs="Tahoma"/>
          <w:b/>
          <w:bCs/>
          <w:color w:val="FFFFFF"/>
          <w:cs/>
        </w:rPr>
        <w:t>โรมาเนีย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374E8C" w:rsidRPr="00FA3E88" w14:paraId="234CCA55" w14:textId="77777777" w:rsidTr="00E53ABB">
        <w:trPr>
          <w:jc w:val="center"/>
        </w:trPr>
        <w:tc>
          <w:tcPr>
            <w:tcW w:w="9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/>
            <w:hideMark/>
          </w:tcPr>
          <w:p w14:paraId="20A2DEDF" w14:textId="69D991DB" w:rsidR="00374E8C" w:rsidRPr="00FA3E88" w:rsidRDefault="00374E8C" w:rsidP="0024735B">
            <w:pPr>
              <w:keepNext/>
              <w:spacing w:after="120"/>
              <w:ind w:left="86" w:right="86"/>
              <w:jc w:val="left"/>
              <w:rPr>
                <w:rFonts w:ascii="Tahoma" w:hAnsi="Tahoma" w:cs="Tahoma"/>
                <w:b/>
                <w:bCs/>
                <w:cs/>
              </w:rPr>
            </w:pPr>
            <w:r w:rsidRPr="00FA3E88">
              <w:rPr>
                <w:rFonts w:ascii="Tahoma" w:hAnsi="Tahoma" w:cs="Tahoma"/>
                <w:b/>
                <w:bCs/>
                <w:cs/>
              </w:rPr>
              <w:t>เพิ่มเติมหัวข้อ “ข้อปลีกย่อย” ด้วยข้อความต่อไปนี้</w:t>
            </w:r>
          </w:p>
        </w:tc>
      </w:tr>
    </w:tbl>
    <w:p w14:paraId="53FAF6FE" w14:textId="6391664D" w:rsidR="00374E8C" w:rsidRPr="00B954AE" w:rsidRDefault="00563149" w:rsidP="00903EC9">
      <w:pPr>
        <w:pStyle w:val="ListParagraph"/>
        <w:adjustRightInd w:val="0"/>
        <w:snapToGrid w:val="0"/>
        <w:ind w:left="1080" w:hanging="360"/>
        <w:contextualSpacing w:val="0"/>
        <w:jc w:val="left"/>
        <w:rPr>
          <w:rFonts w:ascii="Tahoma" w:hAnsi="Tahoma" w:cs="Tahoma"/>
          <w:cs/>
          <w:lang w:val="en-US"/>
        </w:rPr>
      </w:pPr>
      <w:r w:rsidRPr="00903EC9">
        <w:rPr>
          <w:b/>
          <w:bCs/>
          <w:cs/>
        </w:rPr>
        <w:t>o</w:t>
      </w:r>
      <w:r w:rsidR="00D95884" w:rsidRPr="00903EC9">
        <w:rPr>
          <w:b/>
          <w:bCs/>
          <w:cs/>
        </w:rPr>
        <w:t>.</w:t>
      </w:r>
      <w:bookmarkStart w:id="2" w:name="_GoBack"/>
      <w:bookmarkEnd w:id="2"/>
      <w:r w:rsidR="00D95884" w:rsidRPr="00707990">
        <w:rPr>
          <w:rFonts w:ascii="Tahoma" w:hAnsi="Tahoma" w:cs="Tahoma"/>
          <w:cs/>
        </w:rPr>
        <w:t>คู่สัญญารับรู้ว่าได้มีการเข้าทำข้อตกลงนี้พร้อมกับข้อกำหนดที่ได้รับการเจรจาระหว่างคู่สัญญาแต่ละฝ่าย และคู่สัญญามีโอกาสเสนอข้อเสนอในการแก้ไขเพิ่มเติมในร่างข้อตกลงต่างๆ แล้ว</w:t>
      </w:r>
      <w:r w:rsidR="00CA1FDF" w:rsidRPr="00707990">
        <w:rPr>
          <w:rFonts w:ascii="Tahoma" w:hAnsi="Tahoma" w:cs="Tahoma"/>
          <w:cs/>
        </w:rPr>
        <w:t xml:space="preserve"> </w:t>
      </w:r>
      <w:r w:rsidR="00D95884" w:rsidRPr="00707990">
        <w:rPr>
          <w:rFonts w:ascii="Tahoma" w:hAnsi="Tahoma" w:cs="Tahoma"/>
          <w:cs/>
        </w:rPr>
        <w:t>ลูกค้าขอประกาศในที่นี้ว่าโดยการลงนามในแบบฟอร์มลายมือชื่อที่แนบมากับข้อตกลงนี้ เท่ากับว่าลูกค้ารับรู้และยอมรับข้อกำหนดทั้งหมดของข้อตกลงนี้โดยชัดแจ้ง รวมถึงข้อกำหนดที่อาจเข้าข่ายเป็นข้อกำหนดที่ผิดปกติ (Unusual Clause) (ตามที่กำหนดไว้โดยมาตรา 1203 แห่งประมวลกฎหมายแพ่งโรมาเนีย) ที่ระบุไว้ในข้อตกลงนี้โดย Microsoft ซึ่งรวมถึงแต่ไม่จำกัดเพียงข้อกำหนดต่างๆ ภายใต้ หัวข้อ “การใช้ ความเป็นเจ้าของ สิทธิ และข้อจำกัด” หัวข้อ “การรับประกัน” หัวข้อ “การต่อสู้คดีในเรื่องการเรียกร้องสิทธิของบุคคลภายนอก” หัวข้อ “ข้อจำกัดการรับผิด” หัวข้อ “ระยะเวลาและการสิ้นสุดข้อตกลง” ข้อย่อย “การโอน” ข้อย่อย “การระงับข้อพิพาท” ข้อย่อย “กฎหมายที่ใช้บังคับ” ข้อย่อย “ข้อกำหนดการชำระค่าบริการจากผู้เชี่ยวชาญ” ข้อย่อย “การส่งออกของสหรัฐอเมริกา”</w:t>
      </w:r>
    </w:p>
    <w:p w14:paraId="384CF72A" w14:textId="77777777" w:rsidR="00374E8C" w:rsidRPr="00445FA7" w:rsidRDefault="00374E8C" w:rsidP="0024735B">
      <w:pPr>
        <w:keepNext/>
        <w:shd w:val="clear" w:color="auto" w:fill="000000"/>
        <w:spacing w:before="360" w:after="120"/>
        <w:jc w:val="left"/>
        <w:rPr>
          <w:rFonts w:ascii="Tahoma" w:hAnsi="Tahoma" w:cs="Tahoma"/>
          <w:color w:val="FFFFFF" w:themeColor="background1"/>
          <w:cs/>
        </w:rPr>
      </w:pPr>
      <w:r w:rsidRPr="00FA3E88">
        <w:rPr>
          <w:rFonts w:ascii="Tahoma" w:hAnsi="Tahoma" w:cs="Tahoma"/>
          <w:b/>
          <w:bCs/>
          <w:color w:val="FFFFFF"/>
          <w:cs/>
        </w:rPr>
        <w:t>สาธารณรัฐสโลวัก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374E8C" w:rsidRPr="00FA3E88" w14:paraId="556245E5" w14:textId="77777777" w:rsidTr="00404D8A">
        <w:trPr>
          <w:jc w:val="center"/>
        </w:trPr>
        <w:tc>
          <w:tcPr>
            <w:tcW w:w="9029" w:type="dxa"/>
            <w:shd w:val="clear" w:color="auto" w:fill="C6D9F1"/>
          </w:tcPr>
          <w:p w14:paraId="4C9042DF" w14:textId="4CB509DF" w:rsidR="00374E8C" w:rsidRPr="00FA3E88" w:rsidRDefault="00374E8C" w:rsidP="0024735B">
            <w:pPr>
              <w:spacing w:after="120"/>
              <w:ind w:left="86" w:right="86"/>
              <w:jc w:val="left"/>
              <w:rPr>
                <w:rFonts w:ascii="Tahoma" w:hAnsi="Tahoma" w:cs="Tahoma"/>
                <w:b/>
                <w:bCs/>
                <w:cs/>
              </w:rPr>
            </w:pPr>
            <w:r w:rsidRPr="00FA3E88">
              <w:rPr>
                <w:rFonts w:ascii="Tahoma" w:hAnsi="Tahoma" w:cs="Tahoma"/>
                <w:b/>
                <w:bCs/>
                <w:cs/>
              </w:rPr>
              <w:t>เพิ่มเติมหัวข้อ “การรับประกัน” ด้วยข้อความต่อไปนี้</w:t>
            </w:r>
          </w:p>
        </w:tc>
      </w:tr>
    </w:tbl>
    <w:p w14:paraId="362036B6" w14:textId="523C1771" w:rsidR="00374E8C" w:rsidRPr="00FA3E88" w:rsidRDefault="00374E8C" w:rsidP="0024735B">
      <w:pPr>
        <w:spacing w:after="240"/>
        <w:ind w:left="108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cs/>
        </w:rPr>
        <w:t>บริการที่จัดให้ของ Microsoft พัฒนาขึ้นตามความรู้ทางเทคนิคและวิทยาศาสตร์ที่ทันสมัยล่าสุด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โดยขึ้นอยู่กับความก้าวหน้าของเทคโนโลยีในขณะนั้น Microsoft ส่งหนังสือบอกกล่าวแก่ลูกค้าโดยชัดแจ้งว่าเป็นไปไม่ได้ที่จะพัฒนาผลิตภัณฑ์ซอฟต์แวร์ที่ซับซ้อนโ</w:t>
      </w:r>
      <w:r w:rsidRPr="00FA3E88">
        <w:rPr>
          <w:rFonts w:ascii="Tahoma" w:hAnsi="Tahoma" w:cs="Tahoma"/>
          <w:cs/>
        </w:rPr>
        <w:lastRenderedPageBreak/>
        <w:t>ดยปราศจากความบกพร่องทางเทคนิคอย่างสิ้นเชิง</w:t>
      </w:r>
      <w:r w:rsidR="00CA1FDF">
        <w:rPr>
          <w:rFonts w:ascii="Tahoma" w:hAnsi="Tahoma" w:cs="Tahoma"/>
          <w:cs/>
        </w:rPr>
        <w:t xml:space="preserve"> </w:t>
      </w:r>
      <w:r w:rsidRPr="00FA3E88">
        <w:rPr>
          <w:rFonts w:ascii="Tahoma" w:hAnsi="Tahoma" w:cs="Tahoma"/>
          <w:cs/>
        </w:rPr>
        <w:t>ซอฟต์แวร์ที่ Microsoft จัดให้ไม่จำเป็นต้องเป็นซอฟต์แวร์ที่ปราศจากข้อผิดพลาดในการเขียนโปรแกรมอย่างสิ้นเชิง แต่จะสามารถทำงานได้ตามที่ระบุไว้ในคู่มือการใช้ของ Microsoft หรือตามข้อกำหนดการให้บริการที่เกี่ยวข้อง ถ้าไม่มีคู่มือการใช้อยู่</w:t>
      </w:r>
    </w:p>
    <w:p w14:paraId="4A7CFFDB" w14:textId="338AA534" w:rsidR="00374E8C" w:rsidRPr="00D348DF" w:rsidRDefault="00374E8C" w:rsidP="0024735B">
      <w:pPr>
        <w:keepNext/>
        <w:shd w:val="clear" w:color="auto" w:fill="000000"/>
        <w:spacing w:before="360" w:after="120"/>
        <w:jc w:val="left"/>
        <w:rPr>
          <w:rFonts w:ascii="Tahoma" w:hAnsi="Tahoma" w:cs="Tahoma"/>
          <w:color w:val="FFFFFF" w:themeColor="background1"/>
          <w:cs/>
        </w:rPr>
      </w:pPr>
      <w:r w:rsidRPr="00FA3E88">
        <w:rPr>
          <w:rFonts w:ascii="Tahoma" w:hAnsi="Tahoma" w:cs="Tahoma"/>
          <w:b/>
          <w:bCs/>
          <w:color w:val="FFFFFF"/>
          <w:cs/>
        </w:rPr>
        <w:t>สวิตเซอร์แลนด์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374E8C" w:rsidRPr="00FA3E88" w14:paraId="46E6F774" w14:textId="77777777" w:rsidTr="00B471C1">
        <w:trPr>
          <w:jc w:val="center"/>
        </w:trPr>
        <w:tc>
          <w:tcPr>
            <w:tcW w:w="9029" w:type="dxa"/>
            <w:shd w:val="clear" w:color="auto" w:fill="BDD6EE" w:themeFill="accent1" w:themeFillTint="66"/>
          </w:tcPr>
          <w:p w14:paraId="38704A81" w14:textId="4455D115" w:rsidR="00374E8C" w:rsidRPr="00FA3E88" w:rsidRDefault="00374E8C" w:rsidP="0024735B">
            <w:pPr>
              <w:keepNext/>
              <w:spacing w:after="120"/>
              <w:ind w:left="86" w:right="86"/>
              <w:jc w:val="left"/>
              <w:rPr>
                <w:rFonts w:ascii="Tahoma" w:hAnsi="Tahoma" w:cs="Tahoma"/>
                <w:b/>
                <w:bCs/>
                <w:cs/>
              </w:rPr>
            </w:pPr>
            <w:r w:rsidRPr="00FA3E88">
              <w:rPr>
                <w:rFonts w:ascii="Tahoma" w:hAnsi="Tahoma" w:cs="Tahoma"/>
                <w:b/>
                <w:bCs/>
                <w:cs/>
              </w:rPr>
              <w:t>เพิ่มเติมหัวข้อ ข้อปลีกย่อย ด้วยข้อความต่อไปนี้</w:t>
            </w:r>
          </w:p>
        </w:tc>
      </w:tr>
    </w:tbl>
    <w:p w14:paraId="25AFE6A6" w14:textId="56746A6F" w:rsidR="00374E8C" w:rsidRPr="00FA3E88" w:rsidRDefault="00C701A3" w:rsidP="0024735B">
      <w:pPr>
        <w:ind w:left="1080" w:hanging="360"/>
        <w:jc w:val="left"/>
        <w:rPr>
          <w:rFonts w:ascii="Tahoma" w:hAnsi="Tahoma" w:cs="Tahoma"/>
          <w:cs/>
        </w:rPr>
      </w:pPr>
      <w:r w:rsidRPr="00C701A3">
        <w:rPr>
          <w:rFonts w:ascii="Tahoma" w:hAnsi="Tahoma" w:cs="Tahoma"/>
          <w:b/>
          <w:bCs/>
          <w:cs/>
        </w:rPr>
        <w:t>o.</w:t>
      </w:r>
      <w:r w:rsidR="0089029D" w:rsidRPr="00FA3E88">
        <w:rPr>
          <w:rFonts w:ascii="Tahoma" w:hAnsi="Tahoma" w:cs="Tahoma"/>
          <w:cs/>
        </w:rPr>
        <w:tab/>
        <w:t>บริการจากผู้เชี่ยวชาญทั้งหมดให้บริการตามสัญญาที่เป็นข้อบังคับในความหมายของวรรค 394 ส่วนที่ตามมาของประมวลกฏหมายแห่งประเทศสวิสว่าด้วยภาระหน้าที่</w:t>
      </w:r>
    </w:p>
    <w:p w14:paraId="30D23F7D" w14:textId="77777777" w:rsidR="00374E8C" w:rsidRPr="00D348DF" w:rsidRDefault="00374E8C" w:rsidP="0024735B">
      <w:pPr>
        <w:keepNext/>
        <w:shd w:val="clear" w:color="auto" w:fill="000000"/>
        <w:spacing w:before="360" w:after="120"/>
        <w:jc w:val="left"/>
        <w:rPr>
          <w:rFonts w:ascii="Tahoma" w:hAnsi="Tahoma" w:cs="Tahoma"/>
          <w:color w:val="FFFFFF" w:themeColor="background1"/>
          <w:cs/>
        </w:rPr>
      </w:pPr>
      <w:r w:rsidRPr="00FA3E88">
        <w:rPr>
          <w:rFonts w:ascii="Tahoma" w:hAnsi="Tahoma" w:cs="Tahoma"/>
          <w:b/>
          <w:bCs/>
          <w:color w:val="FFFFFF"/>
          <w:cs/>
        </w:rPr>
        <w:t>ยูเครน</w:t>
      </w:r>
    </w:p>
    <w:tbl>
      <w:tblPr>
        <w:tblW w:w="902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6D9F1"/>
        <w:tblLook w:val="04A0" w:firstRow="1" w:lastRow="0" w:firstColumn="1" w:lastColumn="0" w:noHBand="0" w:noVBand="1"/>
      </w:tblPr>
      <w:tblGrid>
        <w:gridCol w:w="9029"/>
      </w:tblGrid>
      <w:tr w:rsidR="00374E8C" w:rsidRPr="00FA3E88" w14:paraId="30478ED5" w14:textId="77777777" w:rsidTr="00E53ABB">
        <w:trPr>
          <w:jc w:val="center"/>
        </w:trPr>
        <w:tc>
          <w:tcPr>
            <w:tcW w:w="9029" w:type="dxa"/>
            <w:shd w:val="clear" w:color="auto" w:fill="C6D9F1"/>
          </w:tcPr>
          <w:p w14:paraId="0CDA5DA7" w14:textId="268B8B92" w:rsidR="00374E8C" w:rsidRPr="00FA3E88" w:rsidRDefault="00374E8C" w:rsidP="0024735B">
            <w:pPr>
              <w:keepNext/>
              <w:spacing w:after="120"/>
              <w:ind w:left="86" w:right="86"/>
              <w:jc w:val="left"/>
              <w:rPr>
                <w:rFonts w:ascii="Tahoma" w:hAnsi="Tahoma" w:cs="Tahoma"/>
                <w:b/>
                <w:bCs/>
                <w:cs/>
              </w:rPr>
            </w:pPr>
            <w:r w:rsidRPr="00FA3E88">
              <w:rPr>
                <w:rFonts w:ascii="Tahoma" w:hAnsi="Tahoma" w:cs="Tahoma"/>
                <w:b/>
                <w:bCs/>
                <w:cs/>
              </w:rPr>
              <w:t>เพิ่มเติมหัวข้อ “ข้อจำกัดการรับผิด” ด้วยข้อความต่อไปนี้</w:t>
            </w:r>
          </w:p>
        </w:tc>
      </w:tr>
    </w:tbl>
    <w:p w14:paraId="443F5FF0" w14:textId="1C3FC1A4" w:rsidR="00374E8C" w:rsidRPr="00FA3E88" w:rsidRDefault="002237A3" w:rsidP="0024735B">
      <w:pPr>
        <w:ind w:left="1080" w:hanging="360"/>
        <w:jc w:val="left"/>
        <w:rPr>
          <w:rFonts w:ascii="Tahoma" w:hAnsi="Tahoma" w:cs="Tahoma"/>
          <w:cs/>
        </w:rPr>
      </w:pPr>
      <w:r w:rsidRPr="00FA3E88">
        <w:rPr>
          <w:rFonts w:ascii="Tahoma" w:hAnsi="Tahoma" w:cs="Tahoma"/>
          <w:b/>
          <w:bCs/>
          <w:cs/>
        </w:rPr>
        <w:t>e.</w:t>
      </w:r>
      <w:r w:rsidRPr="00FA3E88">
        <w:rPr>
          <w:rFonts w:ascii="Tahoma" w:hAnsi="Tahoma" w:cs="Tahoma"/>
          <w:b/>
          <w:bCs/>
          <w:cs/>
        </w:rPr>
        <w:tab/>
        <w:t>การบังคับใช้</w:t>
      </w:r>
      <w:r w:rsidR="00CA1FDF">
        <w:rPr>
          <w:rFonts w:ascii="Tahoma" w:hAnsi="Tahoma" w:cs="Tahoma"/>
          <w:b/>
          <w:bCs/>
          <w:cs/>
        </w:rPr>
        <w:t xml:space="preserve"> </w:t>
      </w:r>
      <w:r w:rsidRPr="00FA3E88">
        <w:rPr>
          <w:rFonts w:ascii="Tahoma" w:hAnsi="Tahoma" w:cs="Tahoma"/>
          <w:cs/>
        </w:rPr>
        <w:t>เว้นแต่จะระบุไว้โดยชัดแจ้งในข้อนี้ ข้อจำกัดและข้อยกเว้นความรับผิดสำหรับค่าเสียหายในข้อตกลงนี้ (รวมถึงข้อตกลงเพิ่มเติมใดๆ) จะนำมาใช้โดยไม่คำนึงว่าจะเป็นความรับผิดที่เกิดจากการละเมิดสัญญา การละเมิด การละเมิดการรับประกัน หรือความรับผิดที่เกิดจากทฤษฎีกฎหมายอื่นใด</w:t>
      </w:r>
    </w:p>
    <w:sectPr w:rsidR="00374E8C" w:rsidRPr="00FA3E88" w:rsidSect="00033D68">
      <w:headerReference w:type="even" r:id="rId12"/>
      <w:headerReference w:type="default" r:id="rId13"/>
      <w:footerReference w:type="default" r:id="rId14"/>
      <w:headerReference w:type="first" r:id="rId15"/>
      <w:footerReference w:type="first" r:id="rId16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E79E61" w14:textId="77777777" w:rsidR="00FB06B0" w:rsidRDefault="00FB06B0" w:rsidP="00135BAF">
      <w:pPr>
        <w:spacing w:before="0"/>
        <w:rPr>
          <w:cs/>
        </w:rPr>
      </w:pPr>
      <w:r>
        <w:separator/>
      </w:r>
    </w:p>
  </w:endnote>
  <w:endnote w:type="continuationSeparator" w:id="0">
    <w:p w14:paraId="70895DB2" w14:textId="77777777" w:rsidR="00FB06B0" w:rsidRDefault="00FB06B0" w:rsidP="00135BAF">
      <w:pPr>
        <w:spacing w:before="0"/>
        <w:rPr>
          <w:cs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98"/>
      <w:gridCol w:w="4331"/>
    </w:tblGrid>
    <w:tr w:rsidR="00A576C0" w:rsidRPr="00A576C0" w14:paraId="189A4C25" w14:textId="77777777" w:rsidTr="00A576C0">
      <w:trPr>
        <w:jc w:val="center"/>
      </w:trPr>
      <w:tc>
        <w:tcPr>
          <w:tcW w:w="4698" w:type="dxa"/>
        </w:tcPr>
        <w:p w14:paraId="473C99F3" w14:textId="77777777" w:rsidR="00A576C0" w:rsidRPr="00A576C0" w:rsidRDefault="00A576C0" w:rsidP="00A576C0">
          <w:pPr>
            <w:pStyle w:val="Footer"/>
            <w:rPr>
              <w:sz w:val="16"/>
              <w:szCs w:val="16"/>
              <w:lang w:val="en-US"/>
            </w:rPr>
          </w:pPr>
          <w:r w:rsidRPr="00A576C0">
            <w:rPr>
              <w:sz w:val="16"/>
              <w:szCs w:val="16"/>
              <w:lang w:val="en-US"/>
            </w:rPr>
            <w:t>MBSA20201Agr(CountrySpecificProv)(WW)(THA)(Oct2019)</w:t>
          </w:r>
        </w:p>
      </w:tc>
      <w:tc>
        <w:tcPr>
          <w:tcW w:w="4331" w:type="dxa"/>
        </w:tcPr>
        <w:p w14:paraId="7AEADE35" w14:textId="77777777" w:rsidR="00A576C0" w:rsidRPr="00A576C0" w:rsidRDefault="00A576C0" w:rsidP="00A576C0">
          <w:pPr>
            <w:pStyle w:val="Footer"/>
            <w:jc w:val="right"/>
            <w:rPr>
              <w:sz w:val="16"/>
              <w:szCs w:val="16"/>
              <w:cs/>
            </w:rPr>
          </w:pPr>
          <w:r w:rsidRPr="00A576C0">
            <w:rPr>
              <w:sz w:val="16"/>
              <w:szCs w:val="16"/>
              <w:cs/>
            </w:rPr>
            <w:t xml:space="preserve">Page </w:t>
          </w:r>
          <w:r w:rsidRPr="00A576C0">
            <w:rPr>
              <w:sz w:val="16"/>
              <w:szCs w:val="16"/>
            </w:rPr>
            <w:fldChar w:fldCharType="begin"/>
          </w:r>
          <w:r w:rsidRPr="00A576C0">
            <w:rPr>
              <w:sz w:val="16"/>
              <w:szCs w:val="16"/>
              <w:cs/>
            </w:rPr>
            <w:instrText xml:space="preserve"> PAGE  \* Arabic  \* MERGEFORMAT </w:instrText>
          </w:r>
          <w:r w:rsidRPr="00A576C0">
            <w:rPr>
              <w:sz w:val="16"/>
              <w:szCs w:val="16"/>
            </w:rPr>
            <w:fldChar w:fldCharType="separate"/>
          </w:r>
          <w:r w:rsidRPr="00A576C0">
            <w:rPr>
              <w:noProof/>
              <w:sz w:val="16"/>
              <w:szCs w:val="16"/>
              <w:cs/>
            </w:rPr>
            <w:t>1</w:t>
          </w:r>
          <w:r w:rsidRPr="00A576C0">
            <w:rPr>
              <w:sz w:val="16"/>
              <w:szCs w:val="16"/>
            </w:rPr>
            <w:fldChar w:fldCharType="end"/>
          </w:r>
          <w:r w:rsidRPr="00A576C0">
            <w:rPr>
              <w:sz w:val="16"/>
              <w:szCs w:val="16"/>
              <w:cs/>
            </w:rPr>
            <w:t xml:space="preserve"> of </w:t>
          </w:r>
          <w:r w:rsidRPr="00A576C0">
            <w:rPr>
              <w:sz w:val="16"/>
              <w:szCs w:val="16"/>
            </w:rPr>
            <w:fldChar w:fldCharType="begin"/>
          </w:r>
          <w:r w:rsidRPr="00A576C0">
            <w:rPr>
              <w:sz w:val="16"/>
              <w:szCs w:val="16"/>
              <w:cs/>
            </w:rPr>
            <w:instrText xml:space="preserve"> NUMPAGES  \* Arabic  \* MERGEFORMAT </w:instrText>
          </w:r>
          <w:r w:rsidRPr="00A576C0">
            <w:rPr>
              <w:sz w:val="16"/>
              <w:szCs w:val="16"/>
            </w:rPr>
            <w:fldChar w:fldCharType="separate"/>
          </w:r>
          <w:r w:rsidRPr="00A576C0">
            <w:rPr>
              <w:noProof/>
              <w:sz w:val="16"/>
              <w:szCs w:val="16"/>
              <w:cs/>
            </w:rPr>
            <w:t>9</w:t>
          </w:r>
          <w:r w:rsidRPr="00A576C0">
            <w:rPr>
              <w:sz w:val="16"/>
              <w:szCs w:val="16"/>
            </w:rPr>
            <w:fldChar w:fldCharType="end"/>
          </w:r>
        </w:p>
        <w:p w14:paraId="1F5B9CC7" w14:textId="77777777" w:rsidR="00A576C0" w:rsidRPr="00A576C0" w:rsidRDefault="00A576C0" w:rsidP="00A576C0">
          <w:pPr>
            <w:pStyle w:val="Footer"/>
            <w:jc w:val="right"/>
            <w:rPr>
              <w:sz w:val="16"/>
              <w:szCs w:val="16"/>
              <w:cs/>
            </w:rPr>
          </w:pPr>
          <w:r w:rsidRPr="00A576C0">
            <w:rPr>
              <w:sz w:val="16"/>
              <w:szCs w:val="16"/>
              <w:cs/>
            </w:rPr>
            <w:t>Document X20-10010</w:t>
          </w:r>
        </w:p>
      </w:tc>
    </w:tr>
  </w:tbl>
  <w:p w14:paraId="3F269C07" w14:textId="77777777" w:rsidR="00A576C0" w:rsidRPr="00A576C0" w:rsidRDefault="00A576C0" w:rsidP="00BE5AA5">
    <w:pPr>
      <w:spacing w:before="0"/>
      <w:rPr>
        <w:sz w:val="16"/>
        <w:szCs w:val="16"/>
        <w:cs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698"/>
      <w:gridCol w:w="4331"/>
    </w:tblGrid>
    <w:tr w:rsidR="00216982" w:rsidRPr="00A576C0" w14:paraId="6455BFA6" w14:textId="77777777" w:rsidTr="00A576C0">
      <w:trPr>
        <w:jc w:val="center"/>
      </w:trPr>
      <w:tc>
        <w:tcPr>
          <w:tcW w:w="4708" w:type="dxa"/>
        </w:tcPr>
        <w:p w14:paraId="084F0BE6" w14:textId="20233052" w:rsidR="00216982" w:rsidRPr="00A576C0" w:rsidRDefault="00216982" w:rsidP="006D0DBC">
          <w:pPr>
            <w:pStyle w:val="Footer"/>
            <w:rPr>
              <w:sz w:val="16"/>
              <w:szCs w:val="16"/>
              <w:lang w:val="en-US"/>
            </w:rPr>
          </w:pPr>
          <w:r w:rsidRPr="00A576C0">
            <w:rPr>
              <w:sz w:val="16"/>
              <w:szCs w:val="16"/>
              <w:lang w:val="en-US"/>
            </w:rPr>
            <w:t>MBSA20</w:t>
          </w:r>
          <w:r w:rsidR="00A576C0" w:rsidRPr="00A576C0">
            <w:rPr>
              <w:sz w:val="16"/>
              <w:szCs w:val="16"/>
              <w:lang w:val="en-US"/>
            </w:rPr>
            <w:t>201</w:t>
          </w:r>
          <w:r w:rsidRPr="00A576C0">
            <w:rPr>
              <w:sz w:val="16"/>
              <w:szCs w:val="16"/>
              <w:lang w:val="en-US"/>
            </w:rPr>
            <w:t>Agr(CountrySpecificProv)(WW)(</w:t>
          </w:r>
          <w:r w:rsidR="006D0DBC" w:rsidRPr="00A576C0">
            <w:rPr>
              <w:sz w:val="16"/>
              <w:szCs w:val="16"/>
              <w:lang w:val="en-US"/>
            </w:rPr>
            <w:t>THA</w:t>
          </w:r>
          <w:r w:rsidRPr="00A576C0">
            <w:rPr>
              <w:sz w:val="16"/>
              <w:szCs w:val="16"/>
              <w:lang w:val="en-US"/>
            </w:rPr>
            <w:t>)(</w:t>
          </w:r>
          <w:r w:rsidR="00A576C0" w:rsidRPr="00A576C0">
            <w:rPr>
              <w:sz w:val="16"/>
              <w:szCs w:val="16"/>
              <w:lang w:val="en-US"/>
            </w:rPr>
            <w:t>Oct2019</w:t>
          </w:r>
          <w:r w:rsidRPr="00A576C0">
            <w:rPr>
              <w:sz w:val="16"/>
              <w:szCs w:val="16"/>
              <w:lang w:val="en-US"/>
            </w:rPr>
            <w:t>)</w:t>
          </w:r>
        </w:p>
      </w:tc>
      <w:tc>
        <w:tcPr>
          <w:tcW w:w="4485" w:type="dxa"/>
        </w:tcPr>
        <w:p w14:paraId="5B8822D6" w14:textId="77777777" w:rsidR="00216982" w:rsidRPr="00A576C0" w:rsidRDefault="00216982" w:rsidP="00216982">
          <w:pPr>
            <w:pStyle w:val="Footer"/>
            <w:jc w:val="right"/>
            <w:rPr>
              <w:sz w:val="16"/>
              <w:szCs w:val="16"/>
              <w:cs/>
            </w:rPr>
          </w:pPr>
          <w:r w:rsidRPr="00A576C0">
            <w:rPr>
              <w:sz w:val="16"/>
              <w:szCs w:val="16"/>
              <w:cs/>
            </w:rPr>
            <w:t xml:space="preserve">Page </w:t>
          </w:r>
          <w:r w:rsidRPr="00A576C0">
            <w:rPr>
              <w:sz w:val="16"/>
              <w:szCs w:val="16"/>
            </w:rPr>
            <w:fldChar w:fldCharType="begin"/>
          </w:r>
          <w:r w:rsidRPr="00A576C0">
            <w:rPr>
              <w:sz w:val="16"/>
              <w:szCs w:val="16"/>
              <w:cs/>
            </w:rPr>
            <w:instrText xml:space="preserve"> PAGE  \* Arabic  \* MERGEFORMAT </w:instrText>
          </w:r>
          <w:r w:rsidRPr="00A576C0">
            <w:rPr>
              <w:sz w:val="16"/>
              <w:szCs w:val="16"/>
            </w:rPr>
            <w:fldChar w:fldCharType="separate"/>
          </w:r>
          <w:r w:rsidR="00FB30EC" w:rsidRPr="00A576C0">
            <w:rPr>
              <w:noProof/>
              <w:sz w:val="16"/>
              <w:szCs w:val="16"/>
              <w:cs/>
            </w:rPr>
            <w:t>1</w:t>
          </w:r>
          <w:r w:rsidRPr="00A576C0">
            <w:rPr>
              <w:sz w:val="16"/>
              <w:szCs w:val="16"/>
            </w:rPr>
            <w:fldChar w:fldCharType="end"/>
          </w:r>
          <w:r w:rsidRPr="00A576C0">
            <w:rPr>
              <w:sz w:val="16"/>
              <w:szCs w:val="16"/>
              <w:cs/>
            </w:rPr>
            <w:t xml:space="preserve"> of </w:t>
          </w:r>
          <w:r w:rsidRPr="00A576C0">
            <w:rPr>
              <w:sz w:val="16"/>
              <w:szCs w:val="16"/>
            </w:rPr>
            <w:fldChar w:fldCharType="begin"/>
          </w:r>
          <w:r w:rsidRPr="00A576C0">
            <w:rPr>
              <w:sz w:val="16"/>
              <w:szCs w:val="16"/>
              <w:cs/>
            </w:rPr>
            <w:instrText xml:space="preserve"> NUMPAGES  \* Arabic  \* MERGEFORMAT </w:instrText>
          </w:r>
          <w:r w:rsidRPr="00A576C0">
            <w:rPr>
              <w:sz w:val="16"/>
              <w:szCs w:val="16"/>
            </w:rPr>
            <w:fldChar w:fldCharType="separate"/>
          </w:r>
          <w:r w:rsidR="00FB30EC" w:rsidRPr="00A576C0">
            <w:rPr>
              <w:noProof/>
              <w:sz w:val="16"/>
              <w:szCs w:val="16"/>
              <w:cs/>
            </w:rPr>
            <w:t>9</w:t>
          </w:r>
          <w:r w:rsidRPr="00A576C0">
            <w:rPr>
              <w:sz w:val="16"/>
              <w:szCs w:val="16"/>
            </w:rPr>
            <w:fldChar w:fldCharType="end"/>
          </w:r>
        </w:p>
        <w:p w14:paraId="10AD52FF" w14:textId="0076347A" w:rsidR="00216982" w:rsidRPr="00A576C0" w:rsidRDefault="00216982" w:rsidP="00216982">
          <w:pPr>
            <w:pStyle w:val="Footer"/>
            <w:jc w:val="right"/>
            <w:rPr>
              <w:sz w:val="16"/>
              <w:szCs w:val="16"/>
              <w:cs/>
            </w:rPr>
          </w:pPr>
          <w:r w:rsidRPr="00A576C0">
            <w:rPr>
              <w:sz w:val="16"/>
              <w:szCs w:val="16"/>
              <w:cs/>
            </w:rPr>
            <w:t>Document X20-100</w:t>
          </w:r>
          <w:r w:rsidR="00A576C0" w:rsidRPr="00A576C0">
            <w:rPr>
              <w:sz w:val="16"/>
              <w:szCs w:val="16"/>
              <w:cs/>
            </w:rPr>
            <w:t>10</w:t>
          </w:r>
        </w:p>
      </w:tc>
    </w:tr>
  </w:tbl>
  <w:p w14:paraId="16B8469B" w14:textId="77777777" w:rsidR="00135BAF" w:rsidRPr="00A576C0" w:rsidRDefault="00135BAF" w:rsidP="00216982">
    <w:pPr>
      <w:pStyle w:val="Footer"/>
      <w:rPr>
        <w:rStyle w:val="LogoportDoNotTranslate"/>
        <w:rFonts w:ascii="Arial" w:hAnsi="Arial" w:cs="Arial"/>
        <w:color w:val="000000"/>
        <w:sz w:val="16"/>
        <w:szCs w:val="16"/>
        <w:c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319DA0" w14:textId="77777777" w:rsidR="00FB06B0" w:rsidRDefault="00FB06B0" w:rsidP="00135BAF">
      <w:pPr>
        <w:spacing w:before="0"/>
        <w:rPr>
          <w:cs/>
        </w:rPr>
      </w:pPr>
      <w:r>
        <w:separator/>
      </w:r>
    </w:p>
  </w:footnote>
  <w:footnote w:type="continuationSeparator" w:id="0">
    <w:p w14:paraId="5031B0D9" w14:textId="77777777" w:rsidR="00FB06B0" w:rsidRDefault="00FB06B0" w:rsidP="00135BAF">
      <w:pPr>
        <w:spacing w:before="0"/>
        <w:rPr>
          <w:cs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E84DBB" w14:textId="11DD27E7" w:rsidR="0038410A" w:rsidRDefault="00FB06B0">
    <w:pPr>
      <w:pStyle w:val="Header"/>
      <w:rPr>
        <w:cs/>
      </w:rPr>
    </w:pPr>
    <w:r>
      <w:pict w14:anchorId="6C5088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48DCFB" w14:textId="497D9CA7" w:rsidR="0038410A" w:rsidRDefault="00FB06B0">
    <w:pPr>
      <w:pStyle w:val="Header"/>
      <w:rPr>
        <w:cs/>
      </w:rPr>
    </w:pPr>
    <w:r>
      <w:pict w14:anchorId="72EF9FD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D9FAB0" w14:textId="6DBEEC77" w:rsidR="00135BAF" w:rsidRDefault="00FB06B0" w:rsidP="00135BAF">
    <w:pPr>
      <w:pStyle w:val="Header"/>
      <w:tabs>
        <w:tab w:val="clear" w:pos="4680"/>
        <w:tab w:val="clear" w:pos="9360"/>
      </w:tabs>
      <w:rPr>
        <w:cs/>
      </w:rPr>
    </w:pPr>
    <w:r>
      <w:pict w14:anchorId="5082933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left:0;text-align:left;margin-left:0;margin-top:0;width:451.2pt;height:254.35pt;z-index:-251658240;mso-position-horizontal:center;mso-position-horizontal-relative:margin;mso-position-vertical:center;mso-position-vertical-relative:margin" o:allowincell="f">
          <v:imagedata r:id="rId1" o:title="K2 BW Image" gain="19661f" blacklevel="22938f"/>
          <w10:wrap anchorx="margin" anchory="margin"/>
        </v:shape>
      </w:pict>
    </w:r>
    <w:r w:rsidR="00C36C80">
      <w:rPr>
        <w:noProof/>
        <w:lang w:val="en-US" w:eastAsia="en-US" w:bidi="ar-SA"/>
      </w:rPr>
      <w:drawing>
        <wp:inline distT="0" distB="0" distL="0" distR="0" wp14:anchorId="365FB8CF" wp14:editId="1141B1F2">
          <wp:extent cx="5943600" cy="581025"/>
          <wp:effectExtent l="0" t="0" r="0" b="9525"/>
          <wp:docPr id="3" name="Picture 3" descr="C:\Users\v-keschu\Desktop\newheadersizecorrected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:\Users\v-keschu\Desktop\newheadersizecorrected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261EC"/>
    <w:multiLevelType w:val="hybridMultilevel"/>
    <w:tmpl w:val="BBDC9A48"/>
    <w:lvl w:ilvl="0" w:tplc="1E3897FC">
      <w:start w:val="1"/>
      <w:numFmt w:val="upperLetter"/>
      <w:lvlText w:val="%1."/>
      <w:lvlJc w:val="left"/>
      <w:pPr>
        <w:ind w:left="1440" w:hanging="360"/>
      </w:pPr>
      <w:rPr>
        <w:rFonts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1E55F41"/>
    <w:multiLevelType w:val="hybridMultilevel"/>
    <w:tmpl w:val="BBDC9A48"/>
    <w:lvl w:ilvl="0" w:tplc="1E3897FC">
      <w:start w:val="1"/>
      <w:numFmt w:val="upperLetter"/>
      <w:lvlText w:val="%1."/>
      <w:lvlJc w:val="left"/>
      <w:pPr>
        <w:ind w:left="1440" w:hanging="360"/>
      </w:pPr>
      <w:rPr>
        <w:rFonts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3493791"/>
    <w:multiLevelType w:val="hybridMultilevel"/>
    <w:tmpl w:val="AAC6FC14"/>
    <w:lvl w:ilvl="0" w:tplc="1E3897FC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2C29BB0">
      <w:start w:val="2"/>
      <w:numFmt w:val="bullet"/>
      <w:lvlText w:val="•"/>
      <w:lvlJc w:val="left"/>
      <w:pPr>
        <w:ind w:left="1800" w:hanging="720"/>
      </w:pPr>
      <w:rPr>
        <w:rFonts w:ascii="Arial" w:eastAsia="MS Mincho" w:hAnsi="Aria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7C6F76"/>
    <w:multiLevelType w:val="hybridMultilevel"/>
    <w:tmpl w:val="BBDC9A48"/>
    <w:lvl w:ilvl="0" w:tplc="1E3897FC">
      <w:start w:val="1"/>
      <w:numFmt w:val="upperLetter"/>
      <w:lvlText w:val="%1."/>
      <w:lvlJc w:val="left"/>
      <w:pPr>
        <w:ind w:left="1440" w:hanging="360"/>
      </w:pPr>
      <w:rPr>
        <w:rFonts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937444E"/>
    <w:multiLevelType w:val="hybridMultilevel"/>
    <w:tmpl w:val="7116B49E"/>
    <w:lvl w:ilvl="0" w:tplc="DB165A3E">
      <w:start w:val="1"/>
      <w:numFmt w:val="lowerRoman"/>
      <w:lvlText w:val="(%1)"/>
      <w:lvlJc w:val="left"/>
      <w:pPr>
        <w:ind w:left="720" w:hanging="360"/>
      </w:pPr>
      <w:rPr>
        <w:rFonts w:ascii="Arial" w:eastAsia="Times New Roman" w:hAnsi="Arial" w:cs="Arial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E32092"/>
    <w:multiLevelType w:val="hybridMultilevel"/>
    <w:tmpl w:val="EFBEE664"/>
    <w:lvl w:ilvl="0" w:tplc="0FF0EEFC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A44402"/>
    <w:multiLevelType w:val="hybridMultilevel"/>
    <w:tmpl w:val="6A98B750"/>
    <w:lvl w:ilvl="0" w:tplc="337EDB28">
      <w:start w:val="17"/>
      <w:numFmt w:val="lowerLetter"/>
      <w:lvlText w:val="%1."/>
      <w:lvlJc w:val="left"/>
      <w:pPr>
        <w:ind w:left="144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273278"/>
    <w:multiLevelType w:val="hybridMultilevel"/>
    <w:tmpl w:val="B18E4B54"/>
    <w:lvl w:ilvl="0" w:tplc="E7822CF2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AE77F9"/>
    <w:multiLevelType w:val="hybridMultilevel"/>
    <w:tmpl w:val="79F62D7C"/>
    <w:lvl w:ilvl="0" w:tplc="86D06F70">
      <w:start w:val="5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4F77310"/>
    <w:multiLevelType w:val="hybridMultilevel"/>
    <w:tmpl w:val="22B4C5B2"/>
    <w:lvl w:ilvl="0" w:tplc="E0F46AC4">
      <w:start w:val="3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F621C7"/>
    <w:multiLevelType w:val="hybridMultilevel"/>
    <w:tmpl w:val="04720284"/>
    <w:lvl w:ilvl="0" w:tplc="55180402">
      <w:start w:val="4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746608"/>
    <w:multiLevelType w:val="hybridMultilevel"/>
    <w:tmpl w:val="FAD0C5EA"/>
    <w:lvl w:ilvl="0" w:tplc="8C8A141A">
      <w:start w:val="1"/>
      <w:numFmt w:val="lowerLetter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18E06D34"/>
    <w:multiLevelType w:val="hybridMultilevel"/>
    <w:tmpl w:val="10BA01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9849CF"/>
    <w:multiLevelType w:val="hybridMultilevel"/>
    <w:tmpl w:val="A39E5456"/>
    <w:lvl w:ilvl="0" w:tplc="D1C6567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A618FA"/>
    <w:multiLevelType w:val="hybridMultilevel"/>
    <w:tmpl w:val="CF3A65F2"/>
    <w:lvl w:ilvl="0" w:tplc="DB165A3E">
      <w:start w:val="1"/>
      <w:numFmt w:val="lowerRoman"/>
      <w:lvlText w:val="(%1)"/>
      <w:lvlJc w:val="left"/>
      <w:pPr>
        <w:ind w:left="1800" w:hanging="360"/>
      </w:pPr>
      <w:rPr>
        <w:rFonts w:ascii="Arial" w:eastAsia="Times New Roman" w:hAnsi="Arial" w:cs="Arial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23E12254"/>
    <w:multiLevelType w:val="hybridMultilevel"/>
    <w:tmpl w:val="77F8C9C0"/>
    <w:lvl w:ilvl="0" w:tplc="505EBF44">
      <w:start w:val="1"/>
      <w:numFmt w:val="lowerRoman"/>
      <w:lvlText w:val="(%1)"/>
      <w:lvlJc w:val="left"/>
      <w:pPr>
        <w:ind w:left="2160" w:hanging="360"/>
      </w:pPr>
      <w:rPr>
        <w:rFonts w:ascii="Arial" w:eastAsia="Times New Roman" w:hAnsi="Arial" w:cs="Arial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6B296C"/>
    <w:multiLevelType w:val="hybridMultilevel"/>
    <w:tmpl w:val="BBDC9A48"/>
    <w:lvl w:ilvl="0" w:tplc="1E3897FC">
      <w:start w:val="1"/>
      <w:numFmt w:val="upperLetter"/>
      <w:lvlText w:val="%1."/>
      <w:lvlJc w:val="left"/>
      <w:pPr>
        <w:ind w:left="1440" w:hanging="360"/>
      </w:pPr>
      <w:rPr>
        <w:rFonts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CC715B1"/>
    <w:multiLevelType w:val="hybridMultilevel"/>
    <w:tmpl w:val="A7120F86"/>
    <w:lvl w:ilvl="0" w:tplc="DB165A3E">
      <w:start w:val="1"/>
      <w:numFmt w:val="lowerRoman"/>
      <w:lvlText w:val="(%1)"/>
      <w:lvlJc w:val="left"/>
      <w:pPr>
        <w:ind w:left="720" w:hanging="360"/>
      </w:pPr>
      <w:rPr>
        <w:rFonts w:ascii="Arial" w:eastAsia="Times New Roman" w:hAnsi="Arial" w:cs="Arial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2A7563"/>
    <w:multiLevelType w:val="hybridMultilevel"/>
    <w:tmpl w:val="487C1664"/>
    <w:lvl w:ilvl="0" w:tplc="DB165A3E">
      <w:start w:val="1"/>
      <w:numFmt w:val="lowerRoman"/>
      <w:lvlText w:val="(%1)"/>
      <w:lvlJc w:val="left"/>
      <w:pPr>
        <w:ind w:left="720" w:hanging="360"/>
      </w:pPr>
      <w:rPr>
        <w:rFonts w:ascii="Arial" w:eastAsia="Times New Roman" w:hAnsi="Arial" w:cs="Arial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FE131B"/>
    <w:multiLevelType w:val="hybridMultilevel"/>
    <w:tmpl w:val="57E433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9D624D8">
      <w:start w:val="1"/>
      <w:numFmt w:val="lowerLetter"/>
      <w:lvlText w:val="%2."/>
      <w:lvlJc w:val="left"/>
      <w:pPr>
        <w:ind w:left="1260" w:hanging="360"/>
      </w:pPr>
      <w:rPr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1F03EB"/>
    <w:multiLevelType w:val="hybridMultilevel"/>
    <w:tmpl w:val="191EE75A"/>
    <w:lvl w:ilvl="0" w:tplc="E7822CF2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86023B"/>
    <w:multiLevelType w:val="hybridMultilevel"/>
    <w:tmpl w:val="3482B492"/>
    <w:lvl w:ilvl="0" w:tplc="7A3CB8EA">
      <w:start w:val="3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59B3453"/>
    <w:multiLevelType w:val="multilevel"/>
    <w:tmpl w:val="51083548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1">
      <w:start w:val="1"/>
      <w:numFmt w:val="lowerRoman"/>
      <w:lvlText w:val="(%2)"/>
      <w:lvlJc w:val="left"/>
      <w:pPr>
        <w:tabs>
          <w:tab w:val="num" w:pos="1800"/>
        </w:tabs>
        <w:ind w:left="1800" w:hanging="360"/>
      </w:pPr>
      <w:rPr>
        <w:rFonts w:hint="default"/>
        <w:b/>
      </w:rPr>
    </w:lvl>
    <w:lvl w:ilvl="2">
      <w:start w:val="1"/>
      <w:numFmt w:val="lowerLetter"/>
      <w:lvlText w:val="%3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5">
      <w:start w:val="1"/>
      <w:numFmt w:val="lowerLetter"/>
      <w:lvlText w:val="%6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6">
      <w:start w:val="1"/>
      <w:numFmt w:val="lowerLetter"/>
      <w:lvlText w:val="%7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num" w:pos="6840"/>
        </w:tabs>
        <w:ind w:left="6840" w:hanging="360"/>
      </w:pPr>
      <w:rPr>
        <w:rFonts w:hint="default"/>
      </w:rPr>
    </w:lvl>
  </w:abstractNum>
  <w:abstractNum w:abstractNumId="23" w15:restartNumberingAfterBreak="0">
    <w:nsid w:val="3ACC5133"/>
    <w:multiLevelType w:val="multilevel"/>
    <w:tmpl w:val="EB92FE1E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b/>
      </w:rPr>
    </w:lvl>
    <w:lvl w:ilvl="1">
      <w:start w:val="1"/>
      <w:numFmt w:val="lowerRoman"/>
      <w:lvlText w:val="(%2)"/>
      <w:lvlJc w:val="left"/>
      <w:pPr>
        <w:tabs>
          <w:tab w:val="num" w:pos="1800"/>
        </w:tabs>
        <w:ind w:left="1800" w:hanging="360"/>
      </w:pPr>
      <w:rPr>
        <w:b/>
      </w:rPr>
    </w:lvl>
    <w:lvl w:ilvl="2">
      <w:start w:val="1"/>
      <w:numFmt w:val="lowerLetter"/>
      <w:lvlText w:val="%3."/>
      <w:lvlJc w:val="left"/>
      <w:pPr>
        <w:tabs>
          <w:tab w:val="num" w:pos="2520"/>
        </w:tabs>
        <w:ind w:left="2520" w:hanging="360"/>
      </w:pPr>
    </w:lvl>
    <w:lvl w:ilvl="3">
      <w:start w:val="1"/>
      <w:numFmt w:val="lowerLetter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Letter"/>
      <w:lvlText w:val="%6."/>
      <w:lvlJc w:val="left"/>
      <w:pPr>
        <w:tabs>
          <w:tab w:val="num" w:pos="4680"/>
        </w:tabs>
        <w:ind w:left="4680" w:hanging="360"/>
      </w:pPr>
    </w:lvl>
    <w:lvl w:ilvl="6">
      <w:start w:val="1"/>
      <w:numFmt w:val="lowerLetter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Letter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24" w15:restartNumberingAfterBreak="0">
    <w:nsid w:val="3FD458CC"/>
    <w:multiLevelType w:val="hybridMultilevel"/>
    <w:tmpl w:val="E3BC202E"/>
    <w:lvl w:ilvl="0" w:tplc="7A3CB8EA">
      <w:start w:val="3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0D02FCC"/>
    <w:multiLevelType w:val="hybridMultilevel"/>
    <w:tmpl w:val="BBDC9A48"/>
    <w:lvl w:ilvl="0" w:tplc="1E3897FC">
      <w:start w:val="1"/>
      <w:numFmt w:val="upperLetter"/>
      <w:lvlText w:val="%1."/>
      <w:lvlJc w:val="left"/>
      <w:pPr>
        <w:ind w:left="1440" w:hanging="360"/>
      </w:pPr>
      <w:rPr>
        <w:rFonts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35E240D"/>
    <w:multiLevelType w:val="hybridMultilevel"/>
    <w:tmpl w:val="BBDC9A48"/>
    <w:lvl w:ilvl="0" w:tplc="1E3897FC">
      <w:start w:val="1"/>
      <w:numFmt w:val="upperLetter"/>
      <w:lvlText w:val="%1."/>
      <w:lvlJc w:val="left"/>
      <w:pPr>
        <w:ind w:left="1440" w:hanging="360"/>
      </w:pPr>
      <w:rPr>
        <w:rFonts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8B76AD3"/>
    <w:multiLevelType w:val="hybridMultilevel"/>
    <w:tmpl w:val="BBDC9A48"/>
    <w:lvl w:ilvl="0" w:tplc="1E3897FC">
      <w:start w:val="1"/>
      <w:numFmt w:val="upperLetter"/>
      <w:lvlText w:val="%1."/>
      <w:lvlJc w:val="left"/>
      <w:pPr>
        <w:ind w:left="1440" w:hanging="360"/>
      </w:pPr>
      <w:rPr>
        <w:rFonts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A321D2A"/>
    <w:multiLevelType w:val="hybridMultilevel"/>
    <w:tmpl w:val="DBFA911C"/>
    <w:lvl w:ilvl="0" w:tplc="DB165A3E">
      <w:start w:val="1"/>
      <w:numFmt w:val="lowerRoman"/>
      <w:lvlText w:val="(%1)"/>
      <w:lvlJc w:val="left"/>
      <w:pPr>
        <w:ind w:left="720" w:hanging="360"/>
      </w:pPr>
      <w:rPr>
        <w:rFonts w:ascii="Arial" w:eastAsia="Times New Roman" w:hAnsi="Arial" w:cs="Arial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0D226F"/>
    <w:multiLevelType w:val="hybridMultilevel"/>
    <w:tmpl w:val="7916DA42"/>
    <w:lvl w:ilvl="0" w:tplc="7F2E791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7F2E7914">
      <w:start w:val="1"/>
      <w:numFmt w:val="lowerRoman"/>
      <w:lvlText w:val="(%2)"/>
      <w:lvlJc w:val="left"/>
      <w:pPr>
        <w:ind w:left="1440" w:hanging="360"/>
      </w:pPr>
      <w:rPr>
        <w:rFonts w:hint="default"/>
        <w:b/>
      </w:rPr>
    </w:lvl>
    <w:lvl w:ilvl="2" w:tplc="7F2E7914">
      <w:start w:val="1"/>
      <w:numFmt w:val="lowerRoman"/>
      <w:lvlText w:val="(%3)"/>
      <w:lvlJc w:val="left"/>
      <w:pPr>
        <w:ind w:left="2160" w:hanging="180"/>
      </w:pPr>
      <w:rPr>
        <w:rFonts w:hint="default"/>
        <w:b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8E7ADE"/>
    <w:multiLevelType w:val="hybridMultilevel"/>
    <w:tmpl w:val="BF3AC386"/>
    <w:lvl w:ilvl="0" w:tplc="DB165A3E">
      <w:start w:val="1"/>
      <w:numFmt w:val="lowerRoman"/>
      <w:lvlText w:val="(%1)"/>
      <w:lvlJc w:val="left"/>
      <w:pPr>
        <w:ind w:left="720" w:hanging="360"/>
      </w:pPr>
      <w:rPr>
        <w:rFonts w:ascii="Arial" w:eastAsia="Times New Roman" w:hAnsi="Arial" w:cs="Arial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2430C46"/>
    <w:multiLevelType w:val="hybridMultilevel"/>
    <w:tmpl w:val="FF4A4E0C"/>
    <w:lvl w:ilvl="0" w:tplc="094AAB4E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94AAB4E">
      <w:start w:val="1"/>
      <w:numFmt w:val="lowerLetter"/>
      <w:lvlText w:val="%2."/>
      <w:lvlJc w:val="left"/>
      <w:pPr>
        <w:ind w:left="144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36171E4"/>
    <w:multiLevelType w:val="hybridMultilevel"/>
    <w:tmpl w:val="BBDC9A48"/>
    <w:lvl w:ilvl="0" w:tplc="1E3897FC">
      <w:start w:val="1"/>
      <w:numFmt w:val="upperLetter"/>
      <w:lvlText w:val="%1."/>
      <w:lvlJc w:val="left"/>
      <w:pPr>
        <w:ind w:left="1440" w:hanging="360"/>
      </w:pPr>
      <w:rPr>
        <w:rFonts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536D33FA"/>
    <w:multiLevelType w:val="hybridMultilevel"/>
    <w:tmpl w:val="247C20E6"/>
    <w:lvl w:ilvl="0" w:tplc="B810F1DA">
      <w:start w:val="1"/>
      <w:numFmt w:val="decimal"/>
      <w:lvlText w:val="%1)"/>
      <w:lvlJc w:val="left"/>
      <w:pPr>
        <w:ind w:left="180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58F1595E"/>
    <w:multiLevelType w:val="hybridMultilevel"/>
    <w:tmpl w:val="9404DEE2"/>
    <w:lvl w:ilvl="0" w:tplc="DB165A3E">
      <w:start w:val="1"/>
      <w:numFmt w:val="lowerRoman"/>
      <w:lvlText w:val="(%1)"/>
      <w:lvlJc w:val="left"/>
      <w:pPr>
        <w:ind w:left="2520" w:hanging="360"/>
      </w:pPr>
      <w:rPr>
        <w:rFonts w:ascii="Arial" w:eastAsia="Times New Roman" w:hAnsi="Arial" w:cs="Arial"/>
        <w:b/>
        <w:i w:val="0"/>
      </w:rPr>
    </w:lvl>
    <w:lvl w:ilvl="1" w:tplc="38464388">
      <w:start w:val="1"/>
      <w:numFmt w:val="lowerLetter"/>
      <w:lvlText w:val="%2."/>
      <w:lvlJc w:val="left"/>
      <w:pPr>
        <w:ind w:left="36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5" w15:restartNumberingAfterBreak="0">
    <w:nsid w:val="5CDA540F"/>
    <w:multiLevelType w:val="hybridMultilevel"/>
    <w:tmpl w:val="7F24113C"/>
    <w:lvl w:ilvl="0" w:tplc="86ACF84C">
      <w:start w:val="1"/>
      <w:numFmt w:val="lowerLetter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EFA70F0"/>
    <w:multiLevelType w:val="hybridMultilevel"/>
    <w:tmpl w:val="C97C12E2"/>
    <w:lvl w:ilvl="0" w:tplc="E1C26672">
      <w:start w:val="6"/>
      <w:numFmt w:val="lowerLetter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FB5676D"/>
    <w:multiLevelType w:val="hybridMultilevel"/>
    <w:tmpl w:val="F8AECD9E"/>
    <w:lvl w:ilvl="0" w:tplc="5C02205C">
      <w:start w:val="1"/>
      <w:numFmt w:val="lowerRoman"/>
      <w:lvlText w:val="(%1)"/>
      <w:lvlJc w:val="left"/>
      <w:pPr>
        <w:ind w:left="720" w:hanging="360"/>
      </w:pPr>
      <w:rPr>
        <w:rFonts w:ascii="Arial" w:eastAsia="Times New Roman" w:hAnsi="Arial" w:cs="Arial" w:hint="default"/>
        <w:b/>
        <w:i w:val="0"/>
      </w:rPr>
    </w:lvl>
    <w:lvl w:ilvl="1" w:tplc="579C5D68">
      <w:start w:val="1"/>
      <w:numFmt w:val="lowerLetter"/>
      <w:lvlText w:val="%2.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FF916B2"/>
    <w:multiLevelType w:val="hybridMultilevel"/>
    <w:tmpl w:val="C9147C52"/>
    <w:lvl w:ilvl="0" w:tplc="B810F1DA">
      <w:start w:val="1"/>
      <w:numFmt w:val="decimal"/>
      <w:lvlText w:val="%1)"/>
      <w:lvlJc w:val="left"/>
      <w:pPr>
        <w:ind w:left="1800" w:hanging="360"/>
      </w:pPr>
      <w:rPr>
        <w:rFonts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60237728"/>
    <w:multiLevelType w:val="hybridMultilevel"/>
    <w:tmpl w:val="A594C8F0"/>
    <w:lvl w:ilvl="0" w:tplc="DB165A3E">
      <w:start w:val="1"/>
      <w:numFmt w:val="lowerRoman"/>
      <w:lvlText w:val="(%1)"/>
      <w:lvlJc w:val="left"/>
      <w:pPr>
        <w:ind w:left="720" w:hanging="360"/>
      </w:pPr>
      <w:rPr>
        <w:rFonts w:ascii="Arial" w:eastAsia="Times New Roman" w:hAnsi="Arial" w:cs="Arial"/>
        <w:b/>
        <w:i w:val="0"/>
      </w:rPr>
    </w:lvl>
    <w:lvl w:ilvl="1" w:tplc="579C5D68">
      <w:start w:val="1"/>
      <w:numFmt w:val="lowerLetter"/>
      <w:lvlText w:val="%2.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20A5792"/>
    <w:multiLevelType w:val="hybridMultilevel"/>
    <w:tmpl w:val="6622B1FC"/>
    <w:lvl w:ilvl="0" w:tplc="5A06119A">
      <w:start w:val="6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62925642"/>
    <w:multiLevelType w:val="hybridMultilevel"/>
    <w:tmpl w:val="BBDC9A48"/>
    <w:lvl w:ilvl="0" w:tplc="1E3897FC">
      <w:start w:val="1"/>
      <w:numFmt w:val="upperLetter"/>
      <w:lvlText w:val="%1."/>
      <w:lvlJc w:val="left"/>
      <w:pPr>
        <w:ind w:left="1440" w:hanging="360"/>
      </w:pPr>
      <w:rPr>
        <w:rFonts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62A8033B"/>
    <w:multiLevelType w:val="hybridMultilevel"/>
    <w:tmpl w:val="539E563C"/>
    <w:lvl w:ilvl="0" w:tplc="BCC088E8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2B517B2"/>
    <w:multiLevelType w:val="hybridMultilevel"/>
    <w:tmpl w:val="57A4BBB2"/>
    <w:lvl w:ilvl="0" w:tplc="DB165A3E">
      <w:start w:val="1"/>
      <w:numFmt w:val="lowerRoman"/>
      <w:lvlText w:val="(%1)"/>
      <w:lvlJc w:val="left"/>
      <w:pPr>
        <w:ind w:left="720" w:hanging="360"/>
      </w:pPr>
      <w:rPr>
        <w:rFonts w:ascii="Arial" w:eastAsia="Times New Roman" w:hAnsi="Arial" w:cs="Arial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2C7422E"/>
    <w:multiLevelType w:val="hybridMultilevel"/>
    <w:tmpl w:val="BBDC9A48"/>
    <w:lvl w:ilvl="0" w:tplc="1E3897FC">
      <w:start w:val="1"/>
      <w:numFmt w:val="upperLetter"/>
      <w:lvlText w:val="%1."/>
      <w:lvlJc w:val="left"/>
      <w:pPr>
        <w:ind w:left="1440" w:hanging="360"/>
      </w:pPr>
      <w:rPr>
        <w:rFonts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62DD074E"/>
    <w:multiLevelType w:val="hybridMultilevel"/>
    <w:tmpl w:val="BBDC9A48"/>
    <w:lvl w:ilvl="0" w:tplc="1E3897FC">
      <w:start w:val="1"/>
      <w:numFmt w:val="upperLetter"/>
      <w:lvlText w:val="%1."/>
      <w:lvlJc w:val="left"/>
      <w:pPr>
        <w:ind w:left="1440" w:hanging="360"/>
      </w:pPr>
      <w:rPr>
        <w:rFonts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63A32B27"/>
    <w:multiLevelType w:val="hybridMultilevel"/>
    <w:tmpl w:val="B8A4DF76"/>
    <w:lvl w:ilvl="0" w:tplc="E7822CF2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6A220F3E">
      <w:start w:val="1"/>
      <w:numFmt w:val="lowerRoman"/>
      <w:lvlText w:val="(%2)"/>
      <w:lvlJc w:val="left"/>
      <w:pPr>
        <w:ind w:left="144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8944890"/>
    <w:multiLevelType w:val="hybridMultilevel"/>
    <w:tmpl w:val="15105A30"/>
    <w:lvl w:ilvl="0" w:tplc="DB165A3E">
      <w:start w:val="1"/>
      <w:numFmt w:val="lowerRoman"/>
      <w:lvlText w:val="(%1)"/>
      <w:lvlJc w:val="left"/>
      <w:pPr>
        <w:ind w:left="1800" w:hanging="360"/>
      </w:pPr>
      <w:rPr>
        <w:rFonts w:ascii="Arial" w:eastAsia="Times New Roman" w:hAnsi="Arial" w:cs="Arial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8" w15:restartNumberingAfterBreak="0">
    <w:nsid w:val="68E73787"/>
    <w:multiLevelType w:val="hybridMultilevel"/>
    <w:tmpl w:val="10143852"/>
    <w:lvl w:ilvl="0" w:tplc="266EAEE4">
      <w:start w:val="1"/>
      <w:numFmt w:val="lowerRoman"/>
      <w:lvlText w:val="(%1)"/>
      <w:lvlJc w:val="left"/>
      <w:pPr>
        <w:ind w:left="1440" w:hanging="360"/>
      </w:pPr>
      <w:rPr>
        <w:rFonts w:ascii="Arial" w:eastAsia="Times New Roman" w:hAnsi="Arial" w:hint="default"/>
        <w:b/>
        <w:i w:val="0"/>
        <w:color w:val="auto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F875900"/>
    <w:multiLevelType w:val="hybridMultilevel"/>
    <w:tmpl w:val="3008186E"/>
    <w:lvl w:ilvl="0" w:tplc="B8007F9A">
      <w:start w:val="8"/>
      <w:numFmt w:val="lowerLetter"/>
      <w:lvlText w:val="%1."/>
      <w:lvlJc w:val="left"/>
      <w:pPr>
        <w:ind w:left="1353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0386B87"/>
    <w:multiLevelType w:val="hybridMultilevel"/>
    <w:tmpl w:val="DB36315E"/>
    <w:lvl w:ilvl="0" w:tplc="0BA64790">
      <w:start w:val="1"/>
      <w:numFmt w:val="lowerRoman"/>
      <w:lvlText w:val="(%1)"/>
      <w:lvlJc w:val="left"/>
      <w:pPr>
        <w:ind w:left="1440" w:hanging="360"/>
      </w:pPr>
      <w:rPr>
        <w:rFonts w:ascii="Arial" w:eastAsia="Times New Roman" w:hAnsi="Arial" w:hint="default"/>
        <w:b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0C2178F"/>
    <w:multiLevelType w:val="hybridMultilevel"/>
    <w:tmpl w:val="50AE7B8E"/>
    <w:lvl w:ilvl="0" w:tplc="A876483C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36E0F0C"/>
    <w:multiLevelType w:val="hybridMultilevel"/>
    <w:tmpl w:val="DB36315E"/>
    <w:lvl w:ilvl="0" w:tplc="0BA64790">
      <w:start w:val="1"/>
      <w:numFmt w:val="lowerRoman"/>
      <w:lvlText w:val="(%1)"/>
      <w:lvlJc w:val="left"/>
      <w:pPr>
        <w:ind w:left="1440" w:hanging="360"/>
      </w:pPr>
      <w:rPr>
        <w:rFonts w:ascii="Arial" w:eastAsia="Times New Roman" w:hAnsi="Arial" w:hint="default"/>
        <w:b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6254684"/>
    <w:multiLevelType w:val="hybridMultilevel"/>
    <w:tmpl w:val="E620E0E2"/>
    <w:lvl w:ilvl="0" w:tplc="E7822CF2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9F50D4F"/>
    <w:multiLevelType w:val="hybridMultilevel"/>
    <w:tmpl w:val="62920ABE"/>
    <w:lvl w:ilvl="0" w:tplc="E7822CF2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A042F38"/>
    <w:multiLevelType w:val="hybridMultilevel"/>
    <w:tmpl w:val="71925126"/>
    <w:lvl w:ilvl="0" w:tplc="E7822CF2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F681615"/>
    <w:multiLevelType w:val="hybridMultilevel"/>
    <w:tmpl w:val="A8B0F4EA"/>
    <w:lvl w:ilvl="0" w:tplc="DB165A3E">
      <w:start w:val="1"/>
      <w:numFmt w:val="lowerRoman"/>
      <w:lvlText w:val="(%1)"/>
      <w:lvlJc w:val="left"/>
      <w:pPr>
        <w:ind w:left="2160" w:hanging="360"/>
      </w:pPr>
      <w:rPr>
        <w:rFonts w:ascii="Arial" w:eastAsia="Times New Roman" w:hAnsi="Arial" w:cs="Arial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7"/>
  </w:num>
  <w:num w:numId="2">
    <w:abstractNumId w:val="39"/>
  </w:num>
  <w:num w:numId="3">
    <w:abstractNumId w:val="55"/>
  </w:num>
  <w:num w:numId="4">
    <w:abstractNumId w:val="4"/>
  </w:num>
  <w:num w:numId="5">
    <w:abstractNumId w:val="53"/>
  </w:num>
  <w:num w:numId="6">
    <w:abstractNumId w:val="43"/>
  </w:num>
  <w:num w:numId="7">
    <w:abstractNumId w:val="46"/>
  </w:num>
  <w:num w:numId="8">
    <w:abstractNumId w:val="38"/>
  </w:num>
  <w:num w:numId="9">
    <w:abstractNumId w:val="30"/>
  </w:num>
  <w:num w:numId="10">
    <w:abstractNumId w:val="18"/>
  </w:num>
  <w:num w:numId="11">
    <w:abstractNumId w:val="20"/>
  </w:num>
  <w:num w:numId="12">
    <w:abstractNumId w:val="28"/>
  </w:num>
  <w:num w:numId="13">
    <w:abstractNumId w:val="17"/>
  </w:num>
  <w:num w:numId="14">
    <w:abstractNumId w:val="54"/>
  </w:num>
  <w:num w:numId="15">
    <w:abstractNumId w:val="31"/>
  </w:num>
  <w:num w:numId="16">
    <w:abstractNumId w:val="5"/>
  </w:num>
  <w:num w:numId="17">
    <w:abstractNumId w:val="13"/>
  </w:num>
  <w:num w:numId="18">
    <w:abstractNumId w:val="2"/>
  </w:num>
  <w:num w:numId="19">
    <w:abstractNumId w:val="29"/>
  </w:num>
  <w:num w:numId="2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3"/>
  </w:num>
  <w:num w:numId="22">
    <w:abstractNumId w:val="51"/>
  </w:num>
  <w:num w:numId="23">
    <w:abstractNumId w:val="0"/>
  </w:num>
  <w:num w:numId="24">
    <w:abstractNumId w:val="47"/>
  </w:num>
  <w:num w:numId="25">
    <w:abstractNumId w:val="14"/>
  </w:num>
  <w:num w:numId="26">
    <w:abstractNumId w:val="56"/>
  </w:num>
  <w:num w:numId="27">
    <w:abstractNumId w:val="34"/>
  </w:num>
  <w:num w:numId="28">
    <w:abstractNumId w:val="40"/>
  </w:num>
  <w:num w:numId="29">
    <w:abstractNumId w:val="36"/>
  </w:num>
  <w:num w:numId="30">
    <w:abstractNumId w:val="12"/>
  </w:num>
  <w:num w:numId="31">
    <w:abstractNumId w:val="37"/>
  </w:num>
  <w:num w:numId="32">
    <w:abstractNumId w:val="11"/>
  </w:num>
  <w:num w:numId="33">
    <w:abstractNumId w:val="35"/>
  </w:num>
  <w:num w:numId="34">
    <w:abstractNumId w:val="22"/>
  </w:num>
  <w:num w:numId="35">
    <w:abstractNumId w:val="15"/>
  </w:num>
  <w:num w:numId="36">
    <w:abstractNumId w:val="24"/>
  </w:num>
  <w:num w:numId="37">
    <w:abstractNumId w:val="26"/>
  </w:num>
  <w:num w:numId="38">
    <w:abstractNumId w:val="16"/>
  </w:num>
  <w:num w:numId="39">
    <w:abstractNumId w:val="44"/>
  </w:num>
  <w:num w:numId="40">
    <w:abstractNumId w:val="27"/>
  </w:num>
  <w:num w:numId="41">
    <w:abstractNumId w:val="6"/>
  </w:num>
  <w:num w:numId="42">
    <w:abstractNumId w:val="45"/>
  </w:num>
  <w:num w:numId="43">
    <w:abstractNumId w:val="41"/>
  </w:num>
  <w:num w:numId="44">
    <w:abstractNumId w:val="32"/>
  </w:num>
  <w:num w:numId="45">
    <w:abstractNumId w:val="50"/>
  </w:num>
  <w:num w:numId="46">
    <w:abstractNumId w:val="1"/>
  </w:num>
  <w:num w:numId="47">
    <w:abstractNumId w:val="3"/>
  </w:num>
  <w:num w:numId="48">
    <w:abstractNumId w:val="25"/>
  </w:num>
  <w:num w:numId="49">
    <w:abstractNumId w:val="8"/>
  </w:num>
  <w:num w:numId="50">
    <w:abstractNumId w:val="21"/>
  </w:num>
  <w:num w:numId="51">
    <w:abstractNumId w:val="49"/>
  </w:num>
  <w:num w:numId="52">
    <w:abstractNumId w:val="9"/>
  </w:num>
  <w:num w:numId="53">
    <w:abstractNumId w:val="10"/>
  </w:num>
  <w:num w:numId="54">
    <w:abstractNumId w:val="48"/>
  </w:num>
  <w:num w:numId="55">
    <w:abstractNumId w:val="42"/>
  </w:num>
  <w:num w:numId="56">
    <w:abstractNumId w:val="19"/>
  </w:num>
  <w:num w:numId="57">
    <w:abstractNumId w:val="52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4E8C"/>
    <w:rsid w:val="00033D68"/>
    <w:rsid w:val="0003787B"/>
    <w:rsid w:val="0004335E"/>
    <w:rsid w:val="00060ACE"/>
    <w:rsid w:val="000617A3"/>
    <w:rsid w:val="00064B21"/>
    <w:rsid w:val="00083830"/>
    <w:rsid w:val="00085446"/>
    <w:rsid w:val="000A36A0"/>
    <w:rsid w:val="000B0FEF"/>
    <w:rsid w:val="000C754A"/>
    <w:rsid w:val="000E722D"/>
    <w:rsid w:val="00104D8A"/>
    <w:rsid w:val="0010549A"/>
    <w:rsid w:val="00111503"/>
    <w:rsid w:val="00122A75"/>
    <w:rsid w:val="00135BAF"/>
    <w:rsid w:val="001644E2"/>
    <w:rsid w:val="001660A7"/>
    <w:rsid w:val="00167197"/>
    <w:rsid w:val="001858E7"/>
    <w:rsid w:val="0018759A"/>
    <w:rsid w:val="001A3020"/>
    <w:rsid w:val="001B1BE4"/>
    <w:rsid w:val="001C25B6"/>
    <w:rsid w:val="002052C3"/>
    <w:rsid w:val="00216982"/>
    <w:rsid w:val="002237A3"/>
    <w:rsid w:val="0024259A"/>
    <w:rsid w:val="0024735B"/>
    <w:rsid w:val="00272D8F"/>
    <w:rsid w:val="00273EB5"/>
    <w:rsid w:val="00274F65"/>
    <w:rsid w:val="002B614E"/>
    <w:rsid w:val="002D193A"/>
    <w:rsid w:val="002D345C"/>
    <w:rsid w:val="002F4512"/>
    <w:rsid w:val="00305E25"/>
    <w:rsid w:val="00312FCA"/>
    <w:rsid w:val="00327B62"/>
    <w:rsid w:val="00346127"/>
    <w:rsid w:val="00374E8C"/>
    <w:rsid w:val="0038255B"/>
    <w:rsid w:val="0038410A"/>
    <w:rsid w:val="003A458E"/>
    <w:rsid w:val="003C5A55"/>
    <w:rsid w:val="003C724E"/>
    <w:rsid w:val="003D11D6"/>
    <w:rsid w:val="00404D8A"/>
    <w:rsid w:val="00416715"/>
    <w:rsid w:val="00445FA7"/>
    <w:rsid w:val="00450BB3"/>
    <w:rsid w:val="0045633F"/>
    <w:rsid w:val="00482744"/>
    <w:rsid w:val="004A491B"/>
    <w:rsid w:val="004C5D31"/>
    <w:rsid w:val="004D3C4D"/>
    <w:rsid w:val="004D7362"/>
    <w:rsid w:val="00504498"/>
    <w:rsid w:val="0050612C"/>
    <w:rsid w:val="00512626"/>
    <w:rsid w:val="00512CB6"/>
    <w:rsid w:val="00515B2A"/>
    <w:rsid w:val="005219C3"/>
    <w:rsid w:val="005534D9"/>
    <w:rsid w:val="00556312"/>
    <w:rsid w:val="00557A86"/>
    <w:rsid w:val="00563149"/>
    <w:rsid w:val="005634F2"/>
    <w:rsid w:val="00576819"/>
    <w:rsid w:val="005A0CAB"/>
    <w:rsid w:val="005E0BB9"/>
    <w:rsid w:val="005E272E"/>
    <w:rsid w:val="005F7578"/>
    <w:rsid w:val="0060499F"/>
    <w:rsid w:val="006143A5"/>
    <w:rsid w:val="00640CCA"/>
    <w:rsid w:val="00641E1F"/>
    <w:rsid w:val="00665288"/>
    <w:rsid w:val="006738DF"/>
    <w:rsid w:val="00691A1E"/>
    <w:rsid w:val="006A34E9"/>
    <w:rsid w:val="006A6CC5"/>
    <w:rsid w:val="006B7B3B"/>
    <w:rsid w:val="006C7AFA"/>
    <w:rsid w:val="006D0DBC"/>
    <w:rsid w:val="00707990"/>
    <w:rsid w:val="007221DB"/>
    <w:rsid w:val="00767C25"/>
    <w:rsid w:val="0077686C"/>
    <w:rsid w:val="00792A9C"/>
    <w:rsid w:val="007A6AA5"/>
    <w:rsid w:val="007C458C"/>
    <w:rsid w:val="007C75E0"/>
    <w:rsid w:val="007E13EA"/>
    <w:rsid w:val="007E5E82"/>
    <w:rsid w:val="00802D2D"/>
    <w:rsid w:val="0082299E"/>
    <w:rsid w:val="00827C9C"/>
    <w:rsid w:val="00833584"/>
    <w:rsid w:val="00835503"/>
    <w:rsid w:val="00850A32"/>
    <w:rsid w:val="0085590C"/>
    <w:rsid w:val="00862F5F"/>
    <w:rsid w:val="00873C81"/>
    <w:rsid w:val="00881954"/>
    <w:rsid w:val="008832CF"/>
    <w:rsid w:val="0088333F"/>
    <w:rsid w:val="00883A23"/>
    <w:rsid w:val="00885A8A"/>
    <w:rsid w:val="00887D20"/>
    <w:rsid w:val="0089029D"/>
    <w:rsid w:val="008B4B9A"/>
    <w:rsid w:val="008B7BC9"/>
    <w:rsid w:val="008C225D"/>
    <w:rsid w:val="008D1297"/>
    <w:rsid w:val="008D12B7"/>
    <w:rsid w:val="008D7E29"/>
    <w:rsid w:val="008E1EF9"/>
    <w:rsid w:val="008E6BBF"/>
    <w:rsid w:val="008F1A68"/>
    <w:rsid w:val="008F316B"/>
    <w:rsid w:val="00903EC9"/>
    <w:rsid w:val="009165A5"/>
    <w:rsid w:val="00924DE4"/>
    <w:rsid w:val="00926F0A"/>
    <w:rsid w:val="00944502"/>
    <w:rsid w:val="0096246B"/>
    <w:rsid w:val="00962BAC"/>
    <w:rsid w:val="009649F1"/>
    <w:rsid w:val="00967E5E"/>
    <w:rsid w:val="00997BDF"/>
    <w:rsid w:val="009A26C4"/>
    <w:rsid w:val="009C161C"/>
    <w:rsid w:val="009C38C5"/>
    <w:rsid w:val="009E03D5"/>
    <w:rsid w:val="009F7703"/>
    <w:rsid w:val="00A00EDE"/>
    <w:rsid w:val="00A12BB1"/>
    <w:rsid w:val="00A16C87"/>
    <w:rsid w:val="00A25F2E"/>
    <w:rsid w:val="00A2791A"/>
    <w:rsid w:val="00A331DF"/>
    <w:rsid w:val="00A356F2"/>
    <w:rsid w:val="00A50F55"/>
    <w:rsid w:val="00A517F0"/>
    <w:rsid w:val="00A576C0"/>
    <w:rsid w:val="00A6143F"/>
    <w:rsid w:val="00A65056"/>
    <w:rsid w:val="00A8428B"/>
    <w:rsid w:val="00A85046"/>
    <w:rsid w:val="00A8739D"/>
    <w:rsid w:val="00A94ACC"/>
    <w:rsid w:val="00AA6021"/>
    <w:rsid w:val="00AB7196"/>
    <w:rsid w:val="00AC015E"/>
    <w:rsid w:val="00AC7155"/>
    <w:rsid w:val="00AD57F9"/>
    <w:rsid w:val="00B06EBE"/>
    <w:rsid w:val="00B1406A"/>
    <w:rsid w:val="00B217D4"/>
    <w:rsid w:val="00B43A87"/>
    <w:rsid w:val="00B471C1"/>
    <w:rsid w:val="00B74597"/>
    <w:rsid w:val="00B954AE"/>
    <w:rsid w:val="00BA42A1"/>
    <w:rsid w:val="00BB1D5A"/>
    <w:rsid w:val="00BC2241"/>
    <w:rsid w:val="00BC390A"/>
    <w:rsid w:val="00BE5AA5"/>
    <w:rsid w:val="00BE678E"/>
    <w:rsid w:val="00BF64F6"/>
    <w:rsid w:val="00C23D7F"/>
    <w:rsid w:val="00C36C80"/>
    <w:rsid w:val="00C64A5A"/>
    <w:rsid w:val="00C701A3"/>
    <w:rsid w:val="00C7130E"/>
    <w:rsid w:val="00C928EF"/>
    <w:rsid w:val="00CA1FDF"/>
    <w:rsid w:val="00CA5401"/>
    <w:rsid w:val="00CF7432"/>
    <w:rsid w:val="00D15510"/>
    <w:rsid w:val="00D16A2D"/>
    <w:rsid w:val="00D17AD9"/>
    <w:rsid w:val="00D348DF"/>
    <w:rsid w:val="00D41826"/>
    <w:rsid w:val="00D5280E"/>
    <w:rsid w:val="00D7366F"/>
    <w:rsid w:val="00D92D70"/>
    <w:rsid w:val="00D94155"/>
    <w:rsid w:val="00D95884"/>
    <w:rsid w:val="00DA571B"/>
    <w:rsid w:val="00DA57E8"/>
    <w:rsid w:val="00DA7112"/>
    <w:rsid w:val="00DE024D"/>
    <w:rsid w:val="00DE17BD"/>
    <w:rsid w:val="00E0529F"/>
    <w:rsid w:val="00E45098"/>
    <w:rsid w:val="00E507AD"/>
    <w:rsid w:val="00E575A2"/>
    <w:rsid w:val="00E64FA8"/>
    <w:rsid w:val="00E74A34"/>
    <w:rsid w:val="00EB5094"/>
    <w:rsid w:val="00ED5580"/>
    <w:rsid w:val="00EF3013"/>
    <w:rsid w:val="00F06A13"/>
    <w:rsid w:val="00F149E3"/>
    <w:rsid w:val="00F34CD0"/>
    <w:rsid w:val="00F3569F"/>
    <w:rsid w:val="00F42340"/>
    <w:rsid w:val="00F50FD7"/>
    <w:rsid w:val="00F81B96"/>
    <w:rsid w:val="00F85F8F"/>
    <w:rsid w:val="00F911F8"/>
    <w:rsid w:val="00FA3E88"/>
    <w:rsid w:val="00FB06B0"/>
    <w:rsid w:val="00FB30EC"/>
    <w:rsid w:val="00FE1586"/>
    <w:rsid w:val="00FF278D"/>
    <w:rsid w:val="00FF6270"/>
    <w:rsid w:val="00FF71C3"/>
    <w:rsid w:val="00FF7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08398F5E"/>
  <w15:docId w15:val="{EF8C4AD1-9433-48A1-88C4-A9BBF5FBBB58}"/>
  <w:documentProtection w:edit="forms" w:enforcement="true" w:cryptProviderType="rsaFull" w:cryptAlgorithmClass="hash" w:cryptAlgorithmType="typeAny" w:cryptAlgorithmSid="4" w:cryptSpinCount="50000" w:hash="O8XdhDV/nqAOWdh1NpGBwDKAGnw=" w:salt="9SxEnWCe5tYkpFyl1pu9jg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h-TH" w:eastAsia="th-TH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35503"/>
    <w:pPr>
      <w:spacing w:before="120" w:after="0" w:line="240" w:lineRule="auto"/>
      <w:jc w:val="both"/>
    </w:pPr>
    <w:rPr>
      <w:rFonts w:ascii="Arial" w:eastAsia="MS Mincho" w:hAnsi="Arial" w:cs="Arial"/>
      <w:color w:val="000000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4E8C"/>
    <w:pPr>
      <w:keepNext/>
      <w:spacing w:before="360" w:after="120"/>
      <w:ind w:left="720" w:hanging="720"/>
      <w:jc w:val="left"/>
      <w:outlineLvl w:val="0"/>
    </w:pPr>
    <w:rPr>
      <w:rFonts w:cs="Times New Roman"/>
      <w:b/>
      <w:bCs/>
      <w:i/>
      <w:iCs/>
      <w:color w:val="auto"/>
      <w:sz w:val="26"/>
      <w:szCs w:val="2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4E8C"/>
    <w:pPr>
      <w:spacing w:before="240" w:after="60"/>
      <w:outlineLvl w:val="8"/>
    </w:pPr>
    <w:rPr>
      <w:rFonts w:ascii="Cambria" w:eastAsia="Times New Roman" w:hAnsi="Cambria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4E8C"/>
    <w:rPr>
      <w:rFonts w:ascii="Arial" w:eastAsia="MS Mincho" w:hAnsi="Arial" w:cs="Times New Roman"/>
      <w:b/>
      <w:bCs/>
      <w:i/>
      <w:iCs/>
      <w:sz w:val="26"/>
      <w:szCs w:val="2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4E8C"/>
    <w:rPr>
      <w:rFonts w:ascii="Cambria" w:eastAsia="Times New Roman" w:hAnsi="Cambria" w:cs="Times New Roman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374E8C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374E8C"/>
    <w:rPr>
      <w:rFonts w:ascii="Arial" w:eastAsia="MS Mincho" w:hAnsi="Arial" w:cs="Arial"/>
      <w:color w:val="000000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374E8C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374E8C"/>
    <w:rPr>
      <w:rFonts w:ascii="Arial" w:eastAsia="MS Mincho" w:hAnsi="Arial" w:cs="Arial"/>
      <w:color w:val="000000"/>
      <w:sz w:val="20"/>
      <w:szCs w:val="20"/>
    </w:rPr>
  </w:style>
  <w:style w:type="table" w:styleId="TableGrid">
    <w:name w:val="Table Grid"/>
    <w:basedOn w:val="TableNormal"/>
    <w:uiPriority w:val="59"/>
    <w:rsid w:val="00374E8C"/>
    <w:pPr>
      <w:spacing w:after="0" w:line="240" w:lineRule="auto"/>
    </w:pPr>
    <w:rPr>
      <w:rFonts w:ascii="Arial" w:eastAsia="MS Mincho" w:hAnsi="Arial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iPriority w:val="99"/>
    <w:unhideWhenUsed/>
    <w:rsid w:val="00374E8C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374E8C"/>
    <w:pPr>
      <w:tabs>
        <w:tab w:val="left" w:pos="450"/>
        <w:tab w:val="right" w:leader="dot" w:pos="9017"/>
      </w:tabs>
      <w:spacing w:before="0"/>
    </w:pPr>
  </w:style>
  <w:style w:type="paragraph" w:styleId="ListParagraph">
    <w:name w:val="List Paragraph"/>
    <w:basedOn w:val="Normal"/>
    <w:link w:val="ListParagraphChar"/>
    <w:uiPriority w:val="99"/>
    <w:qFormat/>
    <w:rsid w:val="00374E8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74E8C"/>
    <w:pPr>
      <w:spacing w:before="0"/>
    </w:pPr>
    <w:rPr>
      <w:rFonts w:ascii="Tahoma" w:hAnsi="Tahoma" w:cs="Times New Roman"/>
      <w:color w:val="auto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4E8C"/>
    <w:rPr>
      <w:rFonts w:ascii="Tahoma" w:eastAsia="MS Mincho" w:hAnsi="Tahoma" w:cs="Times New Roman"/>
      <w:sz w:val="16"/>
      <w:szCs w:val="16"/>
    </w:rPr>
  </w:style>
  <w:style w:type="character" w:styleId="CommentReference">
    <w:name w:val="annotation reference"/>
    <w:uiPriority w:val="99"/>
    <w:unhideWhenUsed/>
    <w:rsid w:val="00374E8C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374E8C"/>
  </w:style>
  <w:style w:type="character" w:customStyle="1" w:styleId="CommentTextChar">
    <w:name w:val="Comment Text Char"/>
    <w:basedOn w:val="DefaultParagraphFont"/>
    <w:link w:val="CommentText"/>
    <w:rsid w:val="00374E8C"/>
    <w:rPr>
      <w:rFonts w:ascii="Arial" w:eastAsia="MS Mincho" w:hAnsi="Arial" w:cs="Arial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4E8C"/>
    <w:rPr>
      <w:rFonts w:cs="Times New Roman"/>
      <w:b/>
      <w:bCs/>
      <w:color w:val="auto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4E8C"/>
    <w:rPr>
      <w:rFonts w:ascii="Arial" w:eastAsia="MS Mincho" w:hAnsi="Arial" w:cs="Times New Roman"/>
      <w:b/>
      <w:bCs/>
      <w:color w:val="000000"/>
      <w:sz w:val="20"/>
      <w:szCs w:val="20"/>
    </w:rPr>
  </w:style>
  <w:style w:type="paragraph" w:styleId="Revision">
    <w:name w:val="Revision"/>
    <w:hidden/>
    <w:uiPriority w:val="99"/>
    <w:semiHidden/>
    <w:rsid w:val="00374E8C"/>
    <w:pPr>
      <w:spacing w:after="0" w:line="240" w:lineRule="auto"/>
    </w:pPr>
    <w:rPr>
      <w:rFonts w:ascii="Arial" w:eastAsia="MS Mincho" w:hAnsi="Arial" w:cs="Arial"/>
      <w:color w:val="000000"/>
      <w:sz w:val="20"/>
      <w:szCs w:val="20"/>
    </w:rPr>
  </w:style>
  <w:style w:type="character" w:styleId="Strong">
    <w:name w:val="Strong"/>
    <w:qFormat/>
    <w:rsid w:val="00374E8C"/>
    <w:rPr>
      <w:b/>
      <w:bCs/>
    </w:rPr>
  </w:style>
  <w:style w:type="paragraph" w:customStyle="1" w:styleId="normal1">
    <w:name w:val="normal1"/>
    <w:basedOn w:val="Normal"/>
    <w:rsid w:val="00374E8C"/>
    <w:pPr>
      <w:spacing w:before="0"/>
      <w:jc w:val="left"/>
    </w:pPr>
    <w:rPr>
      <w:rFonts w:ascii="Times New Roman" w:eastAsia="Times New Roman" w:hAnsi="Times New Roman" w:cs="Times New Roman"/>
      <w:color w:val="auto"/>
    </w:rPr>
  </w:style>
  <w:style w:type="character" w:styleId="FollowedHyperlink">
    <w:name w:val="FollowedHyperlink"/>
    <w:basedOn w:val="DefaultParagraphFont"/>
    <w:uiPriority w:val="99"/>
    <w:semiHidden/>
    <w:unhideWhenUsed/>
    <w:rsid w:val="00BE678E"/>
    <w:rPr>
      <w:color w:val="954F72" w:themeColor="followedHyperlink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8E1EF9"/>
    <w:rPr>
      <w:rFonts w:ascii="Arial" w:eastAsia="MS Mincho" w:hAnsi="Arial" w:cs="Arial"/>
      <w:color w:val="000000"/>
      <w:sz w:val="20"/>
      <w:szCs w:val="20"/>
    </w:rPr>
  </w:style>
  <w:style w:type="character" w:customStyle="1" w:styleId="LogoportMarkup">
    <w:name w:val="LogoportMarkup"/>
    <w:basedOn w:val="DefaultParagraphFont"/>
    <w:rsid w:val="004D7362"/>
    <w:rPr>
      <w:rFonts w:ascii="Courier New" w:hAnsi="Courier New" w:cs="Courier New"/>
      <w:b w:val="0"/>
      <w:i w:val="0"/>
      <w:color w:val="FF0000"/>
      <w:sz w:val="18"/>
      <w:szCs w:val="32"/>
    </w:rPr>
  </w:style>
  <w:style w:type="character" w:customStyle="1" w:styleId="LogoportDoNotTranslate">
    <w:name w:val="LogoportDoNotTranslate"/>
    <w:basedOn w:val="DefaultParagraphFont"/>
    <w:rsid w:val="004D7362"/>
    <w:rPr>
      <w:rFonts w:ascii="Courier New" w:hAnsi="Courier New" w:cs="Courier New"/>
      <w:b w:val="0"/>
      <w:i w:val="0"/>
      <w:color w:val="808080"/>
      <w:sz w:val="1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microsoft.com/japan/licensing/product.mspx" TargetMode="Externa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f408e84c90b463c88d98a4ca8fa4a76 xmlns="230e9df3-be65-4c73-a93b-d1236ebd677e">
      <Terms xmlns="http://schemas.microsoft.com/office/infopath/2007/PartnerControls">
        <TermInfo xmlns="http://schemas.microsoft.com/office/infopath/2007/PartnerControls">
          <TermName xmlns="http://schemas.microsoft.com/office/infopath/2007/PartnerControls">Worldwide Sales Group (LCA)</TermName>
          <TermId xmlns="http://schemas.microsoft.com/office/infopath/2007/PartnerControls">1d16be35-564c-4ad3-8159-4e0ae4cdba01</TermId>
        </TermInfo>
      </Terms>
    </pf408e84c90b463c88d98a4ca8fa4a76>
    <l46dced6587843b1901ea2be625ffc24 xmlns="230e9df3-be65-4c73-a93b-d1236ebd677e">
      <Terms xmlns="http://schemas.microsoft.com/office/infopath/2007/PartnerControls">
        <TermInfo xmlns="http://schemas.microsoft.com/office/infopath/2007/PartnerControls">
          <TermName xmlns="http://schemas.microsoft.com/office/infopath/2007/PartnerControls">Fiscal Year 2016</TermName>
          <TermId xmlns="http://schemas.microsoft.com/office/infopath/2007/PartnerControls">3a14a61a-c35e-44de-8ad5-95b6c87d55bf</TermId>
        </TermInfo>
      </Terms>
    </l46dced6587843b1901ea2be625ffc24>
    <TaxCatchAll xmlns="230e9df3-be65-4c73-a93b-d1236ebd677e">
      <Value>12</Value>
      <Value>17</Value>
      <Value>9</Value>
    </TaxCatchAll>
    <g1de90bf09944605b5395c5ca240cb6c xmlns="230e9df3-be65-4c73-a93b-d1236ebd677e">
      <Terms xmlns="http://schemas.microsoft.com/office/infopath/2007/PartnerControls">
        <TermInfo xmlns="http://schemas.microsoft.com/office/infopath/2007/PartnerControls">
          <TermName xmlns="http://schemas.microsoft.com/office/infopath/2007/PartnerControls">United States Area</TermName>
          <TermId xmlns="http://schemas.microsoft.com/office/infopath/2007/PartnerControls">ea9d7a8d-1619-469c-b0a4-ef1cd3c07355</TermId>
        </TermInfo>
      </Terms>
    </g1de90bf09944605b5395c5ca240cb6c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C52D865D0CB4498EEC55A294A1530F" ma:contentTypeVersion="12" ma:contentTypeDescription="Create a new document." ma:contentTypeScope="" ma:versionID="d5ee21ff0920ca6788ca0b60ae3711b2">
  <xsd:schema xmlns:xsd="http://www.w3.org/2001/XMLSchema" xmlns:xs="http://www.w3.org/2001/XMLSchema" xmlns:p="http://schemas.microsoft.com/office/2006/metadata/properties" xmlns:ns2="230e9df3-be65-4c73-a93b-d1236ebd677e" xmlns:ns3="cb40a819-c2c9-4d15-af53-9c1dd3c293b5" xmlns:ns4="c4794c23-d227-4666-a8d0-747ccd3f81a3" targetNamespace="http://schemas.microsoft.com/office/2006/metadata/properties" ma:root="true" ma:fieldsID="45390b6eb0b9cb8a9d836fc466698aa9" ns2:_="" ns3:_="" ns4:_="">
    <xsd:import namespace="230e9df3-be65-4c73-a93b-d1236ebd677e"/>
    <xsd:import namespace="cb40a819-c2c9-4d15-af53-9c1dd3c293b5"/>
    <xsd:import namespace="c4794c23-d227-4666-a8d0-747ccd3f81a3"/>
    <xsd:element name="properties">
      <xsd:complexType>
        <xsd:sequence>
          <xsd:element name="documentManagement">
            <xsd:complexType>
              <xsd:all>
                <xsd:element ref="ns2:l46dced6587843b1901ea2be625ffc24" minOccurs="0"/>
                <xsd:element ref="ns2:TaxCatchAll" minOccurs="0"/>
                <xsd:element ref="ns2:pf408e84c90b463c88d98a4ca8fa4a76" minOccurs="0"/>
                <xsd:element ref="ns2:g1de90bf09944605b5395c5ca240cb6c" minOccurs="0"/>
                <xsd:element ref="ns3:SharedWithUsers" minOccurs="0"/>
                <xsd:element ref="ns4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l46dced6587843b1901ea2be625ffc24" ma:index="3" nillable="true" ma:taxonomy="true" ma:internalName="l46dced6587843b1901ea2be625ffc24" ma:taxonomyFieldName="LCA_x0020_Fiscal_x0020_Year" ma:displayName="LCA Fiscal Year" ma:default="17;#Fiscal Year 2016|3a14a61a-c35e-44de-8ad5-95b6c87d55bf" ma:fieldId="{546dced6-5878-43b1-901e-a2be625ffc24}" ma:sspId="e385fb40-52d4-4fae-9c5b-3e8ff8a5878e" ma:termSetId="1ff17673-2e33-487a-8972-141f162c1e69" ma:anchorId="a9740f40-517f-4b4b-8cda-c688f2faebb0" ma:open="false" ma:isKeyword="false">
      <xsd:complexType>
        <xsd:sequence>
          <xsd:element ref="pc:Terms" minOccurs="0" maxOccurs="1"/>
        </xsd:sequence>
      </xsd:complexType>
    </xsd:element>
    <xsd:element name="TaxCatchAll" ma:index="4" nillable="true" ma:displayName="Taxonomy Catch All Column" ma:description="" ma:hidden="true" ma:list="{dbc7eb37-e4d9-4000-abdf-c1582428097b}" ma:internalName="TaxCatchAll" ma:showField="CatchAllData" ma:web="c4794c23-d227-4666-a8d0-747ccd3f81a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f408e84c90b463c88d98a4ca8fa4a76" ma:index="6" nillable="true" ma:taxonomy="true" ma:internalName="pf408e84c90b463c88d98a4ca8fa4a76" ma:taxonomyFieldName="lcapracticegroup" ma:displayName="LCA Practice Group" ma:readOnly="false" ma:default="12;#Worldwide Sales Group (LCA)|1d16be35-564c-4ad3-8159-4e0ae4cdba01" ma:fieldId="{9f408e84-c90b-463c-88d9-8a4ca8fa4a76}" ma:sspId="e385fb40-52d4-4fae-9c5b-3e8ff8a5878e" ma:termSetId="dad97345-7d30-4e98-8710-86d8b6a8f01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g1de90bf09944605b5395c5ca240cb6c" ma:index="8" nillable="true" ma:taxonomy="true" ma:internalName="g1de90bf09944605b5395c5ca240cb6c" ma:taxonomyFieldName="lcaregion" ma:displayName="LCA Region" ma:readOnly="false" ma:default="9;#United States Area|ea9d7a8d-1619-469c-b0a4-ef1cd3c07355" ma:fieldId="{01de90bf-0994-4605-b539-5c5ca240cb6c}" ma:sspId="e385fb40-52d4-4fae-9c5b-3e8ff8a5878e" ma:termSetId="0783b91d-a0ba-4884-b8b9-b67dfb338116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40a819-c2c9-4d15-af53-9c1dd3c293b5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794c23-d227-4666-a8d0-747ccd3f81a3" elementFormDefault="qualified">
    <xsd:import namespace="http://schemas.microsoft.com/office/2006/documentManagement/types"/>
    <xsd:import namespace="http://schemas.microsoft.com/office/infopath/2007/PartnerControls"/>
    <xsd:element name="SharedWithDetails" ma:index="16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4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4A4BC3-8127-483B-B482-C100D6AE7DA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022D7C7-95A5-476A-AA28-282AF4536F4B}">
  <ds:schemaRefs>
    <ds:schemaRef ds:uri="http://schemas.microsoft.com/office/2006/metadata/properties"/>
    <ds:schemaRef ds:uri="http://schemas.microsoft.com/office/infopath/2007/PartnerControls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70544BE0-CB79-499B-8677-08C723A34F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0e9df3-be65-4c73-a93b-d1236ebd677e"/>
    <ds:schemaRef ds:uri="cb40a819-c2c9-4d15-af53-9c1dd3c293b5"/>
    <ds:schemaRef ds:uri="c4794c23-d227-4666-a8d0-747ccd3f81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0E72F94-A174-436C-A103-944BBD7F0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10</Pages>
  <Words>4147</Words>
  <Characters>23641</Characters>
  <Application>Microsoft Office Word</Application>
  <DocSecurity>0</DocSecurity>
  <Lines>197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Loren Hall (LCA)</dc:creator>
  <cp:lastModifiedBy>Elizabeth Brownell</cp:lastModifiedBy>
  <cp:revision>181</cp:revision>
  <cp:lastPrinted>2016-07-20T12:56:00Z</cp:lastPrinted>
  <dcterms:created xsi:type="dcterms:W3CDTF">2015-05-15T21:45:00Z</dcterms:created>
  <dcterms:modified xsi:type="dcterms:W3CDTF">2019-10-01T21:25:00Z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0x01010075C52D865D0CB4498EEC55A294A1530F</vt:lpwstr>
  </property>
  <property fmtid="{D5CDD505-2E9C-101B-9397-08002B2CF9AE}" pid="3" name="_docset_NoMedatataSyncRequired">
    <vt:lpwstr>False</vt:lpwstr>
  </property>
  <property fmtid="{D5CDD505-2E9C-101B-9397-08002B2CF9AE}" pid="4" name="LCA Fiscal Year">
    <vt:lpwstr>17;#Fiscal Year 2016|3a14a61a-c35e-44de-8ad5-95b6c87d55bf</vt:lpwstr>
  </property>
  <property fmtid="{D5CDD505-2E9C-101B-9397-08002B2CF9AE}" pid="5" name="lcaregion">
    <vt:lpwstr>9;#United States Area|ea9d7a8d-1619-469c-b0a4-ef1cd3c07355</vt:lpwstr>
  </property>
  <property fmtid="{D5CDD505-2E9C-101B-9397-08002B2CF9AE}" pid="6" name="lcapracticegroup">
    <vt:lpwstr>12;#Worldwide Sales Group (LCA)|1d16be35-564c-4ad3-8159-4e0ae4cdba01</vt:lpwstr>
  </property>
</Properties>
</file>