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header3.xml" ContentType="application/vnd.openxmlformats-officedocument.wordprocessingml.header+xml"/>
  <Override PartName="/word/footer2.xml" ContentType="application/vnd.openxmlformats-officedocument.wordprocessingml.footer+xml"/>
  <Override PartName="/word/header4.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F2E7F" w:rsidRPr="00483B32" w:rsidRDefault="00DF2E7F" w:rsidP="00DF2E7F">
      <w:pPr>
        <w:pStyle w:val="DocSubtitle"/>
      </w:pPr>
      <w:bookmarkStart w:id="0" w:name="_GoBack"/>
      <w:bookmarkEnd w:id="0"/>
      <w:r>
        <w:rPr>
          <w:noProof/>
          <w:lang w:val="en-US" w:eastAsia="en-US" w:bidi="ar-SA"/>
        </w:rPr>
        <w:drawing>
          <wp:anchor distT="0" distB="0" distL="114300" distR="114300" simplePos="0" relativeHeight="251660288" behindDoc="1" locked="0" layoutInCell="0" allowOverlap="1" wp14:anchorId="77017D50" wp14:editId="0F316BD0">
            <wp:simplePos x="0" y="0"/>
            <wp:positionH relativeFrom="page">
              <wp:posOffset>67945</wp:posOffset>
            </wp:positionH>
            <wp:positionV relativeFrom="page">
              <wp:posOffset>0</wp:posOffset>
            </wp:positionV>
            <wp:extent cx="7771130" cy="10056495"/>
            <wp:effectExtent l="0" t="0" r="1270" b="1905"/>
            <wp:wrapNone/>
            <wp:docPr id="1" name="Picture 0" descr="LongExt_cover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ngExt_cover1.png"/>
                    <pic:cNvPicPr/>
                  </pic:nvPicPr>
                  <pic:blipFill>
                    <a:blip r:embed="rId7"/>
                    <a:stretch>
                      <a:fillRect/>
                    </a:stretch>
                  </pic:blipFill>
                  <pic:spPr>
                    <a:xfrm>
                      <a:off x="0" y="0"/>
                      <a:ext cx="7771130" cy="10056495"/>
                    </a:xfrm>
                    <a:prstGeom prst="rect">
                      <a:avLst/>
                    </a:prstGeom>
                  </pic:spPr>
                </pic:pic>
              </a:graphicData>
            </a:graphic>
          </wp:anchor>
        </w:drawing>
      </w:r>
      <w:r>
        <w:t xml:space="preserve">Multilicenční programy společnosti Microsoft </w:t>
      </w:r>
    </w:p>
    <w:p w:rsidR="00DF2E7F" w:rsidRPr="00483B32" w:rsidRDefault="00DF2E7F" w:rsidP="00DF2E7F">
      <w:pPr>
        <w:pStyle w:val="DocTitle"/>
      </w:pPr>
      <w:r>
        <w:t>Příručka k licencování smlouvy Microsoft Products and Services Agreement</w:t>
      </w:r>
    </w:p>
    <w:p w:rsidR="00DF2E7F" w:rsidRPr="006A543F" w:rsidRDefault="00DF2E7F" w:rsidP="00DF2E7F">
      <w:pPr>
        <w:pStyle w:val="DocTitle"/>
        <w:spacing w:line="240" w:lineRule="auto"/>
        <w:ind w:left="2434"/>
        <w:rPr>
          <w:sz w:val="6"/>
          <w:szCs w:val="6"/>
        </w:rPr>
      </w:pPr>
    </w:p>
    <w:p w:rsidR="00DF2E7F" w:rsidRPr="00483B32" w:rsidRDefault="00DF2E7F" w:rsidP="00DF2E7F">
      <w:pPr>
        <w:pStyle w:val="DocTitle"/>
        <w:spacing w:line="240" w:lineRule="auto"/>
        <w:ind w:left="2434"/>
      </w:pPr>
      <w:r>
        <w:t>srpen 2015</w:t>
      </w:r>
    </w:p>
    <w:p w:rsidR="00DF2E7F" w:rsidRPr="00483B32" w:rsidRDefault="00DF2E7F" w:rsidP="00DF2E7F"/>
    <w:p w:rsidR="00DF2E7F" w:rsidRPr="00483B32" w:rsidRDefault="00DF2E7F" w:rsidP="00DF2E7F"/>
    <w:p w:rsidR="00DF2E7F" w:rsidRPr="00483B32" w:rsidRDefault="00DF2E7F" w:rsidP="00DF2E7F">
      <w:r>
        <w:rPr>
          <w:noProof/>
          <w:lang w:val="en-US" w:eastAsia="en-US" w:bidi="ar-SA"/>
        </w:rPr>
        <w:drawing>
          <wp:anchor distT="0" distB="0" distL="114300" distR="114300" simplePos="0" relativeHeight="251659264" behindDoc="1" locked="1" layoutInCell="0" allowOverlap="1" wp14:anchorId="7601C6E0" wp14:editId="3D37880B">
            <wp:simplePos x="0" y="0"/>
            <wp:positionH relativeFrom="page">
              <wp:posOffset>5080</wp:posOffset>
            </wp:positionH>
            <wp:positionV relativeFrom="page">
              <wp:posOffset>0</wp:posOffset>
            </wp:positionV>
            <wp:extent cx="7771130" cy="10056495"/>
            <wp:effectExtent l="19050" t="0" r="1270" b="0"/>
            <wp:wrapNone/>
            <wp:docPr id="26" name="Picture 0" descr="LongExt_cover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ngExt_cover1.png"/>
                    <pic:cNvPicPr/>
                  </pic:nvPicPr>
                  <pic:blipFill>
                    <a:blip r:embed="rId7"/>
                    <a:stretch>
                      <a:fillRect/>
                    </a:stretch>
                  </pic:blipFill>
                  <pic:spPr>
                    <a:xfrm>
                      <a:off x="0" y="0"/>
                      <a:ext cx="7771130" cy="10056495"/>
                    </a:xfrm>
                    <a:prstGeom prst="rect">
                      <a:avLst/>
                    </a:prstGeom>
                  </pic:spPr>
                </pic:pic>
              </a:graphicData>
            </a:graphic>
          </wp:anchor>
        </w:drawing>
      </w:r>
    </w:p>
    <w:p w:rsidR="00DF2E7F" w:rsidRPr="00483B32" w:rsidRDefault="00DF2E7F" w:rsidP="00DF2E7F">
      <w:pPr>
        <w:pStyle w:val="DocTitlewhite"/>
      </w:pPr>
    </w:p>
    <w:p w:rsidR="00DF2E7F" w:rsidRPr="00483B32" w:rsidRDefault="00DF2E7F" w:rsidP="00DF2E7F"/>
    <w:p w:rsidR="00DF2E7F" w:rsidRPr="00483B32" w:rsidRDefault="00DF2E7F" w:rsidP="00DF2E7F"/>
    <w:p w:rsidR="00DF2E7F" w:rsidRPr="00483B32" w:rsidRDefault="00DF2E7F" w:rsidP="00DF2E7F"/>
    <w:p w:rsidR="00DF2E7F" w:rsidRPr="00483B32" w:rsidRDefault="00DF2E7F" w:rsidP="00DF2E7F">
      <w:pPr>
        <w:pStyle w:val="DocTitle"/>
      </w:pPr>
    </w:p>
    <w:p w:rsidR="00DF2E7F" w:rsidRPr="00483B32" w:rsidRDefault="00DF2E7F" w:rsidP="00DF2E7F"/>
    <w:p w:rsidR="00DF2E7F" w:rsidRDefault="00DF2E7F" w:rsidP="00DF2E7F">
      <w:pPr>
        <w:pStyle w:val="BodyText"/>
        <w:sectPr w:rsidR="00DF2E7F" w:rsidSect="00175A86">
          <w:headerReference w:type="default" r:id="rId8"/>
          <w:footerReference w:type="default" r:id="rId9"/>
          <w:headerReference w:type="first" r:id="rId10"/>
          <w:pgSz w:w="12240" w:h="15840" w:code="1"/>
          <w:pgMar w:top="1800" w:right="720" w:bottom="1440" w:left="720" w:header="720" w:footer="360" w:gutter="0"/>
          <w:cols w:space="720"/>
          <w:docGrid w:linePitch="360"/>
        </w:sectPr>
      </w:pPr>
    </w:p>
    <w:p w:rsidR="00DF2E7F" w:rsidRPr="00483B32" w:rsidRDefault="00DF2E7F" w:rsidP="00DF2E7F">
      <w:pPr>
        <w:pStyle w:val="BodyText"/>
      </w:pPr>
      <w:r>
        <w:rPr>
          <w:rFonts w:ascii="Segoe UI Light" w:hAnsi="Segoe UI Light"/>
          <w:color w:val="68217A"/>
          <w:sz w:val="36"/>
        </w:rPr>
        <w:lastRenderedPageBreak/>
        <w:t>Obsah</w:t>
      </w:r>
    </w:p>
    <w:p w:rsidR="00DF2E7F" w:rsidRDefault="00DF2E7F" w:rsidP="00DF2E7F">
      <w:pPr>
        <w:pStyle w:val="TOC1"/>
        <w:rPr>
          <w:rFonts w:asciiTheme="minorHAnsi" w:eastAsiaTheme="minorEastAsia" w:hAnsiTheme="minorHAnsi"/>
          <w:color w:val="auto"/>
          <w:sz w:val="22"/>
          <w:lang w:val="en-US" w:eastAsia="en-US" w:bidi="ar-SA"/>
        </w:rPr>
      </w:pPr>
      <w:r>
        <w:fldChar w:fldCharType="begin"/>
      </w:r>
      <w:r>
        <w:instrText xml:space="preserve"> TOC \o "1-2" \h \z \u </w:instrText>
      </w:r>
      <w:r>
        <w:fldChar w:fldCharType="separate"/>
      </w:r>
      <w:hyperlink w:anchor="_Toc428180910" w:history="1">
        <w:r w:rsidRPr="00CE0603">
          <w:rPr>
            <w:rStyle w:val="Hyperlink"/>
          </w:rPr>
          <w:t>Účel dokumentu a zdroje</w:t>
        </w:r>
        <w:r>
          <w:rPr>
            <w:webHidden/>
          </w:rPr>
          <w:tab/>
        </w:r>
        <w:r>
          <w:rPr>
            <w:webHidden/>
          </w:rPr>
          <w:fldChar w:fldCharType="begin"/>
        </w:r>
        <w:r>
          <w:rPr>
            <w:webHidden/>
          </w:rPr>
          <w:instrText xml:space="preserve"> PAGEREF _Toc428180910 \h </w:instrText>
        </w:r>
        <w:r>
          <w:rPr>
            <w:webHidden/>
          </w:rPr>
        </w:r>
        <w:r>
          <w:rPr>
            <w:webHidden/>
          </w:rPr>
          <w:fldChar w:fldCharType="separate"/>
        </w:r>
        <w:r>
          <w:rPr>
            <w:webHidden/>
          </w:rPr>
          <w:t>2</w:t>
        </w:r>
        <w:r>
          <w:rPr>
            <w:webHidden/>
          </w:rPr>
          <w:fldChar w:fldCharType="end"/>
        </w:r>
      </w:hyperlink>
    </w:p>
    <w:p w:rsidR="00DF2E7F" w:rsidRDefault="00DF2E7F" w:rsidP="00DF2E7F">
      <w:pPr>
        <w:pStyle w:val="TOC1"/>
        <w:rPr>
          <w:rFonts w:asciiTheme="minorHAnsi" w:eastAsiaTheme="minorEastAsia" w:hAnsiTheme="minorHAnsi"/>
          <w:color w:val="auto"/>
          <w:sz w:val="22"/>
          <w:lang w:val="en-US" w:eastAsia="en-US" w:bidi="ar-SA"/>
        </w:rPr>
      </w:pPr>
      <w:hyperlink w:anchor="_Toc428180911" w:history="1">
        <w:r w:rsidRPr="00CE0603">
          <w:rPr>
            <w:rStyle w:val="Hyperlink"/>
          </w:rPr>
          <w:t>Oddíl 1</w:t>
        </w:r>
        <w:r>
          <w:rPr>
            <w:webHidden/>
          </w:rPr>
          <w:tab/>
        </w:r>
        <w:r>
          <w:rPr>
            <w:webHidden/>
          </w:rPr>
          <w:fldChar w:fldCharType="begin"/>
        </w:r>
        <w:r>
          <w:rPr>
            <w:webHidden/>
          </w:rPr>
          <w:instrText xml:space="preserve"> PAGEREF _Toc428180911 \h </w:instrText>
        </w:r>
        <w:r>
          <w:rPr>
            <w:webHidden/>
          </w:rPr>
        </w:r>
        <w:r>
          <w:rPr>
            <w:webHidden/>
          </w:rPr>
          <w:fldChar w:fldCharType="separate"/>
        </w:r>
        <w:r>
          <w:rPr>
            <w:webHidden/>
          </w:rPr>
          <w:t>3</w:t>
        </w:r>
        <w:r>
          <w:rPr>
            <w:webHidden/>
          </w:rPr>
          <w:fldChar w:fldCharType="end"/>
        </w:r>
      </w:hyperlink>
    </w:p>
    <w:p w:rsidR="00DF2E7F" w:rsidRDefault="00DF2E7F" w:rsidP="00DF2E7F">
      <w:pPr>
        <w:pStyle w:val="TOC1"/>
        <w:rPr>
          <w:rFonts w:asciiTheme="minorHAnsi" w:eastAsiaTheme="minorEastAsia" w:hAnsiTheme="minorHAnsi"/>
          <w:color w:val="auto"/>
          <w:sz w:val="22"/>
          <w:lang w:val="en-US" w:eastAsia="en-US" w:bidi="ar-SA"/>
        </w:rPr>
      </w:pPr>
      <w:hyperlink w:anchor="_Toc428180912" w:history="1">
        <w:r w:rsidRPr="00CE0603">
          <w:rPr>
            <w:rStyle w:val="Hyperlink"/>
            <w:rFonts w:asciiTheme="majorHAnsi" w:eastAsiaTheme="majorEastAsia" w:hAnsiTheme="majorHAnsi" w:cstheme="majorBidi"/>
            <w:bCs/>
          </w:rPr>
          <w:t>Jak funguje smlouva Microsoft Products and Services Agreement</w:t>
        </w:r>
        <w:r>
          <w:rPr>
            <w:webHidden/>
          </w:rPr>
          <w:tab/>
        </w:r>
        <w:r>
          <w:rPr>
            <w:webHidden/>
          </w:rPr>
          <w:fldChar w:fldCharType="begin"/>
        </w:r>
        <w:r>
          <w:rPr>
            <w:webHidden/>
          </w:rPr>
          <w:instrText xml:space="preserve"> PAGEREF _Toc428180912 \h </w:instrText>
        </w:r>
        <w:r>
          <w:rPr>
            <w:webHidden/>
          </w:rPr>
        </w:r>
        <w:r>
          <w:rPr>
            <w:webHidden/>
          </w:rPr>
          <w:fldChar w:fldCharType="separate"/>
        </w:r>
        <w:r>
          <w:rPr>
            <w:webHidden/>
          </w:rPr>
          <w:t>3</w:t>
        </w:r>
        <w:r>
          <w:rPr>
            <w:webHidden/>
          </w:rPr>
          <w:fldChar w:fldCharType="end"/>
        </w:r>
      </w:hyperlink>
    </w:p>
    <w:p w:rsidR="00DF2E7F" w:rsidRDefault="00DF2E7F" w:rsidP="00DF2E7F">
      <w:pPr>
        <w:pStyle w:val="TOC1"/>
        <w:rPr>
          <w:rFonts w:asciiTheme="minorHAnsi" w:eastAsiaTheme="minorEastAsia" w:hAnsiTheme="minorHAnsi"/>
          <w:color w:val="auto"/>
          <w:sz w:val="22"/>
          <w:lang w:val="en-US" w:eastAsia="en-US" w:bidi="ar-SA"/>
        </w:rPr>
      </w:pPr>
      <w:hyperlink w:anchor="_Toc428180913" w:history="1">
        <w:r w:rsidRPr="00CE0603">
          <w:rPr>
            <w:rStyle w:val="Hyperlink"/>
            <w:rFonts w:asciiTheme="majorHAnsi" w:eastAsiaTheme="majorEastAsia" w:hAnsiTheme="majorHAnsi" w:cstheme="majorBidi"/>
            <w:bCs/>
          </w:rPr>
          <w:t>Struktura smlouvy</w:t>
        </w:r>
        <w:r>
          <w:rPr>
            <w:webHidden/>
          </w:rPr>
          <w:tab/>
        </w:r>
        <w:r>
          <w:rPr>
            <w:webHidden/>
          </w:rPr>
          <w:fldChar w:fldCharType="begin"/>
        </w:r>
        <w:r>
          <w:rPr>
            <w:webHidden/>
          </w:rPr>
          <w:instrText xml:space="preserve"> PAGEREF _Toc428180913 \h </w:instrText>
        </w:r>
        <w:r>
          <w:rPr>
            <w:webHidden/>
          </w:rPr>
        </w:r>
        <w:r>
          <w:rPr>
            <w:webHidden/>
          </w:rPr>
          <w:fldChar w:fldCharType="separate"/>
        </w:r>
        <w:r>
          <w:rPr>
            <w:webHidden/>
          </w:rPr>
          <w:t>4</w:t>
        </w:r>
        <w:r>
          <w:rPr>
            <w:webHidden/>
          </w:rPr>
          <w:fldChar w:fldCharType="end"/>
        </w:r>
      </w:hyperlink>
    </w:p>
    <w:p w:rsidR="00DF2E7F" w:rsidRDefault="00DF2E7F" w:rsidP="00DF2E7F">
      <w:pPr>
        <w:pStyle w:val="TOC1"/>
        <w:rPr>
          <w:rFonts w:asciiTheme="minorHAnsi" w:eastAsiaTheme="minorEastAsia" w:hAnsiTheme="minorHAnsi"/>
          <w:color w:val="auto"/>
          <w:sz w:val="22"/>
          <w:lang w:val="en-US" w:eastAsia="en-US" w:bidi="ar-SA"/>
        </w:rPr>
      </w:pPr>
      <w:hyperlink w:anchor="_Toc428180914" w:history="1">
        <w:r w:rsidRPr="00CE0603">
          <w:rPr>
            <w:rStyle w:val="Hyperlink"/>
            <w:rFonts w:asciiTheme="majorHAnsi" w:eastAsiaTheme="majorEastAsia" w:hAnsiTheme="majorHAnsi" w:cstheme="majorBidi"/>
            <w:bCs/>
          </w:rPr>
          <w:t>Transakční nákupy</w:t>
        </w:r>
        <w:r>
          <w:rPr>
            <w:webHidden/>
          </w:rPr>
          <w:tab/>
        </w:r>
        <w:r>
          <w:rPr>
            <w:webHidden/>
          </w:rPr>
          <w:fldChar w:fldCharType="begin"/>
        </w:r>
        <w:r>
          <w:rPr>
            <w:webHidden/>
          </w:rPr>
          <w:instrText xml:space="preserve"> PAGEREF _Toc428180914 \h </w:instrText>
        </w:r>
        <w:r>
          <w:rPr>
            <w:webHidden/>
          </w:rPr>
        </w:r>
        <w:r>
          <w:rPr>
            <w:webHidden/>
          </w:rPr>
          <w:fldChar w:fldCharType="separate"/>
        </w:r>
        <w:r>
          <w:rPr>
            <w:webHidden/>
          </w:rPr>
          <w:t>4</w:t>
        </w:r>
        <w:r>
          <w:rPr>
            <w:webHidden/>
          </w:rPr>
          <w:fldChar w:fldCharType="end"/>
        </w:r>
      </w:hyperlink>
    </w:p>
    <w:p w:rsidR="00DF2E7F" w:rsidRDefault="00DF2E7F" w:rsidP="00DF2E7F">
      <w:pPr>
        <w:pStyle w:val="TOC1"/>
        <w:rPr>
          <w:rFonts w:asciiTheme="minorHAnsi" w:eastAsiaTheme="minorEastAsia" w:hAnsiTheme="minorHAnsi"/>
          <w:color w:val="auto"/>
          <w:sz w:val="22"/>
          <w:lang w:val="en-US" w:eastAsia="en-US" w:bidi="ar-SA"/>
        </w:rPr>
      </w:pPr>
      <w:hyperlink w:anchor="_Toc428180915" w:history="1">
        <w:r w:rsidRPr="00CE0603">
          <w:rPr>
            <w:rStyle w:val="Hyperlink"/>
          </w:rPr>
          <w:t>Oddíl 2</w:t>
        </w:r>
        <w:r>
          <w:rPr>
            <w:webHidden/>
          </w:rPr>
          <w:tab/>
        </w:r>
        <w:r>
          <w:rPr>
            <w:webHidden/>
          </w:rPr>
          <w:fldChar w:fldCharType="begin"/>
        </w:r>
        <w:r>
          <w:rPr>
            <w:webHidden/>
          </w:rPr>
          <w:instrText xml:space="preserve"> PAGEREF _Toc428180915 \h </w:instrText>
        </w:r>
        <w:r>
          <w:rPr>
            <w:webHidden/>
          </w:rPr>
        </w:r>
        <w:r>
          <w:rPr>
            <w:webHidden/>
          </w:rPr>
          <w:fldChar w:fldCharType="separate"/>
        </w:r>
        <w:r>
          <w:rPr>
            <w:webHidden/>
          </w:rPr>
          <w:t>6</w:t>
        </w:r>
        <w:r>
          <w:rPr>
            <w:webHidden/>
          </w:rPr>
          <w:fldChar w:fldCharType="end"/>
        </w:r>
      </w:hyperlink>
    </w:p>
    <w:p w:rsidR="00DF2E7F" w:rsidRDefault="00DF2E7F" w:rsidP="00DF2E7F">
      <w:pPr>
        <w:pStyle w:val="TOC1"/>
        <w:rPr>
          <w:rFonts w:asciiTheme="minorHAnsi" w:eastAsiaTheme="minorEastAsia" w:hAnsiTheme="minorHAnsi"/>
          <w:color w:val="auto"/>
          <w:sz w:val="22"/>
          <w:lang w:val="en-US" w:eastAsia="en-US" w:bidi="ar-SA"/>
        </w:rPr>
      </w:pPr>
      <w:hyperlink w:anchor="_Toc428180916" w:history="1">
        <w:r w:rsidRPr="00CE0603">
          <w:rPr>
            <w:rStyle w:val="Hyperlink"/>
            <w:rFonts w:asciiTheme="majorHAnsi" w:eastAsiaTheme="majorEastAsia" w:hAnsiTheme="majorHAnsi" w:cstheme="majorBidi"/>
            <w:bCs/>
          </w:rPr>
          <w:t>Výhody služeb online</w:t>
        </w:r>
        <w:r>
          <w:rPr>
            <w:webHidden/>
          </w:rPr>
          <w:tab/>
        </w:r>
        <w:r>
          <w:rPr>
            <w:webHidden/>
          </w:rPr>
          <w:fldChar w:fldCharType="begin"/>
        </w:r>
        <w:r>
          <w:rPr>
            <w:webHidden/>
          </w:rPr>
          <w:instrText xml:space="preserve"> PAGEREF _Toc428180916 \h </w:instrText>
        </w:r>
        <w:r>
          <w:rPr>
            <w:webHidden/>
          </w:rPr>
        </w:r>
        <w:r>
          <w:rPr>
            <w:webHidden/>
          </w:rPr>
          <w:fldChar w:fldCharType="separate"/>
        </w:r>
        <w:r>
          <w:rPr>
            <w:webHidden/>
          </w:rPr>
          <w:t>6</w:t>
        </w:r>
        <w:r>
          <w:rPr>
            <w:webHidden/>
          </w:rPr>
          <w:fldChar w:fldCharType="end"/>
        </w:r>
      </w:hyperlink>
    </w:p>
    <w:p w:rsidR="00DF2E7F" w:rsidRDefault="00DF2E7F" w:rsidP="00DF2E7F">
      <w:pPr>
        <w:pStyle w:val="TOC1"/>
        <w:rPr>
          <w:rFonts w:asciiTheme="minorHAnsi" w:eastAsiaTheme="minorEastAsia" w:hAnsiTheme="minorHAnsi"/>
          <w:color w:val="auto"/>
          <w:sz w:val="22"/>
          <w:lang w:val="en-US" w:eastAsia="en-US" w:bidi="ar-SA"/>
        </w:rPr>
      </w:pPr>
      <w:hyperlink w:anchor="_Toc428180917" w:history="1">
        <w:r w:rsidRPr="00CE0603">
          <w:rPr>
            <w:rStyle w:val="Hyperlink"/>
            <w:rFonts w:asciiTheme="majorHAnsi" w:eastAsiaTheme="majorEastAsia" w:hAnsiTheme="majorHAnsi" w:cstheme="majorBidi"/>
            <w:bCs/>
          </w:rPr>
          <w:t>Software Assurance a výhody</w:t>
        </w:r>
        <w:r>
          <w:rPr>
            <w:webHidden/>
          </w:rPr>
          <w:tab/>
        </w:r>
        <w:r>
          <w:rPr>
            <w:webHidden/>
          </w:rPr>
          <w:fldChar w:fldCharType="begin"/>
        </w:r>
        <w:r>
          <w:rPr>
            <w:webHidden/>
          </w:rPr>
          <w:instrText xml:space="preserve"> PAGEREF _Toc428180917 \h </w:instrText>
        </w:r>
        <w:r>
          <w:rPr>
            <w:webHidden/>
          </w:rPr>
        </w:r>
        <w:r>
          <w:rPr>
            <w:webHidden/>
          </w:rPr>
          <w:fldChar w:fldCharType="separate"/>
        </w:r>
        <w:r>
          <w:rPr>
            <w:webHidden/>
          </w:rPr>
          <w:t>6</w:t>
        </w:r>
        <w:r>
          <w:rPr>
            <w:webHidden/>
          </w:rPr>
          <w:fldChar w:fldCharType="end"/>
        </w:r>
      </w:hyperlink>
    </w:p>
    <w:p w:rsidR="00DF2E7F" w:rsidRDefault="00DF2E7F" w:rsidP="00DF2E7F">
      <w:pPr>
        <w:pStyle w:val="TOC1"/>
        <w:rPr>
          <w:rFonts w:asciiTheme="minorHAnsi" w:eastAsiaTheme="minorEastAsia" w:hAnsiTheme="minorHAnsi"/>
          <w:color w:val="auto"/>
          <w:sz w:val="22"/>
          <w:lang w:val="en-US" w:eastAsia="en-US" w:bidi="ar-SA"/>
        </w:rPr>
      </w:pPr>
      <w:hyperlink w:anchor="_Toc428180918" w:history="1">
        <w:r w:rsidRPr="00CE0603">
          <w:rPr>
            <w:rStyle w:val="Hyperlink"/>
            <w:rFonts w:asciiTheme="majorHAnsi" w:eastAsiaTheme="majorEastAsia" w:hAnsiTheme="majorHAnsi" w:cstheme="majorBidi"/>
            <w:bCs/>
          </w:rPr>
          <w:t>Dostupnost výhod Software Assurance v rámci smlouvy MPSA</w:t>
        </w:r>
        <w:r>
          <w:rPr>
            <w:webHidden/>
          </w:rPr>
          <w:tab/>
        </w:r>
        <w:r>
          <w:rPr>
            <w:webHidden/>
          </w:rPr>
          <w:fldChar w:fldCharType="begin"/>
        </w:r>
        <w:r>
          <w:rPr>
            <w:webHidden/>
          </w:rPr>
          <w:instrText xml:space="preserve"> PAGEREF _Toc428180918 \h </w:instrText>
        </w:r>
        <w:r>
          <w:rPr>
            <w:webHidden/>
          </w:rPr>
        </w:r>
        <w:r>
          <w:rPr>
            <w:webHidden/>
          </w:rPr>
          <w:fldChar w:fldCharType="separate"/>
        </w:r>
        <w:r>
          <w:rPr>
            <w:webHidden/>
          </w:rPr>
          <w:t>7</w:t>
        </w:r>
        <w:r>
          <w:rPr>
            <w:webHidden/>
          </w:rPr>
          <w:fldChar w:fldCharType="end"/>
        </w:r>
      </w:hyperlink>
    </w:p>
    <w:p w:rsidR="00DF2E7F" w:rsidRDefault="00DF2E7F" w:rsidP="00DF2E7F">
      <w:pPr>
        <w:pStyle w:val="TOC1"/>
        <w:rPr>
          <w:rFonts w:asciiTheme="minorHAnsi" w:eastAsiaTheme="minorEastAsia" w:hAnsiTheme="minorHAnsi"/>
          <w:color w:val="auto"/>
          <w:sz w:val="22"/>
          <w:lang w:val="en-US" w:eastAsia="en-US" w:bidi="ar-SA"/>
        </w:rPr>
      </w:pPr>
      <w:hyperlink w:anchor="_Toc428180919" w:history="1">
        <w:r w:rsidRPr="00CE0603">
          <w:rPr>
            <w:rStyle w:val="Hyperlink"/>
            <w:rFonts w:asciiTheme="majorHAnsi" w:eastAsiaTheme="majorEastAsia" w:hAnsiTheme="majorHAnsi" w:cstheme="majorBidi"/>
            <w:bCs/>
          </w:rPr>
          <w:t>Výhody založené na bodech</w:t>
        </w:r>
        <w:r>
          <w:rPr>
            <w:webHidden/>
          </w:rPr>
          <w:tab/>
        </w:r>
        <w:r>
          <w:rPr>
            <w:webHidden/>
          </w:rPr>
          <w:fldChar w:fldCharType="begin"/>
        </w:r>
        <w:r>
          <w:rPr>
            <w:webHidden/>
          </w:rPr>
          <w:instrText xml:space="preserve"> PAGEREF _Toc428180919 \h </w:instrText>
        </w:r>
        <w:r>
          <w:rPr>
            <w:webHidden/>
          </w:rPr>
        </w:r>
        <w:r>
          <w:rPr>
            <w:webHidden/>
          </w:rPr>
          <w:fldChar w:fldCharType="separate"/>
        </w:r>
        <w:r>
          <w:rPr>
            <w:webHidden/>
          </w:rPr>
          <w:t>7</w:t>
        </w:r>
        <w:r>
          <w:rPr>
            <w:webHidden/>
          </w:rPr>
          <w:fldChar w:fldCharType="end"/>
        </w:r>
      </w:hyperlink>
    </w:p>
    <w:p w:rsidR="00DF2E7F" w:rsidRDefault="00DF2E7F" w:rsidP="00DF2E7F">
      <w:pPr>
        <w:pStyle w:val="TOC2"/>
        <w:rPr>
          <w:rFonts w:asciiTheme="minorHAnsi" w:eastAsiaTheme="minorEastAsia" w:hAnsiTheme="minorHAnsi" w:cstheme="minorBidi"/>
          <w:color w:val="auto"/>
          <w:sz w:val="22"/>
          <w:szCs w:val="22"/>
          <w:lang w:val="en-US" w:eastAsia="en-US" w:bidi="ar-SA"/>
        </w:rPr>
      </w:pPr>
      <w:hyperlink w:anchor="_Toc428180920" w:history="1">
        <w:r w:rsidRPr="00CE0603">
          <w:rPr>
            <w:rStyle w:val="Hyperlink"/>
          </w:rPr>
          <w:t>Služby plánování</w:t>
        </w:r>
        <w:r>
          <w:rPr>
            <w:webHidden/>
          </w:rPr>
          <w:tab/>
        </w:r>
        <w:r>
          <w:rPr>
            <w:webHidden/>
          </w:rPr>
          <w:fldChar w:fldCharType="begin"/>
        </w:r>
        <w:r>
          <w:rPr>
            <w:webHidden/>
          </w:rPr>
          <w:instrText xml:space="preserve"> PAGEREF _Toc428180920 \h </w:instrText>
        </w:r>
        <w:r>
          <w:rPr>
            <w:webHidden/>
          </w:rPr>
        </w:r>
        <w:r>
          <w:rPr>
            <w:webHidden/>
          </w:rPr>
          <w:fldChar w:fldCharType="separate"/>
        </w:r>
        <w:r>
          <w:rPr>
            <w:webHidden/>
          </w:rPr>
          <w:t>8</w:t>
        </w:r>
        <w:r>
          <w:rPr>
            <w:webHidden/>
          </w:rPr>
          <w:fldChar w:fldCharType="end"/>
        </w:r>
      </w:hyperlink>
    </w:p>
    <w:p w:rsidR="00DF2E7F" w:rsidRDefault="00DF2E7F" w:rsidP="00DF2E7F">
      <w:pPr>
        <w:pStyle w:val="TOC2"/>
        <w:rPr>
          <w:rFonts w:asciiTheme="minorHAnsi" w:eastAsiaTheme="minorEastAsia" w:hAnsiTheme="minorHAnsi" w:cstheme="minorBidi"/>
          <w:color w:val="auto"/>
          <w:sz w:val="22"/>
          <w:szCs w:val="22"/>
          <w:lang w:val="en-US" w:eastAsia="en-US" w:bidi="ar-SA"/>
        </w:rPr>
      </w:pPr>
      <w:hyperlink w:anchor="_Toc428180921" w:history="1">
        <w:r w:rsidRPr="00CE0603">
          <w:rPr>
            <w:rStyle w:val="Hyperlink"/>
          </w:rPr>
          <w:t>Poukázky na školení</w:t>
        </w:r>
        <w:r>
          <w:rPr>
            <w:webHidden/>
          </w:rPr>
          <w:tab/>
        </w:r>
        <w:r>
          <w:rPr>
            <w:webHidden/>
          </w:rPr>
          <w:fldChar w:fldCharType="begin"/>
        </w:r>
        <w:r>
          <w:rPr>
            <w:webHidden/>
          </w:rPr>
          <w:instrText xml:space="preserve"> PAGEREF _Toc428180921 \h </w:instrText>
        </w:r>
        <w:r>
          <w:rPr>
            <w:webHidden/>
          </w:rPr>
        </w:r>
        <w:r>
          <w:rPr>
            <w:webHidden/>
          </w:rPr>
          <w:fldChar w:fldCharType="separate"/>
        </w:r>
        <w:r>
          <w:rPr>
            <w:webHidden/>
          </w:rPr>
          <w:t>9</w:t>
        </w:r>
        <w:r>
          <w:rPr>
            <w:webHidden/>
          </w:rPr>
          <w:fldChar w:fldCharType="end"/>
        </w:r>
      </w:hyperlink>
    </w:p>
    <w:p w:rsidR="00DF2E7F" w:rsidRDefault="00DF2E7F" w:rsidP="00DF2E7F">
      <w:pPr>
        <w:pStyle w:val="TOC2"/>
        <w:rPr>
          <w:rFonts w:asciiTheme="minorHAnsi" w:eastAsiaTheme="minorEastAsia" w:hAnsiTheme="minorHAnsi" w:cstheme="minorBidi"/>
          <w:color w:val="auto"/>
          <w:sz w:val="22"/>
          <w:szCs w:val="22"/>
          <w:lang w:val="en-US" w:eastAsia="en-US" w:bidi="ar-SA"/>
        </w:rPr>
      </w:pPr>
      <w:hyperlink w:anchor="_Toc428180922" w:history="1">
        <w:r w:rsidRPr="00CE0603">
          <w:rPr>
            <w:rStyle w:val="Hyperlink"/>
          </w:rPr>
          <w:t>Nepřetržitá podpora řešení problémů</w:t>
        </w:r>
        <w:r>
          <w:rPr>
            <w:webHidden/>
          </w:rPr>
          <w:tab/>
        </w:r>
        <w:r>
          <w:rPr>
            <w:webHidden/>
          </w:rPr>
          <w:fldChar w:fldCharType="begin"/>
        </w:r>
        <w:r>
          <w:rPr>
            <w:webHidden/>
          </w:rPr>
          <w:instrText xml:space="preserve"> PAGEREF _Toc428180922 \h </w:instrText>
        </w:r>
        <w:r>
          <w:rPr>
            <w:webHidden/>
          </w:rPr>
        </w:r>
        <w:r>
          <w:rPr>
            <w:webHidden/>
          </w:rPr>
          <w:fldChar w:fldCharType="separate"/>
        </w:r>
        <w:r>
          <w:rPr>
            <w:webHidden/>
          </w:rPr>
          <w:t>11</w:t>
        </w:r>
        <w:r>
          <w:rPr>
            <w:webHidden/>
          </w:rPr>
          <w:fldChar w:fldCharType="end"/>
        </w:r>
      </w:hyperlink>
    </w:p>
    <w:p w:rsidR="00DF2E7F" w:rsidRDefault="00DF2E7F" w:rsidP="00DF2E7F">
      <w:pPr>
        <w:pStyle w:val="TOC1"/>
        <w:rPr>
          <w:rFonts w:asciiTheme="minorHAnsi" w:eastAsiaTheme="minorEastAsia" w:hAnsiTheme="minorHAnsi"/>
          <w:color w:val="auto"/>
          <w:sz w:val="22"/>
          <w:lang w:val="en-US" w:eastAsia="en-US" w:bidi="ar-SA"/>
        </w:rPr>
      </w:pPr>
      <w:hyperlink w:anchor="_Toc428180923" w:history="1">
        <w:r w:rsidRPr="00CE0603">
          <w:rPr>
            <w:rStyle w:val="Hyperlink"/>
            <w:rFonts w:asciiTheme="majorHAnsi" w:eastAsiaTheme="majorEastAsia" w:hAnsiTheme="majorHAnsi" w:cstheme="majorBidi"/>
            <w:bCs/>
          </w:rPr>
          <w:t>Výhody kvalifikujících produktů</w:t>
        </w:r>
        <w:r>
          <w:rPr>
            <w:webHidden/>
          </w:rPr>
          <w:tab/>
        </w:r>
        <w:r>
          <w:rPr>
            <w:webHidden/>
          </w:rPr>
          <w:fldChar w:fldCharType="begin"/>
        </w:r>
        <w:r>
          <w:rPr>
            <w:webHidden/>
          </w:rPr>
          <w:instrText xml:space="preserve"> PAGEREF _Toc428180923 \h </w:instrText>
        </w:r>
        <w:r>
          <w:rPr>
            <w:webHidden/>
          </w:rPr>
        </w:r>
        <w:r>
          <w:rPr>
            <w:webHidden/>
          </w:rPr>
          <w:fldChar w:fldCharType="separate"/>
        </w:r>
        <w:r>
          <w:rPr>
            <w:webHidden/>
          </w:rPr>
          <w:t>13</w:t>
        </w:r>
        <w:r>
          <w:rPr>
            <w:webHidden/>
          </w:rPr>
          <w:fldChar w:fldCharType="end"/>
        </w:r>
      </w:hyperlink>
    </w:p>
    <w:p w:rsidR="00DF2E7F" w:rsidRDefault="00DF2E7F" w:rsidP="00DF2E7F">
      <w:pPr>
        <w:pStyle w:val="TOC2"/>
        <w:rPr>
          <w:rFonts w:asciiTheme="minorHAnsi" w:eastAsiaTheme="minorEastAsia" w:hAnsiTheme="minorHAnsi" w:cstheme="minorBidi"/>
          <w:color w:val="auto"/>
          <w:sz w:val="22"/>
          <w:szCs w:val="22"/>
          <w:lang w:val="en-US" w:eastAsia="en-US" w:bidi="ar-SA"/>
        </w:rPr>
      </w:pPr>
      <w:hyperlink w:anchor="_Toc428180924" w:history="1">
        <w:r w:rsidRPr="00CE0603">
          <w:rPr>
            <w:rStyle w:val="Hyperlink"/>
          </w:rPr>
          <w:t>Práva k nové verzi</w:t>
        </w:r>
        <w:r>
          <w:rPr>
            <w:webHidden/>
          </w:rPr>
          <w:tab/>
        </w:r>
        <w:r>
          <w:rPr>
            <w:webHidden/>
          </w:rPr>
          <w:fldChar w:fldCharType="begin"/>
        </w:r>
        <w:r>
          <w:rPr>
            <w:webHidden/>
          </w:rPr>
          <w:instrText xml:space="preserve"> PAGEREF _Toc428180924 \h </w:instrText>
        </w:r>
        <w:r>
          <w:rPr>
            <w:webHidden/>
          </w:rPr>
        </w:r>
        <w:r>
          <w:rPr>
            <w:webHidden/>
          </w:rPr>
          <w:fldChar w:fldCharType="separate"/>
        </w:r>
        <w:r>
          <w:rPr>
            <w:webHidden/>
          </w:rPr>
          <w:t>13</w:t>
        </w:r>
        <w:r>
          <w:rPr>
            <w:webHidden/>
          </w:rPr>
          <w:fldChar w:fldCharType="end"/>
        </w:r>
      </w:hyperlink>
    </w:p>
    <w:p w:rsidR="00DF2E7F" w:rsidRDefault="00DF2E7F" w:rsidP="00DF2E7F">
      <w:pPr>
        <w:pStyle w:val="TOC2"/>
        <w:rPr>
          <w:rFonts w:asciiTheme="minorHAnsi" w:eastAsiaTheme="minorEastAsia" w:hAnsiTheme="minorHAnsi" w:cstheme="minorBidi"/>
          <w:color w:val="auto"/>
          <w:sz w:val="22"/>
          <w:szCs w:val="22"/>
          <w:lang w:val="en-US" w:eastAsia="en-US" w:bidi="ar-SA"/>
        </w:rPr>
      </w:pPr>
      <w:hyperlink w:anchor="_Toc428180925" w:history="1">
        <w:r w:rsidRPr="00CE0603">
          <w:rPr>
            <w:rStyle w:val="Hyperlink"/>
          </w:rPr>
          <w:t>Office Multi Language Pack</w:t>
        </w:r>
        <w:r>
          <w:rPr>
            <w:webHidden/>
          </w:rPr>
          <w:tab/>
        </w:r>
        <w:r>
          <w:rPr>
            <w:webHidden/>
          </w:rPr>
          <w:fldChar w:fldCharType="begin"/>
        </w:r>
        <w:r>
          <w:rPr>
            <w:webHidden/>
          </w:rPr>
          <w:instrText xml:space="preserve"> PAGEREF _Toc428180925 \h </w:instrText>
        </w:r>
        <w:r>
          <w:rPr>
            <w:webHidden/>
          </w:rPr>
        </w:r>
        <w:r>
          <w:rPr>
            <w:webHidden/>
          </w:rPr>
          <w:fldChar w:fldCharType="separate"/>
        </w:r>
        <w:r>
          <w:rPr>
            <w:webHidden/>
          </w:rPr>
          <w:t>13</w:t>
        </w:r>
        <w:r>
          <w:rPr>
            <w:webHidden/>
          </w:rPr>
          <w:fldChar w:fldCharType="end"/>
        </w:r>
      </w:hyperlink>
    </w:p>
    <w:p w:rsidR="00DF2E7F" w:rsidRDefault="00DF2E7F" w:rsidP="00DF2E7F">
      <w:pPr>
        <w:pStyle w:val="TOC2"/>
        <w:rPr>
          <w:rFonts w:asciiTheme="minorHAnsi" w:eastAsiaTheme="minorEastAsia" w:hAnsiTheme="minorHAnsi" w:cstheme="minorBidi"/>
          <w:color w:val="auto"/>
          <w:sz w:val="22"/>
          <w:szCs w:val="22"/>
          <w:lang w:val="en-US" w:eastAsia="en-US" w:bidi="ar-SA"/>
        </w:rPr>
      </w:pPr>
      <w:hyperlink w:anchor="_Toc428180926" w:history="1">
        <w:r w:rsidRPr="00CE0603">
          <w:rPr>
            <w:rStyle w:val="Hyperlink"/>
          </w:rPr>
          <w:t>E-Learning</w:t>
        </w:r>
        <w:r>
          <w:rPr>
            <w:webHidden/>
          </w:rPr>
          <w:tab/>
        </w:r>
        <w:r>
          <w:rPr>
            <w:webHidden/>
          </w:rPr>
          <w:fldChar w:fldCharType="begin"/>
        </w:r>
        <w:r>
          <w:rPr>
            <w:webHidden/>
          </w:rPr>
          <w:instrText xml:space="preserve"> PAGEREF _Toc428180926 \h </w:instrText>
        </w:r>
        <w:r>
          <w:rPr>
            <w:webHidden/>
          </w:rPr>
        </w:r>
        <w:r>
          <w:rPr>
            <w:webHidden/>
          </w:rPr>
          <w:fldChar w:fldCharType="separate"/>
        </w:r>
        <w:r>
          <w:rPr>
            <w:webHidden/>
          </w:rPr>
          <w:t>13</w:t>
        </w:r>
        <w:r>
          <w:rPr>
            <w:webHidden/>
          </w:rPr>
          <w:fldChar w:fldCharType="end"/>
        </w:r>
      </w:hyperlink>
    </w:p>
    <w:p w:rsidR="00DF2E7F" w:rsidRDefault="00DF2E7F" w:rsidP="00DF2E7F">
      <w:pPr>
        <w:pStyle w:val="TOC2"/>
        <w:rPr>
          <w:rFonts w:asciiTheme="minorHAnsi" w:eastAsiaTheme="minorEastAsia" w:hAnsiTheme="minorHAnsi" w:cstheme="minorBidi"/>
          <w:color w:val="auto"/>
          <w:sz w:val="22"/>
          <w:szCs w:val="22"/>
          <w:lang w:val="en-US" w:eastAsia="en-US" w:bidi="ar-SA"/>
        </w:rPr>
      </w:pPr>
      <w:hyperlink w:anchor="_Toc428180927" w:history="1">
        <w:r w:rsidRPr="00CE0603">
          <w:rPr>
            <w:rStyle w:val="Hyperlink"/>
          </w:rPr>
          <w:t>Program domácího používání</w:t>
        </w:r>
        <w:r>
          <w:rPr>
            <w:webHidden/>
          </w:rPr>
          <w:tab/>
        </w:r>
        <w:r>
          <w:rPr>
            <w:webHidden/>
          </w:rPr>
          <w:fldChar w:fldCharType="begin"/>
        </w:r>
        <w:r>
          <w:rPr>
            <w:webHidden/>
          </w:rPr>
          <w:instrText xml:space="preserve"> PAGEREF _Toc428180927 \h </w:instrText>
        </w:r>
        <w:r>
          <w:rPr>
            <w:webHidden/>
          </w:rPr>
        </w:r>
        <w:r>
          <w:rPr>
            <w:webHidden/>
          </w:rPr>
          <w:fldChar w:fldCharType="separate"/>
        </w:r>
        <w:r>
          <w:rPr>
            <w:webHidden/>
          </w:rPr>
          <w:t>14</w:t>
        </w:r>
        <w:r>
          <w:rPr>
            <w:webHidden/>
          </w:rPr>
          <w:fldChar w:fldCharType="end"/>
        </w:r>
      </w:hyperlink>
    </w:p>
    <w:p w:rsidR="00DF2E7F" w:rsidRDefault="00DF2E7F" w:rsidP="00DF2E7F">
      <w:pPr>
        <w:pStyle w:val="TOC2"/>
        <w:rPr>
          <w:rFonts w:asciiTheme="minorHAnsi" w:eastAsiaTheme="minorEastAsia" w:hAnsiTheme="minorHAnsi" w:cstheme="minorBidi"/>
          <w:color w:val="auto"/>
          <w:sz w:val="22"/>
          <w:szCs w:val="22"/>
          <w:lang w:val="en-US" w:eastAsia="en-US" w:bidi="ar-SA"/>
        </w:rPr>
      </w:pPr>
      <w:hyperlink w:anchor="_Toc428180928" w:history="1">
        <w:r w:rsidRPr="00CE0603">
          <w:rPr>
            <w:rStyle w:val="Hyperlink"/>
          </w:rPr>
          <w:t>Program ESLP (Enterprise Source Licensing Program)</w:t>
        </w:r>
        <w:r>
          <w:rPr>
            <w:webHidden/>
          </w:rPr>
          <w:tab/>
        </w:r>
        <w:r>
          <w:rPr>
            <w:webHidden/>
          </w:rPr>
          <w:fldChar w:fldCharType="begin"/>
        </w:r>
        <w:r>
          <w:rPr>
            <w:webHidden/>
          </w:rPr>
          <w:instrText xml:space="preserve"> PAGEREF _Toc428180928 \h </w:instrText>
        </w:r>
        <w:r>
          <w:rPr>
            <w:webHidden/>
          </w:rPr>
        </w:r>
        <w:r>
          <w:rPr>
            <w:webHidden/>
          </w:rPr>
          <w:fldChar w:fldCharType="separate"/>
        </w:r>
        <w:r>
          <w:rPr>
            <w:webHidden/>
          </w:rPr>
          <w:t>15</w:t>
        </w:r>
        <w:r>
          <w:rPr>
            <w:webHidden/>
          </w:rPr>
          <w:fldChar w:fldCharType="end"/>
        </w:r>
      </w:hyperlink>
    </w:p>
    <w:p w:rsidR="00DF2E7F" w:rsidRDefault="00DF2E7F" w:rsidP="00DF2E7F">
      <w:pPr>
        <w:pStyle w:val="TOC2"/>
        <w:rPr>
          <w:rFonts w:asciiTheme="minorHAnsi" w:eastAsiaTheme="minorEastAsia" w:hAnsiTheme="minorHAnsi" w:cstheme="minorBidi"/>
          <w:color w:val="auto"/>
          <w:sz w:val="22"/>
          <w:szCs w:val="22"/>
          <w:lang w:val="en-US" w:eastAsia="en-US" w:bidi="ar-SA"/>
        </w:rPr>
      </w:pPr>
      <w:hyperlink w:anchor="_Toc428180929" w:history="1">
        <w:r w:rsidRPr="00CE0603">
          <w:rPr>
            <w:rStyle w:val="Hyperlink"/>
          </w:rPr>
          <w:t>Záloha pro obnovení při zhroucení</w:t>
        </w:r>
        <w:r>
          <w:rPr>
            <w:webHidden/>
          </w:rPr>
          <w:tab/>
        </w:r>
        <w:r>
          <w:rPr>
            <w:webHidden/>
          </w:rPr>
          <w:fldChar w:fldCharType="begin"/>
        </w:r>
        <w:r>
          <w:rPr>
            <w:webHidden/>
          </w:rPr>
          <w:instrText xml:space="preserve"> PAGEREF _Toc428180929 \h </w:instrText>
        </w:r>
        <w:r>
          <w:rPr>
            <w:webHidden/>
          </w:rPr>
        </w:r>
        <w:r>
          <w:rPr>
            <w:webHidden/>
          </w:rPr>
          <w:fldChar w:fldCharType="separate"/>
        </w:r>
        <w:r>
          <w:rPr>
            <w:webHidden/>
          </w:rPr>
          <w:t>15</w:t>
        </w:r>
        <w:r>
          <w:rPr>
            <w:webHidden/>
          </w:rPr>
          <w:fldChar w:fldCharType="end"/>
        </w:r>
      </w:hyperlink>
    </w:p>
    <w:p w:rsidR="00DF2E7F" w:rsidRDefault="00DF2E7F" w:rsidP="00DF2E7F">
      <w:pPr>
        <w:pStyle w:val="TOC2"/>
        <w:rPr>
          <w:rFonts w:asciiTheme="minorHAnsi" w:eastAsiaTheme="minorEastAsia" w:hAnsiTheme="minorHAnsi" w:cstheme="minorBidi"/>
          <w:color w:val="auto"/>
          <w:sz w:val="22"/>
          <w:szCs w:val="22"/>
          <w:lang w:val="en-US" w:eastAsia="en-US" w:bidi="ar-SA"/>
        </w:rPr>
      </w:pPr>
      <w:hyperlink w:anchor="_Toc428180930" w:history="1">
        <w:r w:rsidRPr="00CE0603">
          <w:rPr>
            <w:rStyle w:val="Hyperlink"/>
          </w:rPr>
          <w:t>Práva LM (License Mobility) poskytovaná programem Software Assurance</w:t>
        </w:r>
        <w:r>
          <w:rPr>
            <w:webHidden/>
          </w:rPr>
          <w:tab/>
        </w:r>
        <w:r>
          <w:rPr>
            <w:webHidden/>
          </w:rPr>
          <w:fldChar w:fldCharType="begin"/>
        </w:r>
        <w:r>
          <w:rPr>
            <w:webHidden/>
          </w:rPr>
          <w:instrText xml:space="preserve"> PAGEREF _Toc428180930 \h </w:instrText>
        </w:r>
        <w:r>
          <w:rPr>
            <w:webHidden/>
          </w:rPr>
        </w:r>
        <w:r>
          <w:rPr>
            <w:webHidden/>
          </w:rPr>
          <w:fldChar w:fldCharType="separate"/>
        </w:r>
        <w:r>
          <w:rPr>
            <w:webHidden/>
          </w:rPr>
          <w:t>15</w:t>
        </w:r>
        <w:r>
          <w:rPr>
            <w:webHidden/>
          </w:rPr>
          <w:fldChar w:fldCharType="end"/>
        </w:r>
      </w:hyperlink>
    </w:p>
    <w:p w:rsidR="00DF2E7F" w:rsidRDefault="00DF2E7F" w:rsidP="00DF2E7F">
      <w:pPr>
        <w:pStyle w:val="TOC2"/>
        <w:rPr>
          <w:rFonts w:asciiTheme="minorHAnsi" w:eastAsiaTheme="minorEastAsia" w:hAnsiTheme="minorHAnsi" w:cstheme="minorBidi"/>
          <w:color w:val="auto"/>
          <w:sz w:val="22"/>
          <w:szCs w:val="22"/>
          <w:lang w:val="en-US" w:eastAsia="en-US" w:bidi="ar-SA"/>
        </w:rPr>
      </w:pPr>
      <w:hyperlink w:anchor="_Toc428180931" w:history="1">
        <w:r w:rsidRPr="00CE0603">
          <w:rPr>
            <w:rStyle w:val="Hyperlink"/>
          </w:rPr>
          <w:t>Rozšířená podpora ve formě oprav hotfix</w:t>
        </w:r>
        <w:r>
          <w:rPr>
            <w:webHidden/>
          </w:rPr>
          <w:tab/>
        </w:r>
        <w:r>
          <w:rPr>
            <w:webHidden/>
          </w:rPr>
          <w:fldChar w:fldCharType="begin"/>
        </w:r>
        <w:r>
          <w:rPr>
            <w:webHidden/>
          </w:rPr>
          <w:instrText xml:space="preserve"> PAGEREF _Toc428180931 \h </w:instrText>
        </w:r>
        <w:r>
          <w:rPr>
            <w:webHidden/>
          </w:rPr>
        </w:r>
        <w:r>
          <w:rPr>
            <w:webHidden/>
          </w:rPr>
          <w:fldChar w:fldCharType="separate"/>
        </w:r>
        <w:r>
          <w:rPr>
            <w:webHidden/>
          </w:rPr>
          <w:t>15</w:t>
        </w:r>
        <w:r>
          <w:rPr>
            <w:webHidden/>
          </w:rPr>
          <w:fldChar w:fldCharType="end"/>
        </w:r>
      </w:hyperlink>
    </w:p>
    <w:p w:rsidR="00DF2E7F" w:rsidRDefault="00DF2E7F" w:rsidP="00DF2E7F">
      <w:pPr>
        <w:pStyle w:val="TOC1"/>
        <w:rPr>
          <w:rFonts w:asciiTheme="minorHAnsi" w:eastAsiaTheme="minorEastAsia" w:hAnsiTheme="minorHAnsi"/>
          <w:color w:val="auto"/>
          <w:sz w:val="22"/>
          <w:lang w:val="en-US" w:eastAsia="en-US" w:bidi="ar-SA"/>
        </w:rPr>
      </w:pPr>
      <w:hyperlink w:anchor="_Toc428180932" w:history="1">
        <w:r w:rsidRPr="00CE0603">
          <w:rPr>
            <w:rStyle w:val="Hyperlink"/>
          </w:rPr>
          <w:t>Oddíl 3</w:t>
        </w:r>
        <w:r>
          <w:rPr>
            <w:webHidden/>
          </w:rPr>
          <w:tab/>
        </w:r>
        <w:r>
          <w:rPr>
            <w:webHidden/>
          </w:rPr>
          <w:fldChar w:fldCharType="begin"/>
        </w:r>
        <w:r>
          <w:rPr>
            <w:webHidden/>
          </w:rPr>
          <w:instrText xml:space="preserve"> PAGEREF _Toc428180932 \h </w:instrText>
        </w:r>
        <w:r>
          <w:rPr>
            <w:webHidden/>
          </w:rPr>
        </w:r>
        <w:r>
          <w:rPr>
            <w:webHidden/>
          </w:rPr>
          <w:fldChar w:fldCharType="separate"/>
        </w:r>
        <w:r>
          <w:rPr>
            <w:webHidden/>
          </w:rPr>
          <w:t>16</w:t>
        </w:r>
        <w:r>
          <w:rPr>
            <w:webHidden/>
          </w:rPr>
          <w:fldChar w:fldCharType="end"/>
        </w:r>
      </w:hyperlink>
    </w:p>
    <w:p w:rsidR="00DF2E7F" w:rsidRDefault="00DF2E7F" w:rsidP="00DF2E7F">
      <w:pPr>
        <w:pStyle w:val="TOC1"/>
        <w:rPr>
          <w:rFonts w:asciiTheme="minorHAnsi" w:eastAsiaTheme="minorEastAsia" w:hAnsiTheme="minorHAnsi"/>
          <w:color w:val="auto"/>
          <w:sz w:val="22"/>
          <w:lang w:val="en-US" w:eastAsia="en-US" w:bidi="ar-SA"/>
        </w:rPr>
      </w:pPr>
      <w:hyperlink w:anchor="_Toc428180933" w:history="1">
        <w:r w:rsidRPr="00CE0603">
          <w:rPr>
            <w:rStyle w:val="Hyperlink"/>
            <w:rFonts w:asciiTheme="majorHAnsi" w:eastAsiaTheme="majorEastAsia" w:hAnsiTheme="majorHAnsi" w:cstheme="majorBidi"/>
            <w:bCs/>
          </w:rPr>
          <w:t>Vytváření kopií produktů a práva na přeinstalaci (re-imaging)</w:t>
        </w:r>
        <w:r>
          <w:rPr>
            <w:webHidden/>
          </w:rPr>
          <w:tab/>
        </w:r>
        <w:r>
          <w:rPr>
            <w:webHidden/>
          </w:rPr>
          <w:fldChar w:fldCharType="begin"/>
        </w:r>
        <w:r>
          <w:rPr>
            <w:webHidden/>
          </w:rPr>
          <w:instrText xml:space="preserve"> PAGEREF _Toc428180933 \h </w:instrText>
        </w:r>
        <w:r>
          <w:rPr>
            <w:webHidden/>
          </w:rPr>
        </w:r>
        <w:r>
          <w:rPr>
            <w:webHidden/>
          </w:rPr>
          <w:fldChar w:fldCharType="separate"/>
        </w:r>
        <w:r>
          <w:rPr>
            <w:webHidden/>
          </w:rPr>
          <w:t>16</w:t>
        </w:r>
        <w:r>
          <w:rPr>
            <w:webHidden/>
          </w:rPr>
          <w:fldChar w:fldCharType="end"/>
        </w:r>
      </w:hyperlink>
    </w:p>
    <w:p w:rsidR="00DF2E7F" w:rsidRDefault="00DF2E7F" w:rsidP="00DF2E7F">
      <w:pPr>
        <w:pStyle w:val="TOC1"/>
        <w:rPr>
          <w:rFonts w:asciiTheme="minorHAnsi" w:eastAsiaTheme="minorEastAsia" w:hAnsiTheme="minorHAnsi"/>
          <w:color w:val="auto"/>
          <w:sz w:val="22"/>
          <w:lang w:val="en-US" w:eastAsia="en-US" w:bidi="ar-SA"/>
        </w:rPr>
      </w:pPr>
      <w:hyperlink w:anchor="_Toc428180934" w:history="1">
        <w:r w:rsidRPr="00CE0603">
          <w:rPr>
            <w:rStyle w:val="Hyperlink"/>
            <w:rFonts w:asciiTheme="majorHAnsi" w:eastAsiaTheme="majorEastAsia" w:hAnsiTheme="majorHAnsi" w:cstheme="majorBidi"/>
            <w:bCs/>
          </w:rPr>
          <w:t>Proces převodu licencí</w:t>
        </w:r>
        <w:r>
          <w:rPr>
            <w:webHidden/>
          </w:rPr>
          <w:tab/>
        </w:r>
        <w:r>
          <w:rPr>
            <w:webHidden/>
          </w:rPr>
          <w:fldChar w:fldCharType="begin"/>
        </w:r>
        <w:r>
          <w:rPr>
            <w:webHidden/>
          </w:rPr>
          <w:instrText xml:space="preserve"> PAGEREF _Toc428180934 \h </w:instrText>
        </w:r>
        <w:r>
          <w:rPr>
            <w:webHidden/>
          </w:rPr>
        </w:r>
        <w:r>
          <w:rPr>
            <w:webHidden/>
          </w:rPr>
          <w:fldChar w:fldCharType="separate"/>
        </w:r>
        <w:r>
          <w:rPr>
            <w:webHidden/>
          </w:rPr>
          <w:t>16</w:t>
        </w:r>
        <w:r>
          <w:rPr>
            <w:webHidden/>
          </w:rPr>
          <w:fldChar w:fldCharType="end"/>
        </w:r>
      </w:hyperlink>
    </w:p>
    <w:p w:rsidR="00DF2E7F" w:rsidRDefault="00DF2E7F" w:rsidP="00DF2E7F">
      <w:pPr>
        <w:pStyle w:val="TOC1"/>
        <w:rPr>
          <w:rFonts w:asciiTheme="minorHAnsi" w:eastAsiaTheme="minorEastAsia" w:hAnsiTheme="minorHAnsi"/>
          <w:color w:val="auto"/>
          <w:sz w:val="22"/>
          <w:lang w:val="en-US" w:eastAsia="en-US" w:bidi="ar-SA"/>
        </w:rPr>
      </w:pPr>
      <w:hyperlink w:anchor="_Toc428180935" w:history="1">
        <w:r w:rsidRPr="00CE0603">
          <w:rPr>
            <w:rStyle w:val="Hyperlink"/>
            <w:rFonts w:asciiTheme="majorHAnsi" w:eastAsiaTheme="majorEastAsia" w:hAnsiTheme="majorHAnsi" w:cstheme="majorBidi"/>
            <w:bCs/>
          </w:rPr>
          <w:t xml:space="preserve">Proces ověření souladu a </w:t>
        </w:r>
        <w:r w:rsidRPr="00CE0603">
          <w:rPr>
            <w:rStyle w:val="Hyperlink"/>
            <w:rFonts w:asciiTheme="majorHAnsi" w:eastAsiaTheme="majorEastAsia" w:hAnsiTheme="majorHAnsi"/>
          </w:rPr>
          <w:t>omezení</w:t>
        </w:r>
        <w:r>
          <w:rPr>
            <w:webHidden/>
          </w:rPr>
          <w:tab/>
        </w:r>
        <w:r>
          <w:rPr>
            <w:webHidden/>
          </w:rPr>
          <w:fldChar w:fldCharType="begin"/>
        </w:r>
        <w:r>
          <w:rPr>
            <w:webHidden/>
          </w:rPr>
          <w:instrText xml:space="preserve"> PAGEREF _Toc428180935 \h </w:instrText>
        </w:r>
        <w:r>
          <w:rPr>
            <w:webHidden/>
          </w:rPr>
        </w:r>
        <w:r>
          <w:rPr>
            <w:webHidden/>
          </w:rPr>
          <w:fldChar w:fldCharType="separate"/>
        </w:r>
        <w:r>
          <w:rPr>
            <w:webHidden/>
          </w:rPr>
          <w:t>16</w:t>
        </w:r>
        <w:r>
          <w:rPr>
            <w:webHidden/>
          </w:rPr>
          <w:fldChar w:fldCharType="end"/>
        </w:r>
      </w:hyperlink>
    </w:p>
    <w:p w:rsidR="00DF2E7F" w:rsidRDefault="00DF2E7F" w:rsidP="00DF2E7F">
      <w:pPr>
        <w:pStyle w:val="TOC1"/>
        <w:rPr>
          <w:rFonts w:asciiTheme="minorHAnsi" w:eastAsiaTheme="minorEastAsia" w:hAnsiTheme="minorHAnsi"/>
          <w:color w:val="auto"/>
          <w:sz w:val="22"/>
          <w:lang w:val="en-US" w:eastAsia="en-US" w:bidi="ar-SA"/>
        </w:rPr>
      </w:pPr>
      <w:hyperlink w:anchor="_Toc428180936" w:history="1">
        <w:r w:rsidRPr="00CE0603">
          <w:rPr>
            <w:rStyle w:val="Hyperlink"/>
            <w:rFonts w:asciiTheme="majorHAnsi" w:eastAsiaTheme="majorEastAsia" w:hAnsiTheme="majorHAnsi" w:cstheme="majorBidi"/>
            <w:bCs/>
          </w:rPr>
          <w:t>Rozdělení</w:t>
        </w:r>
        <w:r>
          <w:rPr>
            <w:webHidden/>
          </w:rPr>
          <w:tab/>
        </w:r>
        <w:r>
          <w:rPr>
            <w:webHidden/>
          </w:rPr>
          <w:fldChar w:fldCharType="begin"/>
        </w:r>
        <w:r>
          <w:rPr>
            <w:webHidden/>
          </w:rPr>
          <w:instrText xml:space="preserve"> PAGEREF _Toc428180936 \h </w:instrText>
        </w:r>
        <w:r>
          <w:rPr>
            <w:webHidden/>
          </w:rPr>
        </w:r>
        <w:r>
          <w:rPr>
            <w:webHidden/>
          </w:rPr>
          <w:fldChar w:fldCharType="separate"/>
        </w:r>
        <w:r>
          <w:rPr>
            <w:webHidden/>
          </w:rPr>
          <w:t>16</w:t>
        </w:r>
        <w:r>
          <w:rPr>
            <w:webHidden/>
          </w:rPr>
          <w:fldChar w:fldCharType="end"/>
        </w:r>
      </w:hyperlink>
    </w:p>
    <w:p w:rsidR="00DF2E7F" w:rsidRDefault="00DF2E7F" w:rsidP="00DF2E7F">
      <w:pPr>
        <w:pStyle w:val="TOC1"/>
        <w:rPr>
          <w:rFonts w:asciiTheme="minorHAnsi" w:eastAsiaTheme="minorEastAsia" w:hAnsiTheme="minorHAnsi"/>
          <w:color w:val="auto"/>
          <w:sz w:val="22"/>
          <w:lang w:val="en-US" w:eastAsia="en-US" w:bidi="ar-SA"/>
        </w:rPr>
      </w:pPr>
      <w:hyperlink w:anchor="_Toc428180937" w:history="1">
        <w:r w:rsidRPr="00CE0603">
          <w:rPr>
            <w:rStyle w:val="Hyperlink"/>
          </w:rPr>
          <w:t>Přírodní katastrofy</w:t>
        </w:r>
        <w:r>
          <w:rPr>
            <w:webHidden/>
          </w:rPr>
          <w:tab/>
        </w:r>
        <w:r>
          <w:rPr>
            <w:webHidden/>
          </w:rPr>
          <w:fldChar w:fldCharType="begin"/>
        </w:r>
        <w:r>
          <w:rPr>
            <w:webHidden/>
          </w:rPr>
          <w:instrText xml:space="preserve"> PAGEREF _Toc428180937 \h </w:instrText>
        </w:r>
        <w:r>
          <w:rPr>
            <w:webHidden/>
          </w:rPr>
        </w:r>
        <w:r>
          <w:rPr>
            <w:webHidden/>
          </w:rPr>
          <w:fldChar w:fldCharType="separate"/>
        </w:r>
        <w:r>
          <w:rPr>
            <w:webHidden/>
          </w:rPr>
          <w:t>16</w:t>
        </w:r>
        <w:r>
          <w:rPr>
            <w:webHidden/>
          </w:rPr>
          <w:fldChar w:fldCharType="end"/>
        </w:r>
      </w:hyperlink>
    </w:p>
    <w:p w:rsidR="00DF2E7F" w:rsidRDefault="00DF2E7F" w:rsidP="00DF2E7F">
      <w:pPr>
        <w:pStyle w:val="TOC1"/>
        <w:rPr>
          <w:rFonts w:asciiTheme="minorHAnsi" w:eastAsiaTheme="minorEastAsia" w:hAnsiTheme="minorHAnsi"/>
          <w:color w:val="auto"/>
          <w:sz w:val="22"/>
          <w:lang w:val="en-US" w:eastAsia="en-US" w:bidi="ar-SA"/>
        </w:rPr>
      </w:pPr>
      <w:hyperlink w:anchor="_Toc428180938" w:history="1">
        <w:r w:rsidRPr="00CE0603">
          <w:rPr>
            <w:rStyle w:val="Hyperlink"/>
          </w:rPr>
          <w:t>Oddíl 4</w:t>
        </w:r>
        <w:r>
          <w:rPr>
            <w:webHidden/>
          </w:rPr>
          <w:tab/>
        </w:r>
        <w:r>
          <w:rPr>
            <w:webHidden/>
          </w:rPr>
          <w:fldChar w:fldCharType="begin"/>
        </w:r>
        <w:r>
          <w:rPr>
            <w:webHidden/>
          </w:rPr>
          <w:instrText xml:space="preserve"> PAGEREF _Toc428180938 \h </w:instrText>
        </w:r>
        <w:r>
          <w:rPr>
            <w:webHidden/>
          </w:rPr>
        </w:r>
        <w:r>
          <w:rPr>
            <w:webHidden/>
          </w:rPr>
          <w:fldChar w:fldCharType="separate"/>
        </w:r>
        <w:r>
          <w:rPr>
            <w:webHidden/>
          </w:rPr>
          <w:t>17</w:t>
        </w:r>
        <w:r>
          <w:rPr>
            <w:webHidden/>
          </w:rPr>
          <w:fldChar w:fldCharType="end"/>
        </w:r>
      </w:hyperlink>
    </w:p>
    <w:p w:rsidR="00DF2E7F" w:rsidRDefault="00DF2E7F" w:rsidP="00DF2E7F">
      <w:pPr>
        <w:pStyle w:val="TOC1"/>
        <w:rPr>
          <w:rFonts w:asciiTheme="minorHAnsi" w:eastAsiaTheme="minorEastAsia" w:hAnsiTheme="minorHAnsi"/>
          <w:color w:val="auto"/>
          <w:sz w:val="22"/>
          <w:lang w:val="en-US" w:eastAsia="en-US" w:bidi="ar-SA"/>
        </w:rPr>
      </w:pPr>
      <w:hyperlink w:anchor="_Toc428180939" w:history="1">
        <w:r w:rsidRPr="00CE0603">
          <w:rPr>
            <w:rStyle w:val="Hyperlink"/>
            <w:rFonts w:asciiTheme="majorHAnsi" w:eastAsiaTheme="majorEastAsia" w:hAnsiTheme="majorHAnsi" w:cstheme="majorBidi"/>
          </w:rPr>
          <w:t>Změny příručky k licencování za posledních 12 měsíců</w:t>
        </w:r>
        <w:r>
          <w:rPr>
            <w:webHidden/>
          </w:rPr>
          <w:tab/>
        </w:r>
        <w:r>
          <w:rPr>
            <w:webHidden/>
          </w:rPr>
          <w:fldChar w:fldCharType="begin"/>
        </w:r>
        <w:r>
          <w:rPr>
            <w:webHidden/>
          </w:rPr>
          <w:instrText xml:space="preserve"> PAGEREF _Toc428180939 \h </w:instrText>
        </w:r>
        <w:r>
          <w:rPr>
            <w:webHidden/>
          </w:rPr>
        </w:r>
        <w:r>
          <w:rPr>
            <w:webHidden/>
          </w:rPr>
          <w:fldChar w:fldCharType="separate"/>
        </w:r>
        <w:r>
          <w:rPr>
            <w:webHidden/>
          </w:rPr>
          <w:t>17</w:t>
        </w:r>
        <w:r>
          <w:rPr>
            <w:webHidden/>
          </w:rPr>
          <w:fldChar w:fldCharType="end"/>
        </w:r>
      </w:hyperlink>
    </w:p>
    <w:p w:rsidR="00DF2E7F" w:rsidRDefault="00DF2E7F" w:rsidP="00DF2E7F">
      <w:pPr>
        <w:pStyle w:val="TOC1"/>
        <w:rPr>
          <w:rFonts w:asciiTheme="minorHAnsi" w:eastAsiaTheme="minorEastAsia" w:hAnsiTheme="minorHAnsi"/>
          <w:color w:val="auto"/>
          <w:sz w:val="22"/>
          <w:lang w:val="en-US" w:eastAsia="en-US" w:bidi="ar-SA"/>
        </w:rPr>
      </w:pPr>
      <w:hyperlink w:anchor="_Toc428180940" w:history="1">
        <w:r w:rsidRPr="00CE0603">
          <w:rPr>
            <w:rStyle w:val="Hyperlink"/>
          </w:rPr>
          <w:t>Příloha</w:t>
        </w:r>
        <w:r>
          <w:rPr>
            <w:webHidden/>
          </w:rPr>
          <w:tab/>
        </w:r>
        <w:r>
          <w:rPr>
            <w:webHidden/>
          </w:rPr>
          <w:fldChar w:fldCharType="begin"/>
        </w:r>
        <w:r>
          <w:rPr>
            <w:webHidden/>
          </w:rPr>
          <w:instrText xml:space="preserve"> PAGEREF _Toc428180940 \h </w:instrText>
        </w:r>
        <w:r>
          <w:rPr>
            <w:webHidden/>
          </w:rPr>
        </w:r>
        <w:r>
          <w:rPr>
            <w:webHidden/>
          </w:rPr>
          <w:fldChar w:fldCharType="separate"/>
        </w:r>
        <w:r>
          <w:rPr>
            <w:webHidden/>
          </w:rPr>
          <w:t>17</w:t>
        </w:r>
        <w:r>
          <w:rPr>
            <w:webHidden/>
          </w:rPr>
          <w:fldChar w:fldCharType="end"/>
        </w:r>
      </w:hyperlink>
    </w:p>
    <w:p w:rsidR="00DF2E7F" w:rsidRDefault="00DF2E7F" w:rsidP="00DF2E7F">
      <w:pPr>
        <w:pStyle w:val="TOC1"/>
        <w:rPr>
          <w:rFonts w:asciiTheme="minorHAnsi" w:eastAsiaTheme="minorEastAsia" w:hAnsiTheme="minorHAnsi"/>
          <w:color w:val="auto"/>
          <w:sz w:val="22"/>
          <w:lang w:val="en-US" w:eastAsia="en-US" w:bidi="ar-SA"/>
        </w:rPr>
      </w:pPr>
      <w:hyperlink w:anchor="_Toc428180941" w:history="1">
        <w:r w:rsidRPr="00CE0603">
          <w:rPr>
            <w:rStyle w:val="Hyperlink"/>
            <w:rFonts w:asciiTheme="majorHAnsi" w:eastAsiaTheme="majorEastAsia" w:hAnsiTheme="majorHAnsi" w:cstheme="majorBidi"/>
            <w:bCs/>
          </w:rPr>
          <w:t>Definice r</w:t>
        </w:r>
        <w:r w:rsidRPr="00CE0603">
          <w:rPr>
            <w:rStyle w:val="Hyperlink"/>
            <w:rFonts w:asciiTheme="majorHAnsi" w:eastAsiaTheme="majorEastAsia" w:hAnsiTheme="majorHAnsi" w:cstheme="majorBidi"/>
          </w:rPr>
          <w:t>egionů</w:t>
        </w:r>
        <w:r>
          <w:rPr>
            <w:webHidden/>
          </w:rPr>
          <w:tab/>
        </w:r>
        <w:r>
          <w:rPr>
            <w:webHidden/>
          </w:rPr>
          <w:fldChar w:fldCharType="begin"/>
        </w:r>
        <w:r>
          <w:rPr>
            <w:webHidden/>
          </w:rPr>
          <w:instrText xml:space="preserve"> PAGEREF _Toc428180941 \h </w:instrText>
        </w:r>
        <w:r>
          <w:rPr>
            <w:webHidden/>
          </w:rPr>
        </w:r>
        <w:r>
          <w:rPr>
            <w:webHidden/>
          </w:rPr>
          <w:fldChar w:fldCharType="separate"/>
        </w:r>
        <w:r>
          <w:rPr>
            <w:webHidden/>
          </w:rPr>
          <w:t>17</w:t>
        </w:r>
        <w:r>
          <w:rPr>
            <w:webHidden/>
          </w:rPr>
          <w:fldChar w:fldCharType="end"/>
        </w:r>
      </w:hyperlink>
    </w:p>
    <w:p w:rsidR="00DF2E7F" w:rsidRPr="00483B32" w:rsidRDefault="00DF2E7F" w:rsidP="00DF2E7F">
      <w:pPr>
        <w:pStyle w:val="BodyText"/>
      </w:pPr>
      <w:r>
        <w:fldChar w:fldCharType="end"/>
      </w:r>
    </w:p>
    <w:p w:rsidR="00DF2E7F" w:rsidRPr="00483B32" w:rsidRDefault="00DF2E7F" w:rsidP="00DF2E7F">
      <w:pPr>
        <w:pStyle w:val="Hdg1noborder"/>
      </w:pPr>
      <w:bookmarkStart w:id="1" w:name="_Toc403380293"/>
      <w:bookmarkStart w:id="2" w:name="_Toc403985011"/>
      <w:bookmarkStart w:id="3" w:name="_Toc428180910"/>
      <w:r>
        <w:lastRenderedPageBreak/>
        <w:t>Účel dokumentu a zdroje</w:t>
      </w:r>
      <w:bookmarkEnd w:id="1"/>
      <w:bookmarkEnd w:id="2"/>
      <w:bookmarkEnd w:id="3"/>
    </w:p>
    <w:p w:rsidR="00DF2E7F" w:rsidRPr="00483B32" w:rsidRDefault="00DF2E7F" w:rsidP="00DF2E7F">
      <w:pPr>
        <w:pStyle w:val="BodyText"/>
      </w:pPr>
      <w:r>
        <w:t>Tato licenční příručka poskytuje podpůrné informace pro zákazníky smlouvy Microsoft Products and Services Agreement (MPSA) týkající se struktury účtu, procesu objednávání, cen, krytí Software Assurance a jeho výhod a ostatních podmínek. Veškeré termíny uvedené velkými písmeny, které jsou v této licenční příručce použity, ale nejsou zde definovány, mají stejný význam jako ve smlouvě MPSA.</w:t>
      </w:r>
    </w:p>
    <w:p w:rsidR="00DF2E7F" w:rsidRPr="00483B32" w:rsidRDefault="00DF2E7F" w:rsidP="00DF2E7F">
      <w:pPr>
        <w:pStyle w:val="BodyText"/>
      </w:pPr>
      <w:r>
        <w:t xml:space="preserve">Obecný přehled smlouvy MPSA naleznete v licenční příručce na adrese </w:t>
      </w:r>
      <w:hyperlink r:id="rId11" w:history="1">
        <w:r>
          <w:rPr>
            <w:rStyle w:val="Hyperlink"/>
          </w:rPr>
          <w:t>http://www.microsoft.com/licensing/mpsa/</w:t>
        </w:r>
      </w:hyperlink>
      <w:r w:rsidRPr="002F2979">
        <w:rPr>
          <w:rStyle w:val="Hyperlink"/>
        </w:rPr>
        <w:t>.</w:t>
      </w:r>
      <w:r>
        <w:rPr>
          <w:rStyle w:val="Hyperlink"/>
        </w:rPr>
        <w:t xml:space="preserve"> </w:t>
      </w:r>
    </w:p>
    <w:p w:rsidR="00DF2E7F" w:rsidRPr="00483B32" w:rsidRDefault="00DF2E7F" w:rsidP="00DF2E7F">
      <w:pPr>
        <w:pStyle w:val="BodyText"/>
      </w:pPr>
      <w:r>
        <w:t>N</w:t>
      </w:r>
      <w:r w:rsidRPr="00A41872">
        <w:t>ejn</w:t>
      </w:r>
      <w:r>
        <w:t xml:space="preserve">ovější verzi tohoto dokumentu, podrobnosti o užívacích právech a podmínky produktu naleznete na adrese </w:t>
      </w:r>
      <w:hyperlink r:id="rId12" w:history="1">
        <w:r>
          <w:rPr>
            <w:rStyle w:val="Hyperlink"/>
          </w:rPr>
          <w:t>http://www.microsoft.com/licensing/contracts</w:t>
        </w:r>
      </w:hyperlink>
      <w:r w:rsidRPr="002F2979">
        <w:rPr>
          <w:rStyle w:val="Hyperlink"/>
        </w:rPr>
        <w:t>.</w:t>
      </w:r>
      <w:r w:rsidRPr="002F2979">
        <w:t xml:space="preserve"> </w:t>
      </w:r>
    </w:p>
    <w:p w:rsidR="00DF2E7F" w:rsidRPr="00483B32" w:rsidRDefault="00DF2E7F" w:rsidP="00DF2E7F">
      <w:pPr>
        <w:spacing w:line="240" w:lineRule="auto"/>
      </w:pPr>
      <w:r>
        <w:br w:type="page"/>
      </w:r>
    </w:p>
    <w:p w:rsidR="00DF2E7F" w:rsidRPr="00483B32" w:rsidRDefault="00DF2E7F" w:rsidP="00DF2E7F">
      <w:pPr>
        <w:pStyle w:val="Hdg1noborder"/>
        <w:spacing w:before="120" w:after="0"/>
      </w:pPr>
      <w:bookmarkStart w:id="4" w:name="_Toc403380294"/>
      <w:bookmarkStart w:id="5" w:name="_Toc403985012"/>
      <w:bookmarkStart w:id="6" w:name="_Toc428180911"/>
      <w:r>
        <w:lastRenderedPageBreak/>
        <w:t>Oddíl 1</w:t>
      </w:r>
      <w:bookmarkEnd w:id="4"/>
      <w:bookmarkEnd w:id="5"/>
      <w:bookmarkEnd w:id="6"/>
    </w:p>
    <w:p w:rsidR="00DF2E7F" w:rsidRPr="00483B32" w:rsidRDefault="00DF2E7F" w:rsidP="00DF2E7F">
      <w:pPr>
        <w:pStyle w:val="Hdg1noborder"/>
        <w:spacing w:before="120" w:after="120" w:line="240" w:lineRule="auto"/>
        <w:rPr>
          <w:rFonts w:eastAsiaTheme="majorEastAsia"/>
        </w:rPr>
      </w:pPr>
      <w:bookmarkStart w:id="7" w:name="_Toc403380295"/>
      <w:bookmarkStart w:id="8" w:name="_Toc403985013"/>
      <w:bookmarkStart w:id="9" w:name="_Toc428180912"/>
      <w:r>
        <w:rPr>
          <w:rFonts w:asciiTheme="majorHAnsi" w:eastAsiaTheme="majorEastAsia" w:hAnsiTheme="majorHAnsi" w:cstheme="majorBidi"/>
          <w:bCs/>
          <w:color w:val="FFC000" w:themeColor="accent4"/>
          <w:sz w:val="28"/>
          <w:szCs w:val="26"/>
        </w:rPr>
        <w:t>Jak funguje smlouva Microsoft Products and Services Agreement</w:t>
      </w:r>
      <w:bookmarkEnd w:id="7"/>
      <w:bookmarkEnd w:id="8"/>
      <w:bookmarkEnd w:id="9"/>
    </w:p>
    <w:p w:rsidR="00DF2E7F" w:rsidRPr="00483B32" w:rsidRDefault="00DF2E7F" w:rsidP="00DF2E7F">
      <w:pPr>
        <w:pStyle w:val="Thirdheading"/>
      </w:pPr>
      <w:r>
        <w:rPr>
          <w:b/>
        </w:rPr>
        <w:t>Struktura účtu</w:t>
      </w:r>
    </w:p>
    <w:p w:rsidR="00DF2E7F" w:rsidRPr="00483B32" w:rsidRDefault="00DF2E7F" w:rsidP="00DF2E7F">
      <w:pPr>
        <w:pStyle w:val="BodyText"/>
      </w:pPr>
      <w:r>
        <w:t>V rámci smlouvy Microsoft Products and Services Agreement máte možnost nastavit pro nákupy v rámci multilicenčního programu pomocí nákupních jednotek požadovanou nákupní strukturu. Nákupní jednotka je definována jako jakákoli jednotka ve vaší organizaci, kterou chcete aktivovat pro nákup produktů, a to softwaru i služeb online. Vaše nákupní jednotky jsou spojeny se smlouvou MPSA vaší organizace prostřednictvím vaší definované právnické osoby na registračním formuláři nákupní jednotky.</w:t>
      </w:r>
    </w:p>
    <w:p w:rsidR="00DF2E7F" w:rsidRPr="00483B32" w:rsidRDefault="00DF2E7F" w:rsidP="00DF2E7F">
      <w:pPr>
        <w:pStyle w:val="BodyText"/>
      </w:pPr>
      <w:r>
        <w:t xml:space="preserve">Pro různé typy zákazníků jsou definovány tři typy nákupních jednotek: program Commercial, Government a Academic. </w:t>
      </w:r>
    </w:p>
    <w:p w:rsidR="00DF2E7F" w:rsidRPr="00483B32" w:rsidRDefault="00DF2E7F" w:rsidP="00DF2E7F">
      <w:pPr>
        <w:pStyle w:val="BodyText"/>
      </w:pPr>
      <w:r>
        <w:t>Flexibilní struktura nákupních jednotek vám umožňuje definovat a předefinovat nákupní konfiguraci organizace na základě svých obchodních potřeb. Tyto účty lze nastavit na úrovni organizace, afilace nebo oddělení nebo pouze pro podskupinu personálu.</w:t>
      </w:r>
    </w:p>
    <w:p w:rsidR="00DF2E7F" w:rsidRPr="00483B32" w:rsidRDefault="00DF2E7F" w:rsidP="00DF2E7F">
      <w:pPr>
        <w:pStyle w:val="BodyText"/>
      </w:pPr>
      <w:r>
        <w:t xml:space="preserve">Nejprve je třeba rozhodnout, jak chcete, aby vaše organizace nákup produktů realizovala. Poté určíte strukturu, která bude vytvořena pro vaše nákupy transakcí v rámci multilicenčního programu. </w:t>
      </w:r>
    </w:p>
    <w:p w:rsidR="00DF2E7F" w:rsidRPr="00483B32" w:rsidRDefault="00DF2E7F" w:rsidP="00DF2E7F">
      <w:pPr>
        <w:pStyle w:val="BodyText"/>
      </w:pPr>
      <w:r>
        <w:t xml:space="preserve">Pokud například chcete centrálně spravovat nákupy, můžete si zaregistrovat jednu nákupní jednotku: </w:t>
      </w:r>
    </w:p>
    <w:tbl>
      <w:tblPr>
        <w:tblStyle w:val="MediumShading1-Accent4"/>
        <w:tblW w:w="0" w:type="auto"/>
        <w:tblInd w:w="108" w:type="dxa"/>
        <w:tblLook w:val="04A0" w:firstRow="1" w:lastRow="0" w:firstColumn="1" w:lastColumn="0" w:noHBand="0" w:noVBand="1"/>
      </w:tblPr>
      <w:tblGrid>
        <w:gridCol w:w="6750"/>
      </w:tblGrid>
      <w:tr w:rsidR="00DF2E7F" w:rsidRPr="004105EA" w:rsidTr="0019337E">
        <w:trPr>
          <w:cnfStyle w:val="100000000000" w:firstRow="1" w:lastRow="0" w:firstColumn="0" w:lastColumn="0" w:oddVBand="0" w:evenVBand="0" w:oddHBand="0"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6750" w:type="dxa"/>
            <w:vAlign w:val="center"/>
          </w:tcPr>
          <w:p w:rsidR="00DF2E7F" w:rsidRPr="004105EA" w:rsidRDefault="00DF2E7F" w:rsidP="0019337E">
            <w:pPr>
              <w:pStyle w:val="BodyText"/>
              <w:spacing w:after="0" w:line="240" w:lineRule="auto"/>
              <w:jc w:val="center"/>
              <w:rPr>
                <w:color w:val="FFFFFF" w:themeColor="background1"/>
                <w:sz w:val="16"/>
              </w:rPr>
            </w:pPr>
            <w:r>
              <w:rPr>
                <w:color w:val="FFFFFF" w:themeColor="background1"/>
                <w:sz w:val="16"/>
              </w:rPr>
              <w:t>NÁKUPNÍ JEDNOTKA</w:t>
            </w:r>
          </w:p>
        </w:tc>
      </w:tr>
      <w:tr w:rsidR="00DF2E7F" w:rsidRPr="004105EA" w:rsidTr="0019337E">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6750" w:type="dxa"/>
            <w:vAlign w:val="center"/>
          </w:tcPr>
          <w:p w:rsidR="00DF2E7F" w:rsidRPr="004105EA" w:rsidRDefault="00DF2E7F" w:rsidP="0019337E">
            <w:pPr>
              <w:pStyle w:val="BodyText"/>
              <w:spacing w:after="0" w:line="240" w:lineRule="auto"/>
              <w:jc w:val="center"/>
              <w:rPr>
                <w:color w:val="FFFFFF" w:themeColor="background1"/>
                <w:sz w:val="16"/>
              </w:rPr>
            </w:pPr>
            <w:r>
              <w:rPr>
                <w:color w:val="FFC000" w:themeColor="accent4"/>
                <w:sz w:val="16"/>
              </w:rPr>
              <w:t>MPSA</w:t>
            </w:r>
          </w:p>
        </w:tc>
      </w:tr>
    </w:tbl>
    <w:p w:rsidR="00DF2E7F" w:rsidRPr="00483B32" w:rsidRDefault="00DF2E7F" w:rsidP="00DF2E7F">
      <w:pPr>
        <w:pStyle w:val="BodyText"/>
        <w:spacing w:before="240"/>
      </w:pPr>
      <w:r>
        <w:t xml:space="preserve">Pokud například požadujete decentralizovanější přístup, můžete si zaregistrovat několik nákupních jednotek a v rámci jediné smlouvy MPSA můžete využívat různé typy jednotek: </w:t>
      </w:r>
    </w:p>
    <w:tbl>
      <w:tblPr>
        <w:tblStyle w:val="MediumShading1-Accent4"/>
        <w:tblW w:w="0" w:type="auto"/>
        <w:tblInd w:w="108" w:type="dxa"/>
        <w:tblLook w:val="04A0" w:firstRow="1" w:lastRow="0" w:firstColumn="1" w:lastColumn="0" w:noHBand="0" w:noVBand="1"/>
      </w:tblPr>
      <w:tblGrid>
        <w:gridCol w:w="2250"/>
        <w:gridCol w:w="2250"/>
        <w:gridCol w:w="2250"/>
      </w:tblGrid>
      <w:tr w:rsidR="00DF2E7F" w:rsidRPr="004105EA" w:rsidTr="0019337E">
        <w:trPr>
          <w:cnfStyle w:val="100000000000" w:firstRow="1" w:lastRow="0" w:firstColumn="0" w:lastColumn="0" w:oddVBand="0" w:evenVBand="0" w:oddHBand="0"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2250" w:type="dxa"/>
            <w:vAlign w:val="center"/>
          </w:tcPr>
          <w:p w:rsidR="00DF2E7F" w:rsidRPr="00483B32" w:rsidRDefault="00DF2E7F" w:rsidP="0019337E">
            <w:pPr>
              <w:pStyle w:val="BodyText"/>
              <w:spacing w:after="0" w:line="240" w:lineRule="auto"/>
              <w:jc w:val="center"/>
            </w:pPr>
            <w:r>
              <w:rPr>
                <w:color w:val="FFFFFF" w:themeColor="background1"/>
                <w:sz w:val="16"/>
              </w:rPr>
              <w:t>NÁKUPNÍ JEDNOTKA 1</w:t>
            </w:r>
          </w:p>
          <w:p w:rsidR="00DF2E7F" w:rsidRPr="004105EA" w:rsidRDefault="00DF2E7F" w:rsidP="0019337E">
            <w:pPr>
              <w:pStyle w:val="BodyText"/>
              <w:spacing w:after="0" w:line="240" w:lineRule="auto"/>
              <w:jc w:val="center"/>
              <w:rPr>
                <w:color w:val="FFFFFF" w:themeColor="background1"/>
                <w:sz w:val="16"/>
              </w:rPr>
            </w:pPr>
            <w:r>
              <w:rPr>
                <w:color w:val="FFFFFF" w:themeColor="background1"/>
                <w:sz w:val="16"/>
              </w:rPr>
              <w:t>vzdělávací instituce</w:t>
            </w:r>
          </w:p>
        </w:tc>
        <w:tc>
          <w:tcPr>
            <w:tcW w:w="2250" w:type="dxa"/>
            <w:vAlign w:val="center"/>
          </w:tcPr>
          <w:p w:rsidR="00DF2E7F" w:rsidRPr="00483B32" w:rsidRDefault="00DF2E7F" w:rsidP="0019337E">
            <w:pPr>
              <w:pStyle w:val="BodyText"/>
              <w:spacing w:after="0" w:line="240" w:lineRule="auto"/>
              <w:jc w:val="center"/>
              <w:cnfStyle w:val="100000000000" w:firstRow="1" w:lastRow="0" w:firstColumn="0" w:lastColumn="0" w:oddVBand="0" w:evenVBand="0" w:oddHBand="0" w:evenHBand="0" w:firstRowFirstColumn="0" w:firstRowLastColumn="0" w:lastRowFirstColumn="0" w:lastRowLastColumn="0"/>
            </w:pPr>
            <w:r>
              <w:rPr>
                <w:color w:val="FFFFFF" w:themeColor="background1"/>
                <w:sz w:val="16"/>
              </w:rPr>
              <w:t>NÁKUPNÍ JEDNOTKA 2</w:t>
            </w:r>
          </w:p>
          <w:p w:rsidR="00DF2E7F" w:rsidRPr="004105EA" w:rsidRDefault="00DF2E7F" w:rsidP="0019337E">
            <w:pPr>
              <w:pStyle w:val="BodyText"/>
              <w:spacing w:after="0" w:line="240" w:lineRule="auto"/>
              <w:jc w:val="center"/>
              <w:cnfStyle w:val="100000000000" w:firstRow="1" w:lastRow="0" w:firstColumn="0" w:lastColumn="0" w:oddVBand="0" w:evenVBand="0" w:oddHBand="0" w:evenHBand="0" w:firstRowFirstColumn="0" w:firstRowLastColumn="0" w:lastRowFirstColumn="0" w:lastRowLastColumn="0"/>
              <w:rPr>
                <w:color w:val="FFFFFF" w:themeColor="background1"/>
                <w:sz w:val="16"/>
              </w:rPr>
            </w:pPr>
            <w:r>
              <w:rPr>
                <w:color w:val="FFFFFF" w:themeColor="background1"/>
                <w:sz w:val="16"/>
              </w:rPr>
              <w:t>komerční</w:t>
            </w:r>
          </w:p>
        </w:tc>
        <w:tc>
          <w:tcPr>
            <w:tcW w:w="2250" w:type="dxa"/>
            <w:vAlign w:val="center"/>
          </w:tcPr>
          <w:p w:rsidR="00DF2E7F" w:rsidRPr="00483B32" w:rsidRDefault="00DF2E7F" w:rsidP="0019337E">
            <w:pPr>
              <w:pStyle w:val="BodyText"/>
              <w:spacing w:after="0"/>
              <w:jc w:val="center"/>
              <w:cnfStyle w:val="100000000000" w:firstRow="1" w:lastRow="0" w:firstColumn="0" w:lastColumn="0" w:oddVBand="0" w:evenVBand="0" w:oddHBand="0" w:evenHBand="0" w:firstRowFirstColumn="0" w:firstRowLastColumn="0" w:lastRowFirstColumn="0" w:lastRowLastColumn="0"/>
            </w:pPr>
            <w:r>
              <w:rPr>
                <w:color w:val="FFFFFF" w:themeColor="background1"/>
                <w:sz w:val="16"/>
              </w:rPr>
              <w:t>NÁKUPNÍ JEDNOTKA 3</w:t>
            </w:r>
          </w:p>
          <w:p w:rsidR="00DF2E7F" w:rsidRPr="004105EA" w:rsidRDefault="00DF2E7F" w:rsidP="0019337E">
            <w:pPr>
              <w:pStyle w:val="BodyText"/>
              <w:spacing w:after="0"/>
              <w:jc w:val="center"/>
              <w:cnfStyle w:val="100000000000" w:firstRow="1" w:lastRow="0" w:firstColumn="0" w:lastColumn="0" w:oddVBand="0" w:evenVBand="0" w:oddHBand="0" w:evenHBand="0" w:firstRowFirstColumn="0" w:firstRowLastColumn="0" w:lastRowFirstColumn="0" w:lastRowLastColumn="0"/>
              <w:rPr>
                <w:color w:val="FFFFFF" w:themeColor="background1"/>
                <w:sz w:val="16"/>
              </w:rPr>
            </w:pPr>
            <w:r>
              <w:rPr>
                <w:color w:val="FFFFFF" w:themeColor="background1"/>
                <w:sz w:val="16"/>
              </w:rPr>
              <w:t>komerční</w:t>
            </w:r>
          </w:p>
        </w:tc>
      </w:tr>
      <w:tr w:rsidR="00DF2E7F" w:rsidRPr="004105EA" w:rsidTr="0019337E">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6750" w:type="dxa"/>
            <w:gridSpan w:val="3"/>
            <w:vAlign w:val="center"/>
          </w:tcPr>
          <w:p w:rsidR="00DF2E7F" w:rsidRPr="004105EA" w:rsidRDefault="00DF2E7F" w:rsidP="0019337E">
            <w:pPr>
              <w:pStyle w:val="BodyText"/>
              <w:spacing w:after="0" w:line="240" w:lineRule="auto"/>
              <w:jc w:val="center"/>
              <w:rPr>
                <w:color w:val="FFFFFF" w:themeColor="background1"/>
                <w:sz w:val="16"/>
              </w:rPr>
            </w:pPr>
            <w:r>
              <w:rPr>
                <w:color w:val="FFC000" w:themeColor="accent4"/>
                <w:sz w:val="16"/>
              </w:rPr>
              <w:t>MPSA</w:t>
            </w:r>
          </w:p>
        </w:tc>
      </w:tr>
    </w:tbl>
    <w:p w:rsidR="00DF2E7F" w:rsidRPr="00483B32" w:rsidRDefault="00DF2E7F" w:rsidP="00DF2E7F">
      <w:pPr>
        <w:pStyle w:val="Thirdheading"/>
      </w:pPr>
    </w:p>
    <w:tbl>
      <w:tblPr>
        <w:tblStyle w:val="MediumShading1-Accent4"/>
        <w:tblW w:w="0" w:type="auto"/>
        <w:tblInd w:w="108" w:type="dxa"/>
        <w:tblLook w:val="04A0" w:firstRow="1" w:lastRow="0" w:firstColumn="1" w:lastColumn="0" w:noHBand="0" w:noVBand="1"/>
      </w:tblPr>
      <w:tblGrid>
        <w:gridCol w:w="2250"/>
        <w:gridCol w:w="2250"/>
        <w:gridCol w:w="2250"/>
      </w:tblGrid>
      <w:tr w:rsidR="00DF2E7F" w:rsidRPr="004105EA" w:rsidTr="0019337E">
        <w:trPr>
          <w:cnfStyle w:val="100000000000" w:firstRow="1" w:lastRow="0" w:firstColumn="0" w:lastColumn="0" w:oddVBand="0" w:evenVBand="0" w:oddHBand="0"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2250" w:type="dxa"/>
            <w:vAlign w:val="center"/>
          </w:tcPr>
          <w:p w:rsidR="00DF2E7F" w:rsidRPr="00483B32" w:rsidRDefault="00DF2E7F" w:rsidP="0019337E">
            <w:pPr>
              <w:pStyle w:val="BodyText"/>
              <w:spacing w:after="0" w:line="240" w:lineRule="auto"/>
              <w:jc w:val="center"/>
            </w:pPr>
            <w:r>
              <w:rPr>
                <w:color w:val="FFFFFF" w:themeColor="background1"/>
                <w:sz w:val="16"/>
              </w:rPr>
              <w:t>NÁKUPNÍ JEDNOTKA 1</w:t>
            </w:r>
          </w:p>
          <w:p w:rsidR="00DF2E7F" w:rsidRPr="004105EA" w:rsidRDefault="00DF2E7F" w:rsidP="0019337E">
            <w:pPr>
              <w:pStyle w:val="BodyText"/>
              <w:spacing w:after="0" w:line="240" w:lineRule="auto"/>
              <w:jc w:val="center"/>
              <w:rPr>
                <w:color w:val="FFFFFF" w:themeColor="background1"/>
                <w:sz w:val="16"/>
              </w:rPr>
            </w:pPr>
            <w:r>
              <w:rPr>
                <w:color w:val="FFFFFF" w:themeColor="background1"/>
                <w:sz w:val="16"/>
              </w:rPr>
              <w:t>komerční</w:t>
            </w:r>
          </w:p>
        </w:tc>
        <w:tc>
          <w:tcPr>
            <w:tcW w:w="2250" w:type="dxa"/>
            <w:vAlign w:val="center"/>
          </w:tcPr>
          <w:p w:rsidR="00DF2E7F" w:rsidRPr="00483B32" w:rsidRDefault="00DF2E7F" w:rsidP="0019337E">
            <w:pPr>
              <w:pStyle w:val="BodyText"/>
              <w:spacing w:after="0" w:line="240" w:lineRule="auto"/>
              <w:jc w:val="center"/>
              <w:cnfStyle w:val="100000000000" w:firstRow="1" w:lastRow="0" w:firstColumn="0" w:lastColumn="0" w:oddVBand="0" w:evenVBand="0" w:oddHBand="0" w:evenHBand="0" w:firstRowFirstColumn="0" w:firstRowLastColumn="0" w:lastRowFirstColumn="0" w:lastRowLastColumn="0"/>
            </w:pPr>
            <w:r>
              <w:rPr>
                <w:color w:val="FFFFFF" w:themeColor="background1"/>
                <w:sz w:val="16"/>
              </w:rPr>
              <w:t>NÁKUPNÍ JEDNOTKA 2</w:t>
            </w:r>
          </w:p>
          <w:p w:rsidR="00DF2E7F" w:rsidRPr="004105EA" w:rsidRDefault="00DF2E7F" w:rsidP="0019337E">
            <w:pPr>
              <w:pStyle w:val="BodyText"/>
              <w:spacing w:after="0" w:line="240" w:lineRule="auto"/>
              <w:jc w:val="center"/>
              <w:cnfStyle w:val="100000000000" w:firstRow="1" w:lastRow="0" w:firstColumn="0" w:lastColumn="0" w:oddVBand="0" w:evenVBand="0" w:oddHBand="0" w:evenHBand="0" w:firstRowFirstColumn="0" w:firstRowLastColumn="0" w:lastRowFirstColumn="0" w:lastRowLastColumn="0"/>
              <w:rPr>
                <w:color w:val="FFFFFF" w:themeColor="background1"/>
                <w:sz w:val="16"/>
              </w:rPr>
            </w:pPr>
            <w:r>
              <w:rPr>
                <w:color w:val="FFFFFF" w:themeColor="background1"/>
                <w:sz w:val="16"/>
              </w:rPr>
              <w:t>komerční</w:t>
            </w:r>
          </w:p>
        </w:tc>
        <w:tc>
          <w:tcPr>
            <w:tcW w:w="2250" w:type="dxa"/>
            <w:vAlign w:val="center"/>
          </w:tcPr>
          <w:p w:rsidR="00DF2E7F" w:rsidRPr="00483B32" w:rsidRDefault="00DF2E7F" w:rsidP="0019337E">
            <w:pPr>
              <w:pStyle w:val="BodyText"/>
              <w:spacing w:after="0"/>
              <w:jc w:val="center"/>
              <w:cnfStyle w:val="100000000000" w:firstRow="1" w:lastRow="0" w:firstColumn="0" w:lastColumn="0" w:oddVBand="0" w:evenVBand="0" w:oddHBand="0" w:evenHBand="0" w:firstRowFirstColumn="0" w:firstRowLastColumn="0" w:lastRowFirstColumn="0" w:lastRowLastColumn="0"/>
            </w:pPr>
            <w:r>
              <w:rPr>
                <w:color w:val="FFFFFF" w:themeColor="background1"/>
                <w:sz w:val="16"/>
              </w:rPr>
              <w:t>NÁKUPNÍ JEDNOTKA 3</w:t>
            </w:r>
          </w:p>
          <w:p w:rsidR="00DF2E7F" w:rsidRPr="004105EA" w:rsidRDefault="00DF2E7F" w:rsidP="0019337E">
            <w:pPr>
              <w:pStyle w:val="BodyText"/>
              <w:spacing w:after="0"/>
              <w:jc w:val="center"/>
              <w:cnfStyle w:val="100000000000" w:firstRow="1" w:lastRow="0" w:firstColumn="0" w:lastColumn="0" w:oddVBand="0" w:evenVBand="0" w:oddHBand="0" w:evenHBand="0" w:firstRowFirstColumn="0" w:firstRowLastColumn="0" w:lastRowFirstColumn="0" w:lastRowLastColumn="0"/>
              <w:rPr>
                <w:color w:val="FFFFFF" w:themeColor="background1"/>
                <w:sz w:val="16"/>
              </w:rPr>
            </w:pPr>
            <w:r>
              <w:rPr>
                <w:color w:val="FFFFFF" w:themeColor="background1"/>
                <w:sz w:val="16"/>
              </w:rPr>
              <w:t>komerční</w:t>
            </w:r>
          </w:p>
        </w:tc>
      </w:tr>
      <w:tr w:rsidR="00DF2E7F" w:rsidRPr="004105EA" w:rsidTr="0019337E">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6750" w:type="dxa"/>
            <w:gridSpan w:val="3"/>
            <w:vAlign w:val="center"/>
          </w:tcPr>
          <w:p w:rsidR="00DF2E7F" w:rsidRPr="004105EA" w:rsidRDefault="00DF2E7F" w:rsidP="0019337E">
            <w:pPr>
              <w:pStyle w:val="BodyText"/>
              <w:spacing w:after="0" w:line="240" w:lineRule="auto"/>
              <w:jc w:val="center"/>
              <w:rPr>
                <w:color w:val="FFFFFF" w:themeColor="background1"/>
                <w:sz w:val="16"/>
              </w:rPr>
            </w:pPr>
            <w:r>
              <w:rPr>
                <w:color w:val="FFC000" w:themeColor="accent4"/>
                <w:sz w:val="16"/>
              </w:rPr>
              <w:t>MPSA</w:t>
            </w:r>
          </w:p>
        </w:tc>
      </w:tr>
    </w:tbl>
    <w:p w:rsidR="00DF2E7F" w:rsidRPr="00483B32" w:rsidRDefault="00DF2E7F" w:rsidP="00DF2E7F">
      <w:pPr>
        <w:pStyle w:val="Thirdheading"/>
      </w:pPr>
    </w:p>
    <w:p w:rsidR="00DF2E7F" w:rsidRPr="00483B32" w:rsidRDefault="00DF2E7F" w:rsidP="00DF2E7F">
      <w:pPr>
        <w:pStyle w:val="Thirdheading"/>
      </w:pPr>
      <w:r>
        <w:rPr>
          <w:b/>
        </w:rPr>
        <w:t>Výroční měsíc nákupní jednotky</w:t>
      </w:r>
    </w:p>
    <w:p w:rsidR="00DF2E7F" w:rsidRPr="00483B32" w:rsidRDefault="00DF2E7F" w:rsidP="00DF2E7F">
      <w:pPr>
        <w:pStyle w:val="BodyText"/>
      </w:pPr>
      <w:r>
        <w:t xml:space="preserve">Při registraci jednotlivých nákupních jednotek se zvolí konkrétní měsíc, v rámci kterého se sjednotí nákupy s obdobími předplatného, k zajištění jednoho konzistentního výročí pro obnovení. Pokud si například některá z vašich jednotek zvolí jako výroční měsíc leden, sjednotí se jakýkoli nákup služeb online v rámci daného účtu s daným měsícem, a obnovení služeb online tedy bude vždy probíhat v lednu. Toto určení lze později pro organizaci podle potřeby změnit prostřednictvím centra Microsoft Volume Licensing Center (MVLC). </w:t>
      </w:r>
    </w:p>
    <w:p w:rsidR="00DF2E7F" w:rsidRPr="00483B32" w:rsidRDefault="00DF2E7F" w:rsidP="00DF2E7F">
      <w:pPr>
        <w:pStyle w:val="BodyText"/>
      </w:pPr>
      <w:r>
        <w:t xml:space="preserve">Pro nákupní jednotky v rámci programu Government a Academic lze pro nákupy určit datum skončení. Je-li vybrána tato volba, období předplatného nebudou po tomto datu prodloužena. Toto datum je v případě potřeby možné posunout. </w:t>
      </w:r>
    </w:p>
    <w:p w:rsidR="00DF2E7F" w:rsidRPr="00483B32" w:rsidRDefault="00DF2E7F" w:rsidP="00DF2E7F">
      <w:pPr>
        <w:pStyle w:val="BodyText"/>
      </w:pPr>
    </w:p>
    <w:p w:rsidR="00DF2E7F" w:rsidRPr="00483B32" w:rsidRDefault="00DF2E7F" w:rsidP="00DF2E7F">
      <w:pPr>
        <w:pStyle w:val="Thirdheading"/>
      </w:pPr>
      <w:r>
        <w:rPr>
          <w:b/>
        </w:rPr>
        <w:t>Správce smlouvy</w:t>
      </w:r>
    </w:p>
    <w:p w:rsidR="00DF2E7F" w:rsidRPr="00483B32" w:rsidRDefault="00DF2E7F" w:rsidP="00DF2E7F">
      <w:pPr>
        <w:pStyle w:val="BodyText"/>
      </w:pPr>
      <w:r>
        <w:t>Pro každou smlouvu MPSA je jako správce smlouvy určena jedna nákupní jednotka. Získáte tak konsolidovaný přehled o všech aktivech v rámci organizace a vhodný jednotný zdroj pro správu všech nákupních jednotek. Účet správce smlouvy:</w:t>
      </w:r>
    </w:p>
    <w:p w:rsidR="00DF2E7F" w:rsidRPr="00483B32" w:rsidRDefault="00DF2E7F" w:rsidP="00DF2E7F">
      <w:pPr>
        <w:pStyle w:val="BodyText"/>
        <w:numPr>
          <w:ilvl w:val="0"/>
          <w:numId w:val="16"/>
        </w:numPr>
        <w:spacing w:after="0"/>
      </w:pPr>
      <w:r>
        <w:t>zahrnuje kompletní přehled o aktivech v rámci všech nákupních jednotek;</w:t>
      </w:r>
    </w:p>
    <w:p w:rsidR="00DF2E7F" w:rsidRPr="00483B32" w:rsidRDefault="00DF2E7F" w:rsidP="00DF2E7F">
      <w:pPr>
        <w:pStyle w:val="BodyText"/>
        <w:numPr>
          <w:ilvl w:val="0"/>
          <w:numId w:val="16"/>
        </w:numPr>
        <w:spacing w:after="0"/>
      </w:pPr>
      <w:r>
        <w:t>obdrží upozornění, když se k vaší smlouvě MPSA přiřadí nákupní jednotka;</w:t>
      </w:r>
    </w:p>
    <w:p w:rsidR="00DF2E7F" w:rsidRPr="00483B32" w:rsidRDefault="00DF2E7F" w:rsidP="00DF2E7F">
      <w:pPr>
        <w:pStyle w:val="BodyText"/>
        <w:numPr>
          <w:ilvl w:val="0"/>
          <w:numId w:val="16"/>
        </w:numPr>
        <w:spacing w:after="0"/>
      </w:pPr>
      <w:r>
        <w:t>může ukončit přiřazení libovolné nákupní jednotky ke smlouvě MPSA;</w:t>
      </w:r>
    </w:p>
    <w:p w:rsidR="00DF2E7F" w:rsidRPr="00483B32" w:rsidRDefault="00DF2E7F" w:rsidP="00DF2E7F">
      <w:pPr>
        <w:pStyle w:val="BodyText"/>
        <w:numPr>
          <w:ilvl w:val="0"/>
          <w:numId w:val="16"/>
        </w:numPr>
        <w:spacing w:after="0"/>
      </w:pPr>
      <w:r>
        <w:t>má právo ukončit smlouvu MPSA;</w:t>
      </w:r>
    </w:p>
    <w:p w:rsidR="00DF2E7F" w:rsidRPr="00483B32" w:rsidRDefault="00DF2E7F" w:rsidP="00DF2E7F">
      <w:pPr>
        <w:pStyle w:val="BodyText"/>
        <w:numPr>
          <w:ilvl w:val="0"/>
          <w:numId w:val="16"/>
        </w:numPr>
        <w:spacing w:after="0"/>
      </w:pPr>
      <w:r>
        <w:lastRenderedPageBreak/>
        <w:t xml:space="preserve">nemůže objednávat pro jiné nákupní jednotky nebo spravovat jejich aktiva. </w:t>
      </w:r>
    </w:p>
    <w:p w:rsidR="00DF2E7F" w:rsidRPr="00483B32" w:rsidRDefault="00DF2E7F" w:rsidP="00DF2E7F">
      <w:pPr>
        <w:pStyle w:val="BodyText"/>
        <w:numPr>
          <w:ilvl w:val="0"/>
          <w:numId w:val="16"/>
        </w:numPr>
        <w:spacing w:after="0"/>
      </w:pPr>
      <w:r>
        <w:t>Zákazník (právnická osoba) správce smlouvy se používá pro definici afilace.</w:t>
      </w:r>
    </w:p>
    <w:p w:rsidR="00DF2E7F" w:rsidRPr="00483B32" w:rsidRDefault="00DF2E7F" w:rsidP="00DF2E7F">
      <w:pPr>
        <w:pStyle w:val="Thirdheading"/>
        <w:spacing w:line="240" w:lineRule="auto"/>
      </w:pPr>
      <w:r>
        <w:rPr>
          <w:b/>
        </w:rPr>
        <w:t>Partneři</w:t>
      </w:r>
    </w:p>
    <w:p w:rsidR="00DF2E7F" w:rsidRDefault="00DF2E7F" w:rsidP="00DF2E7F">
      <w:pPr>
        <w:pStyle w:val="BodyText"/>
        <w:spacing w:after="0"/>
        <w:rPr>
          <w:color w:val="FF0000"/>
        </w:rPr>
      </w:pPr>
      <w:r>
        <w:t>Nákupy na základě smlouvy MPSA lze provádět prostřednictvím partnerů řešení licencování. Každá nákupní jednotka si může zvolit konkrétního partnera řešení licencování, který s vámi bude spolupracovat při registraci nákupních jednotek a elektronickém vytvoření smlouvy pomocí elektronického podpisu</w:t>
      </w:r>
      <w:r>
        <w:rPr>
          <w:rStyle w:val="FootnoteReference"/>
        </w:rPr>
        <w:footnoteReference w:id="1"/>
      </w:r>
      <w:r>
        <w:t xml:space="preserve">. Partnery řešení licencování můžete do svého účtu průběžně přidávat tak, jak je třeba pro účely nákupu transakcí. Další informace o umístění partnerů po celém světě naleznete na adrese </w:t>
      </w:r>
      <w:hyperlink r:id="rId13" w:history="1">
        <w:r>
          <w:rPr>
            <w:rStyle w:val="Hyperlink"/>
          </w:rPr>
          <w:t>http://pinpoint.microsoft.com</w:t>
        </w:r>
      </w:hyperlink>
      <w:r w:rsidRPr="00E93B86">
        <w:t>.</w:t>
      </w:r>
      <w:bookmarkStart w:id="10" w:name="_Toc403380296"/>
      <w:bookmarkStart w:id="11" w:name="_Toc403985014"/>
      <w:bookmarkStart w:id="12" w:name="_Toc428180913"/>
    </w:p>
    <w:p w:rsidR="00DF2E7F" w:rsidRPr="002F2979" w:rsidRDefault="00DF2E7F" w:rsidP="00DF2E7F">
      <w:pPr>
        <w:pStyle w:val="BodyText"/>
        <w:spacing w:before="240" w:after="160"/>
        <w:rPr>
          <w:rFonts w:eastAsiaTheme="majorEastAsia"/>
          <w:b/>
        </w:rPr>
      </w:pPr>
      <w:r w:rsidRPr="002F2979">
        <w:rPr>
          <w:rFonts w:asciiTheme="majorHAnsi" w:eastAsiaTheme="majorEastAsia" w:hAnsiTheme="majorHAnsi" w:cstheme="majorBidi"/>
          <w:b/>
          <w:color w:val="FFC000" w:themeColor="accent4"/>
          <w:sz w:val="28"/>
          <w:szCs w:val="26"/>
        </w:rPr>
        <w:t>Struktura smlouvy</w:t>
      </w:r>
      <w:bookmarkEnd w:id="10"/>
      <w:bookmarkEnd w:id="11"/>
      <w:bookmarkEnd w:id="12"/>
    </w:p>
    <w:p w:rsidR="00DF2E7F" w:rsidRPr="00483B32" w:rsidRDefault="00DF2E7F" w:rsidP="00DF2E7F">
      <w:pPr>
        <w:pStyle w:val="BodyText"/>
      </w:pPr>
      <w:r>
        <w:t xml:space="preserve">Podmínky a ujednání vaší smlouvy MPSA jsou rozděleny do následujících částí tak, aby maximálně vyhovovaly vaší organizační struktuře. </w:t>
      </w:r>
    </w:p>
    <w:p w:rsidR="00DF2E7F" w:rsidRPr="00483B32" w:rsidRDefault="00DF2E7F" w:rsidP="00DF2E7F">
      <w:pPr>
        <w:pStyle w:val="BodyText"/>
        <w:numPr>
          <w:ilvl w:val="0"/>
          <w:numId w:val="45"/>
        </w:numPr>
      </w:pPr>
      <w:r>
        <w:t>Obecné podmínky a ujednání – platí pro všechny typy zákazníků po celém světě</w:t>
      </w:r>
    </w:p>
    <w:p w:rsidR="00DF2E7F" w:rsidRPr="00483B32" w:rsidRDefault="00DF2E7F" w:rsidP="00DF2E7F">
      <w:pPr>
        <w:pStyle w:val="BodyText"/>
        <w:numPr>
          <w:ilvl w:val="0"/>
          <w:numId w:val="45"/>
        </w:numPr>
      </w:pPr>
      <w:r>
        <w:t>Odborné služby – podmínky a ujednání pro služby konzultací a podpory společnosti Microsoft po celém světě</w:t>
      </w:r>
    </w:p>
    <w:p w:rsidR="00DF2E7F" w:rsidRPr="00483B32" w:rsidRDefault="00DF2E7F" w:rsidP="00DF2E7F">
      <w:pPr>
        <w:pStyle w:val="BodyText"/>
        <w:numPr>
          <w:ilvl w:val="0"/>
          <w:numId w:val="45"/>
        </w:numPr>
      </w:pPr>
      <w:r>
        <w:t>Podmínky typu nákupní jednotky – při registraci nákupní jednotky v rámci programu Government nebo Academic zahrnují podmínky a ujednání pro konkrétní typ zákazníka</w:t>
      </w:r>
    </w:p>
    <w:p w:rsidR="00DF2E7F" w:rsidRPr="00483B32" w:rsidRDefault="00DF2E7F" w:rsidP="00DF2E7F">
      <w:pPr>
        <w:pStyle w:val="BodyText"/>
        <w:numPr>
          <w:ilvl w:val="0"/>
          <w:numId w:val="45"/>
        </w:numPr>
      </w:pPr>
      <w:r>
        <w:t xml:space="preserve">Podmínky typu nákupní jednotky pro jednotlivé země – na zákazníky programů Government a Academic v určitých zemích nebo oblastech se vztahují dodatečné podmínky a ustanovení. </w:t>
      </w:r>
    </w:p>
    <w:p w:rsidR="00DF2E7F" w:rsidRPr="00483B32" w:rsidRDefault="00DF2E7F" w:rsidP="00DF2E7F">
      <w:pPr>
        <w:pStyle w:val="BodyText"/>
      </w:pPr>
      <w:r>
        <w:t xml:space="preserve">Pokud se organizace chtějí kvalifikovat jako nákupní jednotky pro program Government nebo Academic, musí organizace splnit požadavky na kvalifikaci, které jsou uvedeny na adrese </w:t>
      </w:r>
      <w:hyperlink r:id="rId14" w:history="1">
        <w:r>
          <w:rPr>
            <w:rStyle w:val="Hyperlink"/>
          </w:rPr>
          <w:t>http://www.microsoftvolumelicensing.com/contracts</w:t>
        </w:r>
      </w:hyperlink>
      <w:r>
        <w:t>.</w:t>
      </w:r>
    </w:p>
    <w:p w:rsidR="00DF2E7F" w:rsidRPr="00483B32" w:rsidRDefault="00DF2E7F" w:rsidP="00DF2E7F">
      <w:pPr>
        <w:pStyle w:val="Hdg1noborder"/>
        <w:spacing w:before="240"/>
        <w:rPr>
          <w:rFonts w:eastAsiaTheme="majorEastAsia"/>
        </w:rPr>
      </w:pPr>
      <w:bookmarkStart w:id="13" w:name="_Toc403380297"/>
      <w:bookmarkStart w:id="14" w:name="_Toc403985015"/>
      <w:bookmarkStart w:id="15" w:name="_Toc428180914"/>
      <w:r>
        <w:rPr>
          <w:rFonts w:asciiTheme="majorHAnsi" w:eastAsiaTheme="majorEastAsia" w:hAnsiTheme="majorHAnsi" w:cstheme="majorBidi"/>
          <w:bCs/>
          <w:color w:val="FFC000" w:themeColor="accent4"/>
          <w:sz w:val="28"/>
          <w:szCs w:val="26"/>
        </w:rPr>
        <w:t>Transakční nákupy</w:t>
      </w:r>
      <w:bookmarkEnd w:id="13"/>
      <w:bookmarkEnd w:id="14"/>
      <w:bookmarkEnd w:id="15"/>
    </w:p>
    <w:p w:rsidR="00DF2E7F" w:rsidRPr="00483B32" w:rsidRDefault="00DF2E7F" w:rsidP="00DF2E7F">
      <w:pPr>
        <w:pStyle w:val="Thirdheading"/>
      </w:pPr>
      <w:r>
        <w:rPr>
          <w:b/>
        </w:rPr>
        <w:t>Produkty</w:t>
      </w:r>
    </w:p>
    <w:p w:rsidR="00DF2E7F" w:rsidRPr="00483B32" w:rsidRDefault="00DF2E7F" w:rsidP="00DF2E7F">
      <w:pPr>
        <w:pStyle w:val="BodyText"/>
      </w:pPr>
      <w:r>
        <w:t xml:space="preserve">Prostřednictvím smlouvy MPSA si můžete objednat software a služby online. Momentálně je většina softwaru prodávána prostřednictvím programu Select Plus a produkty Office 365, Intune, CRM Online a Yammer jsou dostupné prostřednictvím smlouvy MPSA. Kompletní seznam produktů dostupných prostřednictvím smlouvy MPSA naleznete v podmínkách produktu na adrese </w:t>
      </w:r>
      <w:hyperlink r:id="rId15" w:history="1">
        <w:r>
          <w:rPr>
            <w:rStyle w:val="Hyperlink"/>
          </w:rPr>
          <w:t>http://www.microsoft.com/licensing/contracts</w:t>
        </w:r>
      </w:hyperlink>
      <w:r>
        <w:t xml:space="preserve">. </w:t>
      </w:r>
    </w:p>
    <w:p w:rsidR="00DF2E7F" w:rsidRPr="00483B32" w:rsidRDefault="00DF2E7F" w:rsidP="00DF2E7F">
      <w:pPr>
        <w:pStyle w:val="Thirdheading"/>
      </w:pPr>
      <w:r>
        <w:rPr>
          <w:b/>
        </w:rPr>
        <w:t>Přístup k položkám ke stažení a informacím o účtu</w:t>
      </w:r>
    </w:p>
    <w:p w:rsidR="00DF2E7F" w:rsidRPr="00483B32" w:rsidRDefault="00DF2E7F" w:rsidP="00DF2E7F">
      <w:pPr>
        <w:pStyle w:val="BodyText"/>
      </w:pPr>
      <w:r>
        <w:t>Centrum Microsoft Volume Licensing Center (MVLC) je portál, na kterém můžete stahovat software, přistupovat ke kódům Product Key, zobrazovat portfolio licencí a služeb a zajišťovat služby online. Centrum MVLC je k dispozici na adrese</w:t>
      </w:r>
      <w:r>
        <w:rPr>
          <w:color w:val="1F497D"/>
        </w:rPr>
        <w:t xml:space="preserve"> </w:t>
      </w:r>
      <w:hyperlink r:id="rId16" w:history="1">
        <w:r>
          <w:rPr>
            <w:rStyle w:val="Hyperlink"/>
          </w:rPr>
          <w:t>https://licensing.microsoft.com/customer/</w:t>
        </w:r>
      </w:hyperlink>
      <w:r>
        <w:rPr>
          <w:color w:val="1F497D"/>
        </w:rPr>
        <w:t>.</w:t>
      </w:r>
    </w:p>
    <w:p w:rsidR="00DF2E7F" w:rsidRPr="00483B32" w:rsidRDefault="00DF2E7F" w:rsidP="00DF2E7F">
      <w:pPr>
        <w:pStyle w:val="Thirdheading"/>
      </w:pPr>
      <w:r>
        <w:rPr>
          <w:b/>
        </w:rPr>
        <w:t>Cenové stupně</w:t>
      </w:r>
    </w:p>
    <w:p w:rsidR="00DF2E7F" w:rsidRPr="00483B32" w:rsidRDefault="00DF2E7F" w:rsidP="00DF2E7F">
      <w:pPr>
        <w:pStyle w:val="BodyText"/>
      </w:pPr>
      <w:r>
        <w:t>Chcete-li se kvalifikovat k nákupu produktů prostřednictvím smlouvy MPSA, musíte v rámci dané skupině za rok dosáhnout minimálně 500 bodů. Můžete se také kvalifikovat zakoupením minimálně 250 bodů pro služby online v dané skupině nebo přidružením aktivní kvalifikující smlouvy (prováděcí smlouva Enterprise, prováděcí smlouva Enterprise Subscription, smlouva Select Plus) ke smlouvě MPSA. Přidružení ke smlouvě MPSA vyžaduje souhlas zákazníka, který uzavřel kvalifikující smlouvu, a dále musíte být afilací takového zákazníka. Můžete také využívat služby Microsoft Azure účtované prostřednictvím vašeho nákupního účtu, aniž by bylo nutné dodržet požadavek na minimální počet bodů.</w:t>
      </w:r>
    </w:p>
    <w:p w:rsidR="00DF2E7F" w:rsidRDefault="00DF2E7F" w:rsidP="00DF2E7F">
      <w:pPr>
        <w:pStyle w:val="BodyText"/>
      </w:pPr>
      <w:r>
        <w:t xml:space="preserve">Komerční organizace registrující nákupní jednotky prostřednictvím smlouvy MPSA mají k dispozici čtyři cenové stupně, a to podle skupin produktů definovaných níže. Pro nákupní jednotky programu Commercial jsou body pro jednotlivé cenové stupně uvedeny v následující tabulce. </w:t>
      </w:r>
    </w:p>
    <w:p w:rsidR="00DF2E7F" w:rsidRPr="00483B32" w:rsidRDefault="00DF2E7F" w:rsidP="00DF2E7F">
      <w:pPr>
        <w:pStyle w:val="BodyText"/>
      </w:pPr>
    </w:p>
    <w:tbl>
      <w:tblPr>
        <w:tblStyle w:val="MediumShading1-Accent4"/>
        <w:tblW w:w="4126" w:type="pct"/>
        <w:tblInd w:w="108" w:type="dxa"/>
        <w:tblLook w:val="04A0" w:firstRow="1" w:lastRow="0" w:firstColumn="1" w:lastColumn="0" w:noHBand="0" w:noVBand="1"/>
      </w:tblPr>
      <w:tblGrid>
        <w:gridCol w:w="4404"/>
        <w:gridCol w:w="4492"/>
      </w:tblGrid>
      <w:tr w:rsidR="00DF2E7F" w:rsidRPr="00B50681" w:rsidTr="0019337E">
        <w:trPr>
          <w:cnfStyle w:val="100000000000" w:firstRow="1" w:lastRow="0" w:firstColumn="0" w:lastColumn="0" w:oddVBand="0" w:evenVBand="0" w:oddHBand="0" w:evenHBand="0" w:firstRowFirstColumn="0" w:firstRowLastColumn="0" w:lastRowFirstColumn="0" w:lastRowLastColumn="0"/>
          <w:trHeight w:val="106"/>
        </w:trPr>
        <w:tc>
          <w:tcPr>
            <w:cnfStyle w:val="001000000000" w:firstRow="0" w:lastRow="0" w:firstColumn="1" w:lastColumn="0" w:oddVBand="0" w:evenVBand="0" w:oddHBand="0" w:evenHBand="0" w:firstRowFirstColumn="0" w:firstRowLastColumn="0" w:lastRowFirstColumn="0" w:lastRowLastColumn="0"/>
            <w:tcW w:w="2475" w:type="pct"/>
          </w:tcPr>
          <w:p w:rsidR="00DF2E7F" w:rsidRPr="00B50681" w:rsidRDefault="00DF2E7F" w:rsidP="0019337E">
            <w:pPr>
              <w:pStyle w:val="VLTableHeader"/>
              <w:spacing w:before="0" w:after="0"/>
              <w:jc w:val="center"/>
              <w:rPr>
                <w:b/>
              </w:rPr>
            </w:pPr>
            <w:r>
              <w:rPr>
                <w:b/>
              </w:rPr>
              <w:t>Cenový stupeň – program Commercial</w:t>
            </w:r>
          </w:p>
        </w:tc>
        <w:tc>
          <w:tcPr>
            <w:tcW w:w="2525" w:type="pct"/>
          </w:tcPr>
          <w:p w:rsidR="00DF2E7F" w:rsidRPr="00B50681" w:rsidRDefault="00DF2E7F" w:rsidP="0019337E">
            <w:pPr>
              <w:pStyle w:val="VLTableHeader"/>
              <w:spacing w:before="0" w:after="0"/>
              <w:jc w:val="center"/>
              <w:cnfStyle w:val="100000000000" w:firstRow="1" w:lastRow="0" w:firstColumn="0" w:lastColumn="0" w:oddVBand="0" w:evenVBand="0" w:oddHBand="0" w:evenHBand="0" w:firstRowFirstColumn="0" w:firstRowLastColumn="0" w:lastRowFirstColumn="0" w:lastRowLastColumn="0"/>
              <w:rPr>
                <w:b/>
              </w:rPr>
            </w:pPr>
            <w:r>
              <w:rPr>
                <w:b/>
              </w:rPr>
              <w:t>Roční minimum bodů na skupinu</w:t>
            </w:r>
          </w:p>
        </w:tc>
      </w:tr>
      <w:tr w:rsidR="00DF2E7F" w:rsidTr="0019337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475" w:type="pct"/>
          </w:tcPr>
          <w:p w:rsidR="00DF2E7F" w:rsidRPr="00B50681" w:rsidRDefault="00DF2E7F" w:rsidP="0019337E">
            <w:pPr>
              <w:pStyle w:val="VLBodyCopy2"/>
              <w:jc w:val="center"/>
              <w:rPr>
                <w:b w:val="0"/>
              </w:rPr>
            </w:pPr>
            <w:r>
              <w:rPr>
                <w:b w:val="0"/>
              </w:rPr>
              <w:lastRenderedPageBreak/>
              <w:t>A</w:t>
            </w:r>
          </w:p>
        </w:tc>
        <w:tc>
          <w:tcPr>
            <w:tcW w:w="2525" w:type="pct"/>
          </w:tcPr>
          <w:p w:rsidR="00DF2E7F" w:rsidRPr="00B50681" w:rsidRDefault="00DF2E7F" w:rsidP="0019337E">
            <w:pPr>
              <w:pStyle w:val="VLBodyCopy2"/>
              <w:jc w:val="center"/>
              <w:cnfStyle w:val="000000100000" w:firstRow="0" w:lastRow="0" w:firstColumn="0" w:lastColumn="0" w:oddVBand="0" w:evenVBand="0" w:oddHBand="1" w:evenHBand="0" w:firstRowFirstColumn="0" w:firstRowLastColumn="0" w:lastRowFirstColumn="0" w:lastRowLastColumn="0"/>
            </w:pPr>
            <w:r>
              <w:t>500 nebo 250 pouze pro OLS</w:t>
            </w:r>
          </w:p>
        </w:tc>
      </w:tr>
      <w:tr w:rsidR="00DF2E7F" w:rsidTr="0019337E">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475" w:type="pct"/>
          </w:tcPr>
          <w:p w:rsidR="00DF2E7F" w:rsidRPr="00B50681" w:rsidRDefault="00DF2E7F" w:rsidP="0019337E">
            <w:pPr>
              <w:pStyle w:val="VLBodyCopy2"/>
              <w:jc w:val="center"/>
              <w:rPr>
                <w:b w:val="0"/>
              </w:rPr>
            </w:pPr>
            <w:r>
              <w:rPr>
                <w:b w:val="0"/>
              </w:rPr>
              <w:t>B</w:t>
            </w:r>
          </w:p>
        </w:tc>
        <w:tc>
          <w:tcPr>
            <w:tcW w:w="2525" w:type="pct"/>
          </w:tcPr>
          <w:p w:rsidR="00DF2E7F" w:rsidRPr="00B50681" w:rsidRDefault="00DF2E7F" w:rsidP="0019337E">
            <w:pPr>
              <w:pStyle w:val="VLBodyCopy2"/>
              <w:jc w:val="center"/>
              <w:cnfStyle w:val="000000010000" w:firstRow="0" w:lastRow="0" w:firstColumn="0" w:lastColumn="0" w:oddVBand="0" w:evenVBand="0" w:oddHBand="0" w:evenHBand="1" w:firstRowFirstColumn="0" w:firstRowLastColumn="0" w:lastRowFirstColumn="0" w:lastRowLastColumn="0"/>
            </w:pPr>
            <w:r>
              <w:t>4000</w:t>
            </w:r>
          </w:p>
        </w:tc>
      </w:tr>
      <w:tr w:rsidR="00DF2E7F" w:rsidTr="0019337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475" w:type="pct"/>
          </w:tcPr>
          <w:p w:rsidR="00DF2E7F" w:rsidRPr="00B50681" w:rsidRDefault="00DF2E7F" w:rsidP="0019337E">
            <w:pPr>
              <w:pStyle w:val="VLBodyCopy2"/>
              <w:jc w:val="center"/>
              <w:rPr>
                <w:b w:val="0"/>
              </w:rPr>
            </w:pPr>
            <w:r>
              <w:rPr>
                <w:b w:val="0"/>
              </w:rPr>
              <w:t>C</w:t>
            </w:r>
          </w:p>
        </w:tc>
        <w:tc>
          <w:tcPr>
            <w:tcW w:w="2525" w:type="pct"/>
          </w:tcPr>
          <w:p w:rsidR="00DF2E7F" w:rsidRPr="00B50681" w:rsidRDefault="00DF2E7F" w:rsidP="0019337E">
            <w:pPr>
              <w:pStyle w:val="VLBodyCopy2"/>
              <w:jc w:val="center"/>
              <w:cnfStyle w:val="000000100000" w:firstRow="0" w:lastRow="0" w:firstColumn="0" w:lastColumn="0" w:oddVBand="0" w:evenVBand="0" w:oddHBand="1" w:evenHBand="0" w:firstRowFirstColumn="0" w:firstRowLastColumn="0" w:lastRowFirstColumn="0" w:lastRowLastColumn="0"/>
            </w:pPr>
            <w:r>
              <w:t>10000</w:t>
            </w:r>
          </w:p>
        </w:tc>
      </w:tr>
      <w:tr w:rsidR="00DF2E7F" w:rsidTr="0019337E">
        <w:trPr>
          <w:cnfStyle w:val="000000010000" w:firstRow="0" w:lastRow="0" w:firstColumn="0" w:lastColumn="0" w:oddVBand="0" w:evenVBand="0" w:oddHBand="0" w:evenHBand="1" w:firstRowFirstColumn="0" w:firstRowLastColumn="0" w:lastRowFirstColumn="0" w:lastRowLastColumn="0"/>
          <w:trHeight w:val="46"/>
        </w:trPr>
        <w:tc>
          <w:tcPr>
            <w:cnfStyle w:val="001000000000" w:firstRow="0" w:lastRow="0" w:firstColumn="1" w:lastColumn="0" w:oddVBand="0" w:evenVBand="0" w:oddHBand="0" w:evenHBand="0" w:firstRowFirstColumn="0" w:firstRowLastColumn="0" w:lastRowFirstColumn="0" w:lastRowLastColumn="0"/>
            <w:tcW w:w="2475" w:type="pct"/>
          </w:tcPr>
          <w:p w:rsidR="00DF2E7F" w:rsidRPr="00B50681" w:rsidRDefault="00DF2E7F" w:rsidP="0019337E">
            <w:pPr>
              <w:pStyle w:val="VLBodyCopy2"/>
              <w:jc w:val="center"/>
              <w:rPr>
                <w:b w:val="0"/>
              </w:rPr>
            </w:pPr>
            <w:r>
              <w:rPr>
                <w:b w:val="0"/>
              </w:rPr>
              <w:t>D</w:t>
            </w:r>
          </w:p>
        </w:tc>
        <w:tc>
          <w:tcPr>
            <w:tcW w:w="2525" w:type="pct"/>
          </w:tcPr>
          <w:p w:rsidR="00DF2E7F" w:rsidRPr="00B50681" w:rsidRDefault="00DF2E7F" w:rsidP="0019337E">
            <w:pPr>
              <w:pStyle w:val="VLBodyCopy2"/>
              <w:jc w:val="center"/>
              <w:cnfStyle w:val="000000010000" w:firstRow="0" w:lastRow="0" w:firstColumn="0" w:lastColumn="0" w:oddVBand="0" w:evenVBand="0" w:oddHBand="0" w:evenHBand="1" w:firstRowFirstColumn="0" w:firstRowLastColumn="0" w:lastRowFirstColumn="0" w:lastRowLastColumn="0"/>
            </w:pPr>
            <w:r>
              <w:t>25000</w:t>
            </w:r>
          </w:p>
        </w:tc>
      </w:tr>
    </w:tbl>
    <w:p w:rsidR="00DF2E7F" w:rsidRPr="00483B32" w:rsidRDefault="00DF2E7F" w:rsidP="00DF2E7F">
      <w:pPr>
        <w:pStyle w:val="BodyText"/>
      </w:pPr>
      <w:bookmarkStart w:id="16" w:name="_Toc364455186"/>
      <w:r>
        <w:t>Počátečním cenovým stupněm po podpisu je standardně úroveň A. Vaše organizace se automaticky přesune na lepší cenový stupeň vždy, když nastane jedna z následujících událostí:</w:t>
      </w:r>
    </w:p>
    <w:p w:rsidR="00DF2E7F" w:rsidRPr="00483B32" w:rsidRDefault="00DF2E7F" w:rsidP="00DF2E7F">
      <w:pPr>
        <w:pStyle w:val="BodyText"/>
        <w:numPr>
          <w:ilvl w:val="0"/>
          <w:numId w:val="16"/>
        </w:numPr>
        <w:spacing w:after="0"/>
      </w:pPr>
      <w:r>
        <w:t xml:space="preserve">Odešlete objednávku, která má dostatek bodů, abyste se dostali na další cenový stupeň. </w:t>
      </w:r>
    </w:p>
    <w:p w:rsidR="00DF2E7F" w:rsidRPr="00483B32" w:rsidRDefault="00DF2E7F" w:rsidP="00DF2E7F">
      <w:pPr>
        <w:pStyle w:val="BodyText"/>
        <w:numPr>
          <w:ilvl w:val="0"/>
          <w:numId w:val="16"/>
        </w:numPr>
        <w:spacing w:after="0"/>
      </w:pPr>
      <w:r>
        <w:t xml:space="preserve">Přidružíte aktivní kvalifikující smlouvu, která má lepší cenový stupeň pro skupinu produktů než odpovídající skupina ve smlouvě MPSA. </w:t>
      </w:r>
    </w:p>
    <w:p w:rsidR="00DF2E7F" w:rsidRPr="00483B32" w:rsidRDefault="00DF2E7F" w:rsidP="00DF2E7F">
      <w:pPr>
        <w:pStyle w:val="BodyText"/>
      </w:pPr>
    </w:p>
    <w:p w:rsidR="00DF2E7F" w:rsidRPr="00483B32" w:rsidRDefault="00DF2E7F" w:rsidP="00DF2E7F">
      <w:pPr>
        <w:pStyle w:val="BodyText"/>
      </w:pPr>
      <w:r>
        <w:t xml:space="preserve">Nákupní účty v rámci programu Government a Academic mají jeden cenový stupeň odrážející nejvhodnější ceny, které společnost Microsoft může nabídnout prostřednictvím smlouvy MPSA (pro program Government je ekvivalentní cenovému stupni D). </w:t>
      </w:r>
    </w:p>
    <w:p w:rsidR="00DF2E7F" w:rsidRPr="00483B32" w:rsidRDefault="00DF2E7F" w:rsidP="00DF2E7F">
      <w:pPr>
        <w:pStyle w:val="Thirdheading"/>
      </w:pPr>
      <w:r>
        <w:rPr>
          <w:b/>
        </w:rPr>
        <w:t>Body</w:t>
      </w:r>
    </w:p>
    <w:p w:rsidR="00DF2E7F" w:rsidRPr="00483B32" w:rsidRDefault="00DF2E7F" w:rsidP="00DF2E7F">
      <w:pPr>
        <w:pStyle w:val="BodyText"/>
      </w:pPr>
      <w:r>
        <w:t>Společnost Microsoft kategorizuje produkty do tří různých skupin produktů</w:t>
      </w:r>
      <w:r>
        <w:rPr>
          <w:szCs w:val="22"/>
        </w:rPr>
        <w:t xml:space="preserve"> s různými cenovými stupni</w:t>
      </w:r>
      <w:r>
        <w:t xml:space="preserve">: aplikace, systémy a servery. Cenový stupeň pro každou skupinu vychází z bodů, které jste získali na základě nákupů v těchto skupinách. Body jsou počítány kumulativně v rámci všech nákupních jednotek stejného typu (například program Commercial). </w:t>
      </w:r>
    </w:p>
    <w:p w:rsidR="00DF2E7F" w:rsidRPr="00483B32" w:rsidRDefault="00DF2E7F" w:rsidP="00DF2E7F">
      <w:pPr>
        <w:pStyle w:val="BodyText"/>
        <w:numPr>
          <w:ilvl w:val="0"/>
          <w:numId w:val="16"/>
        </w:numPr>
        <w:spacing w:after="0"/>
      </w:pPr>
      <w:r>
        <w:t xml:space="preserve">Aplikace. Mezi aplikační produkty patří Microsoft Office Professional, klient Microsoft Lync a Office 365. </w:t>
      </w:r>
    </w:p>
    <w:p w:rsidR="00DF2E7F" w:rsidRPr="00483B32" w:rsidRDefault="00DF2E7F" w:rsidP="00DF2E7F">
      <w:pPr>
        <w:pStyle w:val="BodyText"/>
        <w:numPr>
          <w:ilvl w:val="0"/>
          <w:numId w:val="16"/>
        </w:numPr>
        <w:spacing w:after="0"/>
      </w:pPr>
      <w:r>
        <w:t>Systémy. Příkladem systémového produktu jsou upgrady operačního systému Windows, například Windows Professional.</w:t>
      </w:r>
    </w:p>
    <w:p w:rsidR="00DF2E7F" w:rsidRPr="00483B32" w:rsidRDefault="00DF2E7F" w:rsidP="00DF2E7F">
      <w:pPr>
        <w:pStyle w:val="BodyText"/>
        <w:numPr>
          <w:ilvl w:val="0"/>
          <w:numId w:val="16"/>
        </w:numPr>
        <w:spacing w:after="0"/>
      </w:pPr>
      <w:r>
        <w:t>Servery. Příklady serverových produktů zahrnují Microsoft Exchange Server, software databáze Microsoft SQL Server, Intune a související licence CAL.</w:t>
      </w:r>
    </w:p>
    <w:p w:rsidR="00DF2E7F" w:rsidRPr="00483B32" w:rsidRDefault="00DF2E7F" w:rsidP="00DF2E7F">
      <w:pPr>
        <w:pStyle w:val="BodyText"/>
        <w:spacing w:after="0"/>
      </w:pPr>
    </w:p>
    <w:p w:rsidR="00DF2E7F" w:rsidRPr="00483B32" w:rsidRDefault="00DF2E7F" w:rsidP="00DF2E7F">
      <w:pPr>
        <w:pStyle w:val="BodyText"/>
        <w:spacing w:after="0" w:line="240" w:lineRule="auto"/>
      </w:pPr>
      <w:r>
        <w:t>Příklad:</w:t>
      </w:r>
    </w:p>
    <w:tbl>
      <w:tblPr>
        <w:tblStyle w:val="LightList-Accent4"/>
        <w:tblW w:w="0" w:type="auto"/>
        <w:tblInd w:w="108" w:type="dxa"/>
        <w:tblBorders>
          <w:top w:val="single" w:sz="4" w:space="0" w:color="FFC000" w:themeColor="accent4"/>
          <w:left w:val="single" w:sz="4" w:space="0" w:color="FFC000" w:themeColor="accent4"/>
          <w:bottom w:val="single" w:sz="4" w:space="0" w:color="FFC000" w:themeColor="accent4"/>
          <w:right w:val="single" w:sz="4" w:space="0" w:color="FFC000" w:themeColor="accent4"/>
        </w:tblBorders>
        <w:tblLook w:val="04A0" w:firstRow="1" w:lastRow="0" w:firstColumn="1" w:lastColumn="0" w:noHBand="0" w:noVBand="1"/>
      </w:tblPr>
      <w:tblGrid>
        <w:gridCol w:w="1796"/>
        <w:gridCol w:w="989"/>
        <w:gridCol w:w="2993"/>
        <w:gridCol w:w="810"/>
        <w:gridCol w:w="2610"/>
        <w:gridCol w:w="1260"/>
      </w:tblGrid>
      <w:tr w:rsidR="00DF2E7F" w:rsidRPr="0020545D" w:rsidTr="0019337E">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796" w:type="dxa"/>
          </w:tcPr>
          <w:p w:rsidR="00DF2E7F" w:rsidRPr="0020545D" w:rsidRDefault="00DF2E7F" w:rsidP="0019337E">
            <w:pPr>
              <w:pStyle w:val="BodyText"/>
              <w:spacing w:after="0" w:line="240" w:lineRule="auto"/>
              <w:rPr>
                <w:color w:val="FFFFFF" w:themeColor="background1"/>
              </w:rPr>
            </w:pPr>
            <w:r>
              <w:rPr>
                <w:color w:val="FFFFFF" w:themeColor="background1"/>
              </w:rPr>
              <w:t>Skupina aplikací</w:t>
            </w:r>
          </w:p>
        </w:tc>
        <w:tc>
          <w:tcPr>
            <w:tcW w:w="989" w:type="dxa"/>
          </w:tcPr>
          <w:p w:rsidR="00DF2E7F" w:rsidRPr="0020545D" w:rsidRDefault="00DF2E7F" w:rsidP="0019337E">
            <w:pPr>
              <w:pStyle w:val="BodyText"/>
              <w:spacing w:after="0" w:line="240" w:lineRule="auto"/>
              <w:cnfStyle w:val="100000000000" w:firstRow="1" w:lastRow="0" w:firstColumn="0" w:lastColumn="0" w:oddVBand="0" w:evenVBand="0" w:oddHBand="0" w:evenHBand="0" w:firstRowFirstColumn="0" w:firstRowLastColumn="0" w:lastRowFirstColumn="0" w:lastRowLastColumn="0"/>
              <w:rPr>
                <w:color w:val="FFFFFF" w:themeColor="background1"/>
              </w:rPr>
            </w:pPr>
            <w:r>
              <w:rPr>
                <w:color w:val="FFFFFF" w:themeColor="background1"/>
              </w:rPr>
              <w:t>Body</w:t>
            </w:r>
          </w:p>
        </w:tc>
        <w:tc>
          <w:tcPr>
            <w:tcW w:w="2993" w:type="dxa"/>
          </w:tcPr>
          <w:p w:rsidR="00DF2E7F" w:rsidRPr="0020545D" w:rsidRDefault="00DF2E7F" w:rsidP="0019337E">
            <w:pPr>
              <w:pStyle w:val="BodyText"/>
              <w:spacing w:after="0" w:line="240" w:lineRule="auto"/>
              <w:cnfStyle w:val="100000000000" w:firstRow="1" w:lastRow="0" w:firstColumn="0" w:lastColumn="0" w:oddVBand="0" w:evenVBand="0" w:oddHBand="0" w:evenHBand="0" w:firstRowFirstColumn="0" w:firstRowLastColumn="0" w:lastRowFirstColumn="0" w:lastRowLastColumn="0"/>
              <w:rPr>
                <w:color w:val="FFFFFF" w:themeColor="background1"/>
              </w:rPr>
            </w:pPr>
            <w:r>
              <w:rPr>
                <w:color w:val="FFFFFF" w:themeColor="background1"/>
              </w:rPr>
              <w:t>Skupina systémů</w:t>
            </w:r>
          </w:p>
        </w:tc>
        <w:tc>
          <w:tcPr>
            <w:tcW w:w="810" w:type="dxa"/>
          </w:tcPr>
          <w:p w:rsidR="00DF2E7F" w:rsidRPr="0020545D" w:rsidRDefault="00DF2E7F" w:rsidP="0019337E">
            <w:pPr>
              <w:pStyle w:val="BodyText"/>
              <w:spacing w:after="0" w:line="240" w:lineRule="auto"/>
              <w:cnfStyle w:val="100000000000" w:firstRow="1" w:lastRow="0" w:firstColumn="0" w:lastColumn="0" w:oddVBand="0" w:evenVBand="0" w:oddHBand="0" w:evenHBand="0" w:firstRowFirstColumn="0" w:firstRowLastColumn="0" w:lastRowFirstColumn="0" w:lastRowLastColumn="0"/>
              <w:rPr>
                <w:color w:val="FFFFFF" w:themeColor="background1"/>
              </w:rPr>
            </w:pPr>
            <w:r>
              <w:rPr>
                <w:color w:val="FFFFFF" w:themeColor="background1"/>
              </w:rPr>
              <w:t>Body</w:t>
            </w:r>
          </w:p>
        </w:tc>
        <w:tc>
          <w:tcPr>
            <w:tcW w:w="2610" w:type="dxa"/>
          </w:tcPr>
          <w:p w:rsidR="00DF2E7F" w:rsidRPr="0020545D" w:rsidRDefault="00DF2E7F" w:rsidP="0019337E">
            <w:pPr>
              <w:pStyle w:val="BodyText"/>
              <w:spacing w:after="0" w:line="240" w:lineRule="auto"/>
              <w:cnfStyle w:val="100000000000" w:firstRow="1" w:lastRow="0" w:firstColumn="0" w:lastColumn="0" w:oddVBand="0" w:evenVBand="0" w:oddHBand="0" w:evenHBand="0" w:firstRowFirstColumn="0" w:firstRowLastColumn="0" w:lastRowFirstColumn="0" w:lastRowLastColumn="0"/>
              <w:rPr>
                <w:color w:val="FFFFFF" w:themeColor="background1"/>
              </w:rPr>
            </w:pPr>
            <w:r>
              <w:rPr>
                <w:color w:val="FFFFFF" w:themeColor="background1"/>
              </w:rPr>
              <w:t>Skupina serverů</w:t>
            </w:r>
          </w:p>
        </w:tc>
        <w:tc>
          <w:tcPr>
            <w:tcW w:w="1260" w:type="dxa"/>
          </w:tcPr>
          <w:p w:rsidR="00DF2E7F" w:rsidRPr="0020545D" w:rsidRDefault="00DF2E7F" w:rsidP="0019337E">
            <w:pPr>
              <w:pStyle w:val="BodyText"/>
              <w:spacing w:after="0" w:line="240" w:lineRule="auto"/>
              <w:cnfStyle w:val="100000000000" w:firstRow="1" w:lastRow="0" w:firstColumn="0" w:lastColumn="0" w:oddVBand="0" w:evenVBand="0" w:oddHBand="0" w:evenHBand="0" w:firstRowFirstColumn="0" w:firstRowLastColumn="0" w:lastRowFirstColumn="0" w:lastRowLastColumn="0"/>
              <w:rPr>
                <w:color w:val="FFFFFF" w:themeColor="background1"/>
              </w:rPr>
            </w:pPr>
            <w:r>
              <w:rPr>
                <w:color w:val="FFFFFF" w:themeColor="background1"/>
              </w:rPr>
              <w:t>Body</w:t>
            </w:r>
          </w:p>
        </w:tc>
      </w:tr>
      <w:tr w:rsidR="00DF2E7F" w:rsidTr="0019337E">
        <w:trPr>
          <w:cnfStyle w:val="000000100000" w:firstRow="0" w:lastRow="0" w:firstColumn="0" w:lastColumn="0" w:oddVBand="0" w:evenVBand="0" w:oddHBand="1" w:evenHBand="0" w:firstRowFirstColumn="0" w:firstRowLastColumn="0" w:lastRowFirstColumn="0" w:lastRowLastColumn="0"/>
          <w:trHeight w:val="70"/>
        </w:trPr>
        <w:tc>
          <w:tcPr>
            <w:cnfStyle w:val="001000000000" w:firstRow="0" w:lastRow="0" w:firstColumn="1" w:lastColumn="0" w:oddVBand="0" w:evenVBand="0" w:oddHBand="0" w:evenHBand="0" w:firstRowFirstColumn="0" w:firstRowLastColumn="0" w:lastRowFirstColumn="0" w:lastRowLastColumn="0"/>
            <w:tcW w:w="1796" w:type="dxa"/>
            <w:vAlign w:val="center"/>
          </w:tcPr>
          <w:p w:rsidR="00DF2E7F" w:rsidRDefault="00DF2E7F" w:rsidP="0019337E">
            <w:pPr>
              <w:pStyle w:val="BodyText"/>
              <w:spacing w:after="0" w:line="240" w:lineRule="auto"/>
            </w:pPr>
            <w:r>
              <w:rPr>
                <w:b w:val="0"/>
                <w:color w:val="000000" w:themeColor="text1"/>
                <w:sz w:val="16"/>
              </w:rPr>
              <w:t>Office Professional</w:t>
            </w:r>
          </w:p>
        </w:tc>
        <w:tc>
          <w:tcPr>
            <w:tcW w:w="989" w:type="dxa"/>
            <w:vAlign w:val="center"/>
          </w:tcPr>
          <w:p w:rsidR="00DF2E7F" w:rsidRDefault="00DF2E7F" w:rsidP="0019337E">
            <w:pPr>
              <w:pStyle w:val="BodyText"/>
              <w:spacing w:after="0" w:line="240" w:lineRule="auto"/>
              <w:cnfStyle w:val="000000100000" w:firstRow="0" w:lastRow="0" w:firstColumn="0" w:lastColumn="0" w:oddVBand="0" w:evenVBand="0" w:oddHBand="1" w:evenHBand="0" w:firstRowFirstColumn="0" w:firstRowLastColumn="0" w:lastRowFirstColumn="0" w:lastRowLastColumn="0"/>
            </w:pPr>
            <w:r>
              <w:rPr>
                <w:bCs/>
                <w:color w:val="000000" w:themeColor="text1"/>
                <w:sz w:val="16"/>
              </w:rPr>
              <w:t>2</w:t>
            </w:r>
          </w:p>
        </w:tc>
        <w:tc>
          <w:tcPr>
            <w:tcW w:w="2993" w:type="dxa"/>
            <w:vAlign w:val="center"/>
          </w:tcPr>
          <w:p w:rsidR="00DF2E7F" w:rsidRDefault="00DF2E7F" w:rsidP="0019337E">
            <w:pPr>
              <w:pStyle w:val="BodyText"/>
              <w:spacing w:after="0" w:line="240" w:lineRule="auto"/>
              <w:cnfStyle w:val="000000100000" w:firstRow="0" w:lastRow="0" w:firstColumn="0" w:lastColumn="0" w:oddVBand="0" w:evenVBand="0" w:oddHBand="1" w:evenHBand="0" w:firstRowFirstColumn="0" w:firstRowLastColumn="0" w:lastRowFirstColumn="0" w:lastRowLastColumn="0"/>
            </w:pPr>
            <w:r>
              <w:rPr>
                <w:bCs/>
                <w:color w:val="000000" w:themeColor="text1"/>
                <w:sz w:val="16"/>
              </w:rPr>
              <w:t>Windows Professional Upgrade Edition</w:t>
            </w:r>
          </w:p>
        </w:tc>
        <w:tc>
          <w:tcPr>
            <w:tcW w:w="810" w:type="dxa"/>
            <w:vAlign w:val="center"/>
          </w:tcPr>
          <w:p w:rsidR="00DF2E7F" w:rsidRDefault="00DF2E7F" w:rsidP="0019337E">
            <w:pPr>
              <w:pStyle w:val="BodyText"/>
              <w:spacing w:after="0" w:line="240" w:lineRule="auto"/>
              <w:cnfStyle w:val="000000100000" w:firstRow="0" w:lastRow="0" w:firstColumn="0" w:lastColumn="0" w:oddVBand="0" w:evenVBand="0" w:oddHBand="1" w:evenHBand="0" w:firstRowFirstColumn="0" w:firstRowLastColumn="0" w:lastRowFirstColumn="0" w:lastRowLastColumn="0"/>
            </w:pPr>
            <w:r>
              <w:rPr>
                <w:bCs/>
                <w:color w:val="000000" w:themeColor="text1"/>
                <w:sz w:val="16"/>
              </w:rPr>
              <w:t>2</w:t>
            </w:r>
          </w:p>
        </w:tc>
        <w:tc>
          <w:tcPr>
            <w:tcW w:w="2610" w:type="dxa"/>
            <w:vAlign w:val="center"/>
          </w:tcPr>
          <w:p w:rsidR="00DF2E7F" w:rsidRDefault="00DF2E7F" w:rsidP="0019337E">
            <w:pPr>
              <w:pStyle w:val="BodyText"/>
              <w:spacing w:after="0" w:line="240" w:lineRule="auto"/>
              <w:cnfStyle w:val="000000100000" w:firstRow="0" w:lastRow="0" w:firstColumn="0" w:lastColumn="0" w:oddVBand="0" w:evenVBand="0" w:oddHBand="1" w:evenHBand="0" w:firstRowFirstColumn="0" w:firstRowLastColumn="0" w:lastRowFirstColumn="0" w:lastRowLastColumn="0"/>
            </w:pPr>
            <w:r>
              <w:rPr>
                <w:bCs/>
                <w:color w:val="000000" w:themeColor="text1"/>
                <w:sz w:val="16"/>
              </w:rPr>
              <w:t>Windows Server Standard Edition</w:t>
            </w:r>
          </w:p>
        </w:tc>
        <w:tc>
          <w:tcPr>
            <w:tcW w:w="1260" w:type="dxa"/>
            <w:vAlign w:val="center"/>
          </w:tcPr>
          <w:p w:rsidR="00DF2E7F" w:rsidRDefault="00DF2E7F" w:rsidP="0019337E">
            <w:pPr>
              <w:pStyle w:val="BodyText"/>
              <w:spacing w:after="0" w:line="240" w:lineRule="auto"/>
              <w:cnfStyle w:val="000000100000" w:firstRow="0" w:lastRow="0" w:firstColumn="0" w:lastColumn="0" w:oddVBand="0" w:evenVBand="0" w:oddHBand="1" w:evenHBand="0" w:firstRowFirstColumn="0" w:firstRowLastColumn="0" w:lastRowFirstColumn="0" w:lastRowLastColumn="0"/>
            </w:pPr>
            <w:r>
              <w:rPr>
                <w:color w:val="000000" w:themeColor="text1"/>
                <w:sz w:val="16"/>
              </w:rPr>
              <w:t>15</w:t>
            </w:r>
          </w:p>
        </w:tc>
      </w:tr>
      <w:tr w:rsidR="00DF2E7F" w:rsidTr="0019337E">
        <w:trPr>
          <w:trHeight w:val="70"/>
        </w:trPr>
        <w:tc>
          <w:tcPr>
            <w:cnfStyle w:val="001000000000" w:firstRow="0" w:lastRow="0" w:firstColumn="1" w:lastColumn="0" w:oddVBand="0" w:evenVBand="0" w:oddHBand="0" w:evenHBand="0" w:firstRowFirstColumn="0" w:firstRowLastColumn="0" w:lastRowFirstColumn="0" w:lastRowLastColumn="0"/>
            <w:tcW w:w="1796" w:type="dxa"/>
            <w:vAlign w:val="center"/>
          </w:tcPr>
          <w:p w:rsidR="00DF2E7F" w:rsidRPr="0020545D" w:rsidRDefault="00DF2E7F" w:rsidP="0019337E">
            <w:pPr>
              <w:pStyle w:val="BodyText"/>
              <w:spacing w:after="0" w:line="240" w:lineRule="auto"/>
              <w:rPr>
                <w:b w:val="0"/>
                <w:color w:val="000000" w:themeColor="text1"/>
                <w:sz w:val="16"/>
              </w:rPr>
            </w:pPr>
            <w:r>
              <w:rPr>
                <w:b w:val="0"/>
                <w:color w:val="000000" w:themeColor="text1"/>
                <w:sz w:val="16"/>
              </w:rPr>
              <w:t>O365 K1/E1/3/4</w:t>
            </w:r>
          </w:p>
        </w:tc>
        <w:tc>
          <w:tcPr>
            <w:tcW w:w="989" w:type="dxa"/>
            <w:vAlign w:val="center"/>
          </w:tcPr>
          <w:p w:rsidR="00DF2E7F" w:rsidRPr="0020545D" w:rsidRDefault="00DF2E7F" w:rsidP="0019337E">
            <w:pPr>
              <w:pStyle w:val="BodyText"/>
              <w:spacing w:after="0" w:line="240" w:lineRule="auto"/>
              <w:cnfStyle w:val="000000000000" w:firstRow="0" w:lastRow="0" w:firstColumn="0" w:lastColumn="0" w:oddVBand="0" w:evenVBand="0" w:oddHBand="0" w:evenHBand="0" w:firstRowFirstColumn="0" w:firstRowLastColumn="0" w:lastRowFirstColumn="0" w:lastRowLastColumn="0"/>
              <w:rPr>
                <w:bCs/>
                <w:color w:val="000000" w:themeColor="text1"/>
                <w:sz w:val="16"/>
              </w:rPr>
            </w:pPr>
            <w:r>
              <w:rPr>
                <w:bCs/>
                <w:color w:val="000000" w:themeColor="text1"/>
                <w:sz w:val="16"/>
              </w:rPr>
              <w:t>1</w:t>
            </w:r>
          </w:p>
        </w:tc>
        <w:tc>
          <w:tcPr>
            <w:tcW w:w="2993" w:type="dxa"/>
            <w:vAlign w:val="center"/>
          </w:tcPr>
          <w:p w:rsidR="00DF2E7F" w:rsidRPr="0020545D" w:rsidRDefault="00DF2E7F" w:rsidP="0019337E">
            <w:pPr>
              <w:pStyle w:val="BodyText"/>
              <w:spacing w:after="0" w:line="240" w:lineRule="auto"/>
              <w:cnfStyle w:val="000000000000" w:firstRow="0" w:lastRow="0" w:firstColumn="0" w:lastColumn="0" w:oddVBand="0" w:evenVBand="0" w:oddHBand="0" w:evenHBand="0" w:firstRowFirstColumn="0" w:firstRowLastColumn="0" w:lastRowFirstColumn="0" w:lastRowLastColumn="0"/>
              <w:rPr>
                <w:bCs/>
                <w:color w:val="000000" w:themeColor="text1"/>
                <w:sz w:val="16"/>
              </w:rPr>
            </w:pPr>
          </w:p>
        </w:tc>
        <w:tc>
          <w:tcPr>
            <w:tcW w:w="810" w:type="dxa"/>
            <w:vAlign w:val="center"/>
          </w:tcPr>
          <w:p w:rsidR="00DF2E7F" w:rsidRPr="0020545D" w:rsidRDefault="00DF2E7F" w:rsidP="0019337E">
            <w:pPr>
              <w:pStyle w:val="BodyText"/>
              <w:spacing w:after="0" w:line="240" w:lineRule="auto"/>
              <w:cnfStyle w:val="000000000000" w:firstRow="0" w:lastRow="0" w:firstColumn="0" w:lastColumn="0" w:oddVBand="0" w:evenVBand="0" w:oddHBand="0" w:evenHBand="0" w:firstRowFirstColumn="0" w:firstRowLastColumn="0" w:lastRowFirstColumn="0" w:lastRowLastColumn="0"/>
              <w:rPr>
                <w:bCs/>
                <w:color w:val="000000" w:themeColor="text1"/>
                <w:sz w:val="16"/>
              </w:rPr>
            </w:pPr>
          </w:p>
        </w:tc>
        <w:tc>
          <w:tcPr>
            <w:tcW w:w="2610" w:type="dxa"/>
            <w:vAlign w:val="center"/>
          </w:tcPr>
          <w:p w:rsidR="00DF2E7F" w:rsidRPr="0020545D" w:rsidRDefault="00DF2E7F" w:rsidP="0019337E">
            <w:pPr>
              <w:pStyle w:val="BodyText"/>
              <w:spacing w:after="0" w:line="240" w:lineRule="auto"/>
              <w:cnfStyle w:val="000000000000" w:firstRow="0" w:lastRow="0" w:firstColumn="0" w:lastColumn="0" w:oddVBand="0" w:evenVBand="0" w:oddHBand="0" w:evenHBand="0" w:firstRowFirstColumn="0" w:firstRowLastColumn="0" w:lastRowFirstColumn="0" w:lastRowLastColumn="0"/>
              <w:rPr>
                <w:bCs/>
                <w:color w:val="000000" w:themeColor="text1"/>
                <w:sz w:val="16"/>
              </w:rPr>
            </w:pPr>
            <w:r>
              <w:rPr>
                <w:bCs/>
                <w:color w:val="000000" w:themeColor="text1"/>
                <w:sz w:val="16"/>
              </w:rPr>
              <w:t>Windows In Tune</w:t>
            </w:r>
          </w:p>
        </w:tc>
        <w:tc>
          <w:tcPr>
            <w:tcW w:w="1260" w:type="dxa"/>
            <w:vAlign w:val="center"/>
          </w:tcPr>
          <w:p w:rsidR="00DF2E7F" w:rsidRPr="0020545D" w:rsidRDefault="00DF2E7F" w:rsidP="0019337E">
            <w:pPr>
              <w:pStyle w:val="BodyText"/>
              <w:spacing w:after="0" w:line="240" w:lineRule="auto"/>
              <w:cnfStyle w:val="000000000000" w:firstRow="0" w:lastRow="0" w:firstColumn="0" w:lastColumn="0" w:oddVBand="0" w:evenVBand="0" w:oddHBand="0" w:evenHBand="0" w:firstRowFirstColumn="0" w:firstRowLastColumn="0" w:lastRowFirstColumn="0" w:lastRowLastColumn="0"/>
              <w:rPr>
                <w:color w:val="000000" w:themeColor="text1"/>
                <w:sz w:val="16"/>
              </w:rPr>
            </w:pPr>
            <w:r>
              <w:rPr>
                <w:color w:val="000000" w:themeColor="text1"/>
                <w:sz w:val="16"/>
              </w:rPr>
              <w:t>1</w:t>
            </w:r>
          </w:p>
        </w:tc>
      </w:tr>
    </w:tbl>
    <w:p w:rsidR="00DF2E7F" w:rsidRPr="00483B32" w:rsidRDefault="00DF2E7F" w:rsidP="00DF2E7F">
      <w:pPr>
        <w:pStyle w:val="BodyText"/>
        <w:spacing w:before="120"/>
      </w:pPr>
      <w:r>
        <w:rPr>
          <w:bCs/>
        </w:rPr>
        <w:t xml:space="preserve">Další informace, včetně kompletního seznamu bodů produktů pro licence, naleznete na adrese </w:t>
      </w:r>
      <w:hyperlink r:id="rId17" w:history="1">
        <w:r>
          <w:rPr>
            <w:rStyle w:val="Hyperlink"/>
          </w:rPr>
          <w:t>http://www.microsoft.com/licensing/contracts</w:t>
        </w:r>
      </w:hyperlink>
    </w:p>
    <w:bookmarkEnd w:id="16"/>
    <w:p w:rsidR="00DF2E7F" w:rsidRPr="00483B32" w:rsidRDefault="00DF2E7F" w:rsidP="00DF2E7F">
      <w:pPr>
        <w:pStyle w:val="Thirdheading"/>
      </w:pPr>
      <w:r>
        <w:rPr>
          <w:b/>
        </w:rPr>
        <w:t>Úpravy cenového stupně</w:t>
      </w:r>
    </w:p>
    <w:p w:rsidR="00DF2E7F" w:rsidRPr="00483B32" w:rsidRDefault="00DF2E7F" w:rsidP="00DF2E7F">
      <w:pPr>
        <w:pStyle w:val="BodyText"/>
      </w:pPr>
      <w:r>
        <w:t>Dalšího cenového stupně pro skupinu dosáhnete, jakmile vaše organizace splní odpovídající minimální roční počet bodů. Objednávka, která vás kvalifikuje pro další prahovou úroveň slevy (např. z úrovně A na úroveň B), obdrží slevu spojenou s danou úrovní. Cenové stupně pro každou skupinu produktů jsou každý den revidovány během výročního měsíce splnění smlouvy, který závisí na měsíci aktivace vaší smlouvy MPSA. Všechny body získané za daný rok, které jsou nad rámec aktuálního cenového stupně, ale pod hodnotou dalšího cenového stupně, budou převedeny do dalšího roku a budou započítány do splnění smlouvy pro daný rok.</w:t>
      </w:r>
    </w:p>
    <w:p w:rsidR="00DF2E7F" w:rsidRPr="00483B32" w:rsidRDefault="00DF2E7F" w:rsidP="00DF2E7F">
      <w:pPr>
        <w:pStyle w:val="BodyText"/>
      </w:pPr>
      <w:r>
        <w:t>Pokud vaše nákupy nesplní roční minimální počet bodů ve skupině produktů za daný rok, cenový stupeň vaší organizace bude pro danou skupinu následující rok o jednu úroveň snížen (např. z úrovně C na úroveň B) a do dalšího roku nebudou převedeny žádné body. Váš cenový stupeň může každý rok klesnout maximálně o jednu úroveň.</w:t>
      </w:r>
    </w:p>
    <w:p w:rsidR="00DF2E7F" w:rsidRPr="00483B32" w:rsidRDefault="00DF2E7F" w:rsidP="00DF2E7F">
      <w:pPr>
        <w:pStyle w:val="BodyText"/>
      </w:pPr>
      <w:r>
        <w:t>Pokud ke své smlouvě MPSA máte přiřazenou aktivní kvalifikující smlouvu s lepším cenovým stupněm pro skupinu produktů, než je odpovídající skupina produktů ve smlouvě MPSA, bude pro objednávky dle MPSA použit pro skupinu produktů lepší cenový stupeň.</w:t>
      </w:r>
    </w:p>
    <w:p w:rsidR="00DF2E7F" w:rsidRPr="00483B32" w:rsidRDefault="00DF2E7F" w:rsidP="00DF2E7F">
      <w:pPr>
        <w:pStyle w:val="Thirdheading"/>
      </w:pPr>
      <w:r>
        <w:rPr>
          <w:b/>
        </w:rPr>
        <w:t>Mechanismy objednávky</w:t>
      </w:r>
    </w:p>
    <w:p w:rsidR="00DF2E7F" w:rsidRPr="00483B32" w:rsidRDefault="00DF2E7F" w:rsidP="00DF2E7F">
      <w:pPr>
        <w:pStyle w:val="BodyText"/>
      </w:pPr>
      <w:r>
        <w:t>Objednávky pro produkty, které společnost Microsoft zpřístupní prostřednictvím smlouvy MPSA, mohou být odeslány vašemu zvolenému partnerovi licenčního řešení. Cena a platební podmínky ve vztahu ke všem objednávkám zadaným prostřednictvím partnera budou určeny dohodou mezi vámi a vaším partnerem. Při odesílání objednávek musíte uvést všechny země, ve kterých vaše organizace bude produkty používat.</w:t>
      </w:r>
    </w:p>
    <w:p w:rsidR="00DF2E7F" w:rsidRPr="00483B32" w:rsidRDefault="00DF2E7F" w:rsidP="00DF2E7F">
      <w:pPr>
        <w:pStyle w:val="BodyText"/>
      </w:pPr>
      <w:r>
        <w:t xml:space="preserve">Všechny objednávky licencí na odběr krytí Software Assurance a softwaru budou přiděleny vašemu nákupnímu účtu ke třetímu výročí objednávky a budou buď fakturovány ročně, nebo formou celkové platby v okamžiku objednání (dle vašeho výběru). </w:t>
      </w:r>
    </w:p>
    <w:p w:rsidR="00DF2E7F" w:rsidRPr="00483B32" w:rsidRDefault="00DF2E7F" w:rsidP="00DF2E7F">
      <w:pPr>
        <w:pStyle w:val="BodyText"/>
      </w:pPr>
      <w:r>
        <w:lastRenderedPageBreak/>
        <w:t xml:space="preserve">Objednávky služeb online nebo balíčků mohou být připojeny k vašemu nákupnímu účtu při dalším, druhém nebo třetím výročí nákupního účtu po datu objednávky. Možnosti připojení závisejí na zvolených produktech. Další objednávky odběru zadané v tomto období budou automaticky připojeny ke stejnému datu skončení. Objednávky budou dle vašeho výběru účtovány ročně nebo v plné ceně splatné v okamžiku objednání. Ceny pro další objednávky předplatného budou stejné jako pro úvodní objednávku předplatného, pokud v době objednání není k dispozici lepší nabídka. Jestliže je doba odběru delší než jeden rok, dalším objednávkám bude přiřazena buďto aktuální cena v době další objednávky nebo cena stejná jako u úvodní objednávky podle toho, která bude výhodnější. Po prodloužení období předplatného budou ceny resetovány. </w:t>
      </w:r>
    </w:p>
    <w:p w:rsidR="00DF2E7F" w:rsidRPr="00483B32" w:rsidRDefault="00DF2E7F" w:rsidP="00DF2E7F">
      <w:pPr>
        <w:pStyle w:val="BodyText"/>
      </w:pPr>
      <w:r>
        <w:t xml:space="preserve">Další možnosti účtování a přidělování objednávek v rámci vaší smlouvy MPSA budou zpřístupněny v budoucnu. </w:t>
      </w:r>
    </w:p>
    <w:p w:rsidR="00DF2E7F" w:rsidRPr="00483B32" w:rsidRDefault="00DF2E7F" w:rsidP="00DF2E7F">
      <w:pPr>
        <w:pStyle w:val="BodyText"/>
      </w:pPr>
      <w:r>
        <w:t>Poté, co společnost Microsoft přijme registraci vaší nákupní jednotky, smíte používat jakýkoli produkt jako licencovaný na základě podmínek smlouvy MPSA, pokud zadáte objednávku na dostatečný počet licencí, které budou pokrývat používání daného produktu ve stejném kalendářním měsíci, ve kterém byl produkt poprvé použit. Pro dodatečné počty licencovaného produktu musíte zadat objednávku v měsíci, kdy byly tyto počty použity poprvé. Pro licence ke službám online, které vyžadují vyrovnávací objednávku, naleznete vykazování pro tato množství v centru MVLC, popřípadě vám pomůže váš partner. </w:t>
      </w:r>
    </w:p>
    <w:p w:rsidR="00DF2E7F" w:rsidRPr="00483B32" w:rsidRDefault="00DF2E7F" w:rsidP="00DF2E7F">
      <w:pPr>
        <w:pStyle w:val="BodyText"/>
      </w:pPr>
      <w:r>
        <w:t>Společnost Microsoft smí změnit produkty dostupné prostřednictvím smlouvy MPSA a může odmítnout přijetí nabídky, pokud k tomu má obchodní důvod.</w:t>
      </w:r>
    </w:p>
    <w:p w:rsidR="00DF2E7F" w:rsidRPr="00483B32" w:rsidRDefault="00DF2E7F" w:rsidP="00DF2E7F">
      <w:pPr>
        <w:pStyle w:val="BodyText"/>
      </w:pPr>
      <w:r>
        <w:t xml:space="preserve">Informace o objednávkách přijatých a zpracovaných společností Microsoft naleznete v centru MVLC na adrese </w:t>
      </w:r>
      <w:hyperlink r:id="rId18" w:history="1">
        <w:r>
          <w:rPr>
            <w:rStyle w:val="Hyperlink"/>
          </w:rPr>
          <w:t>https://licensing.microsoft.com/customer</w:t>
        </w:r>
      </w:hyperlink>
      <w:r>
        <w:t>. Po registraci získá kontaktní osoba nákupní jednotky přístup k centru MVLC a účet vašeho určeného správce smlouvy bude mít přístup k informacím v rámci všech nákupních jednotek.</w:t>
      </w:r>
    </w:p>
    <w:p w:rsidR="00DF2E7F" w:rsidRPr="00483B32" w:rsidRDefault="00DF2E7F" w:rsidP="00DF2E7F">
      <w:pPr>
        <w:pStyle w:val="Hdg1noborder"/>
      </w:pPr>
      <w:bookmarkStart w:id="17" w:name="_Toc403380298"/>
      <w:bookmarkStart w:id="18" w:name="_Toc403985016"/>
      <w:bookmarkStart w:id="19" w:name="_Toc428180915"/>
      <w:r>
        <w:t>Oddíl 2</w:t>
      </w:r>
      <w:bookmarkEnd w:id="17"/>
      <w:bookmarkEnd w:id="18"/>
      <w:bookmarkEnd w:id="19"/>
    </w:p>
    <w:p w:rsidR="00DF2E7F" w:rsidRPr="00483B32" w:rsidRDefault="00DF2E7F" w:rsidP="00DF2E7F">
      <w:pPr>
        <w:pStyle w:val="Hdg1noborder"/>
        <w:spacing w:before="120" w:after="120" w:line="240" w:lineRule="auto"/>
        <w:rPr>
          <w:rFonts w:eastAsiaTheme="majorEastAsia"/>
        </w:rPr>
      </w:pPr>
      <w:bookmarkStart w:id="20" w:name="_Toc403380299"/>
      <w:bookmarkStart w:id="21" w:name="_Toc403985017"/>
      <w:bookmarkStart w:id="22" w:name="_Toc428180916"/>
      <w:r>
        <w:rPr>
          <w:rFonts w:asciiTheme="majorHAnsi" w:eastAsiaTheme="majorEastAsia" w:hAnsiTheme="majorHAnsi" w:cstheme="majorBidi"/>
          <w:bCs/>
          <w:color w:val="FFC000" w:themeColor="accent4"/>
          <w:sz w:val="28"/>
          <w:szCs w:val="26"/>
        </w:rPr>
        <w:t>Výhody služeb online</w:t>
      </w:r>
      <w:bookmarkEnd w:id="20"/>
      <w:bookmarkEnd w:id="21"/>
      <w:bookmarkEnd w:id="22"/>
    </w:p>
    <w:p w:rsidR="00DF2E7F" w:rsidRPr="00483B32" w:rsidRDefault="00DF2E7F" w:rsidP="00DF2E7F">
      <w:pPr>
        <w:pStyle w:val="BodyText"/>
        <w:rPr>
          <w:rFonts w:eastAsiaTheme="majorEastAsia"/>
        </w:rPr>
      </w:pPr>
      <w:r>
        <w:t xml:space="preserve">Pokud si zakoupíte služby online, můžete mít také nárok na výhody služeb online. Například v případě služby Office 365 máte nárok na výhodu e-learningu. Podrobnosti o tom, které výhody jsou k dispozici pro služby online, naleznete v položce produktu obsažené v podmínkách produktu a po nákupu prostřednictvím centra MVLC. Seznam výhod Software Assurance naleznete níže. </w:t>
      </w:r>
    </w:p>
    <w:p w:rsidR="00DF2E7F" w:rsidRPr="00483B32" w:rsidRDefault="00DF2E7F" w:rsidP="00DF2E7F">
      <w:pPr>
        <w:pStyle w:val="Hdg1noborder"/>
        <w:spacing w:before="120" w:after="120" w:line="240" w:lineRule="auto"/>
        <w:rPr>
          <w:rFonts w:eastAsiaTheme="majorEastAsia"/>
        </w:rPr>
      </w:pPr>
      <w:bookmarkStart w:id="23" w:name="_Toc403380300"/>
      <w:bookmarkStart w:id="24" w:name="_Toc403985018"/>
      <w:bookmarkStart w:id="25" w:name="_Toc428180917"/>
      <w:r>
        <w:rPr>
          <w:rFonts w:asciiTheme="majorHAnsi" w:eastAsiaTheme="majorEastAsia" w:hAnsiTheme="majorHAnsi" w:cstheme="majorBidi"/>
          <w:bCs/>
          <w:color w:val="FFC000" w:themeColor="accent4"/>
          <w:sz w:val="28"/>
          <w:szCs w:val="26"/>
        </w:rPr>
        <w:t>Software Assurance a výhody</w:t>
      </w:r>
      <w:bookmarkEnd w:id="23"/>
      <w:bookmarkEnd w:id="24"/>
      <w:bookmarkEnd w:id="25"/>
    </w:p>
    <w:p w:rsidR="00DF2E7F" w:rsidRPr="00483B32" w:rsidRDefault="00DF2E7F" w:rsidP="00DF2E7F">
      <w:pPr>
        <w:pStyle w:val="BodyText"/>
      </w:pPr>
      <w:r>
        <w:rPr>
          <w:color w:val="000000" w:themeColor="text1"/>
        </w:rPr>
        <w:t xml:space="preserve">Krytí Microsoft Software Assurance pro multilicenční program (SA) je sada nástrojů a prostředků, které pomáhají s nasazením a správou produktů společnosti Microsoft. Krytí Software Assurance, které si zakoupíte v rámci smlouvy MPSA, podléhá podmínkám této licenční příručky a neřídí se přílohou B – Software Assurance podmínek produktu. </w:t>
      </w:r>
      <w:r>
        <w:t>Upozorňujeme, že pokud znáte pravidla výpočtu a kvalifikace pro výhody SA v programu Select Plus, tato pravidla zůstávají konzistentní se smlouvou MPSA, s výjimkou neomezené nepřetržité podpory řešení problémů a poukázek na školení popsaných níže.</w:t>
      </w:r>
    </w:p>
    <w:p w:rsidR="00DF2E7F" w:rsidRPr="00483B32" w:rsidRDefault="00DF2E7F" w:rsidP="00DF2E7F">
      <w:pPr>
        <w:pStyle w:val="Thirdheading"/>
      </w:pPr>
      <w:r>
        <w:rPr>
          <w:b/>
        </w:rPr>
        <w:t>Zakoupení krytí Software Assurance</w:t>
      </w:r>
    </w:p>
    <w:p w:rsidR="00DF2E7F" w:rsidRPr="00483B32" w:rsidRDefault="00DF2E7F" w:rsidP="00DF2E7F">
      <w:pPr>
        <w:pStyle w:val="BodyText"/>
      </w:pPr>
      <w:r>
        <w:t>Krytí Software Assurance (SA) si můžete prostřednictvím smlouvy MPSA zakoupit následovně:</w:t>
      </w:r>
    </w:p>
    <w:p w:rsidR="00DF2E7F" w:rsidRPr="00483B32" w:rsidRDefault="00DF2E7F" w:rsidP="00DF2E7F">
      <w:pPr>
        <w:pStyle w:val="BodyText"/>
        <w:numPr>
          <w:ilvl w:val="0"/>
          <w:numId w:val="16"/>
        </w:numPr>
        <w:spacing w:after="0"/>
      </w:pPr>
      <w:r>
        <w:t xml:space="preserve">Zavázat k připojení krytí SA ke všem nákupům v rámci konkrétní skupiny produktů (aplikace, systémy nebo servery), což se označuje jako členství v Software Assurance (SAM). </w:t>
      </w:r>
    </w:p>
    <w:p w:rsidR="00DF2E7F" w:rsidRPr="00483B32" w:rsidRDefault="00DF2E7F" w:rsidP="00DF2E7F">
      <w:pPr>
        <w:pStyle w:val="BodyText"/>
        <w:numPr>
          <w:ilvl w:val="0"/>
          <w:numId w:val="16"/>
        </w:numPr>
      </w:pPr>
      <w:r>
        <w:t>Rozhodnout zakoupit krytí SA pro jednotlivé produkty bez přijetí závazku rozšířit krytí SA na ostatní produkty.</w:t>
      </w:r>
    </w:p>
    <w:p w:rsidR="00DF2E7F" w:rsidRPr="00483B32" w:rsidRDefault="00DF2E7F" w:rsidP="00DF2E7F">
      <w:pPr>
        <w:pStyle w:val="BodyText"/>
      </w:pPr>
      <w:r>
        <w:rPr>
          <w:color w:val="000000" w:themeColor="text1"/>
        </w:rPr>
        <w:t>Krytí SA je nutné pořídit v okamžiku pořízení licence nebo prodloužení stávajícího období krytí SA. Není-li uvedeno jinak, pro krytí SA se kvalifikují pouze licence pro nejnovější verzi produktu.</w:t>
      </w:r>
    </w:p>
    <w:p w:rsidR="00DF2E7F" w:rsidRPr="00483B32" w:rsidRDefault="00DF2E7F" w:rsidP="00DF2E7F">
      <w:pPr>
        <w:pStyle w:val="Thirdheading"/>
      </w:pPr>
      <w:r>
        <w:rPr>
          <w:rFonts w:ascii="Segoe UI" w:hAnsi="Segoe UI" w:cs="Times New Roman"/>
          <w:color w:val="000000" w:themeColor="text1"/>
          <w:sz w:val="18"/>
          <w:szCs w:val="20"/>
        </w:rPr>
        <w:t>Jako výjimka z obecného pravidla platí, že zákazníci mohou krytí SA pro určité licence zakoupit z prodejního kanálu (verze pro koncový prodej) nebo od výrobce originálních dílů (OEM) ve skupinách produktů pro systémy a servery smlouvy MPSA. Ve skupině aplikací této podmínce nepodléhají žádné verze produktů pro koncový prodej a pouze systém Microsoft Office Professional 2013 získaný od výrobce OEM může získat krytí SA pro edici Microsoft Office Standard, a to do 90 dnů od data zakoupení.</w:t>
      </w:r>
    </w:p>
    <w:p w:rsidR="00DF2E7F" w:rsidRPr="00483B32" w:rsidRDefault="00DF2E7F" w:rsidP="00DF2E7F">
      <w:pPr>
        <w:pStyle w:val="Thirdheading"/>
      </w:pPr>
      <w:r>
        <w:rPr>
          <w:b/>
        </w:rPr>
        <w:t>Prodloužení krytí Software Assurance</w:t>
      </w:r>
    </w:p>
    <w:p w:rsidR="00DF2E7F" w:rsidRPr="00483B32" w:rsidRDefault="00DF2E7F" w:rsidP="00DF2E7F">
      <w:pPr>
        <w:pStyle w:val="BodyText"/>
      </w:pPr>
      <w:r>
        <w:rPr>
          <w:color w:val="000000" w:themeColor="text1"/>
        </w:rPr>
        <w:t>Pokud krytí SA zatím nevypršelo, můžete si je prodloužit bez nutnosti současně objednat licenci.</w:t>
      </w:r>
    </w:p>
    <w:p w:rsidR="00DF2E7F" w:rsidRPr="00483B32" w:rsidRDefault="00DF2E7F" w:rsidP="00DF2E7F">
      <w:pPr>
        <w:pStyle w:val="Thirdheading"/>
      </w:pPr>
      <w:r>
        <w:rPr>
          <w:b/>
        </w:rPr>
        <w:lastRenderedPageBreak/>
        <w:t>Prodloužení krytí v rámci samostatné smlouvy</w:t>
      </w:r>
    </w:p>
    <w:p w:rsidR="00DF2E7F" w:rsidRPr="00483B32" w:rsidRDefault="00DF2E7F" w:rsidP="00DF2E7F">
      <w:pPr>
        <w:pStyle w:val="BodyText"/>
      </w:pPr>
      <w:r>
        <w:t xml:space="preserve">Krytí SA můžete prodloužit pro jakýkoli produkt, pokud jste získali časově neomezenou licenci a krytí SA pro daný produkt v rámci předchozí smlouvy a: </w:t>
      </w:r>
    </w:p>
    <w:p w:rsidR="00DF2E7F" w:rsidRPr="00483B32" w:rsidRDefault="00DF2E7F" w:rsidP="00DF2E7F">
      <w:pPr>
        <w:pStyle w:val="BodyText"/>
        <w:numPr>
          <w:ilvl w:val="0"/>
          <w:numId w:val="16"/>
        </w:numPr>
        <w:spacing w:after="0"/>
      </w:pPr>
      <w:r>
        <w:t xml:space="preserve">datum začátku prodlouženého krytí SA je nejpozději v den následující po datu uplynutí doby účinnosti předchozího krytí SA </w:t>
      </w:r>
    </w:p>
    <w:p w:rsidR="00DF2E7F" w:rsidRPr="00483B32" w:rsidRDefault="00DF2E7F" w:rsidP="00DF2E7F">
      <w:pPr>
        <w:pStyle w:val="BodyText"/>
        <w:numPr>
          <w:ilvl w:val="0"/>
          <w:numId w:val="16"/>
        </w:numPr>
        <w:spacing w:after="0"/>
      </w:pPr>
      <w:r>
        <w:t xml:space="preserve">prodlužovací objednávka pro SA je zadána před datem uplynutí doby účinnosti předchozího krytí SA. </w:t>
      </w:r>
    </w:p>
    <w:p w:rsidR="00DF2E7F" w:rsidRPr="00483B32" w:rsidRDefault="00DF2E7F" w:rsidP="00DF2E7F">
      <w:pPr>
        <w:pStyle w:val="Thirdheading"/>
        <w:spacing w:before="240"/>
      </w:pPr>
      <w:r>
        <w:rPr>
          <w:b/>
        </w:rPr>
        <w:t>Licence pro klientský přístup (CAL) a licence pro správu (ML)</w:t>
      </w:r>
    </w:p>
    <w:p w:rsidR="00DF2E7F" w:rsidRPr="00483B32" w:rsidRDefault="00DF2E7F" w:rsidP="00DF2E7F">
      <w:pPr>
        <w:pStyle w:val="BodyText"/>
      </w:pPr>
      <w:r>
        <w:t xml:space="preserve">Přechod mezi licencemi CAL na uživatele a na zařízení: Pokud si prodlužujete krytí SA pro licence CAL, můžete přejít mezi možností na uživatele a na zařízení. Tento přechod nemění edici licence CAL (tj. Standard na Enterprise). </w:t>
      </w:r>
    </w:p>
    <w:p w:rsidR="00DF2E7F" w:rsidRPr="00483B32" w:rsidRDefault="00DF2E7F" w:rsidP="00DF2E7F">
      <w:pPr>
        <w:pStyle w:val="BodyText"/>
      </w:pPr>
      <w:r>
        <w:t>Přechod mezi licencemi ML pro uživatele a klienta OSE: Pokud si prodlužujete krytí SA pro klientské licence CAL, můžete přejít mezi možností na uživatele a na prostředí OSE.</w:t>
      </w:r>
    </w:p>
    <w:p w:rsidR="00DF2E7F" w:rsidRPr="00483B32" w:rsidRDefault="00DF2E7F" w:rsidP="00DF2E7F">
      <w:pPr>
        <w:pStyle w:val="Thirdheading"/>
      </w:pPr>
      <w:r>
        <w:rPr>
          <w:b/>
        </w:rPr>
        <w:t>Výhody Software Assurance</w:t>
      </w:r>
    </w:p>
    <w:p w:rsidR="00DF2E7F" w:rsidRPr="00483B32" w:rsidRDefault="00DF2E7F" w:rsidP="00DF2E7F">
      <w:pPr>
        <w:pStyle w:val="BodyText"/>
      </w:pPr>
      <w:r>
        <w:t xml:space="preserve">Výhody krytí Software Assurance se pro jednotlivé produkty a skupiny produktů liší. Není-li níže uvedeno jinak, váš přístup a práva na využívání výhod krytí SA obecně vyprší po uplynutí doby účinnosti vašeho krytí SA. Většina výhod krytí SA je udělována na začátku období pokrytí. Jakékoli změny během období pokrytí (např. další nákup nebo vrácení) mohou vést ke změně nároku na výhody. Výjimky z pravidel výše jsou uvedeny v oddílech pro jednotlivé výhody níže. Výhody se mohou kdykoli a bez předchozího upozornění změnit a jejich poskytování může být ukončeno. Výhody krytí SA jsou přiděleny prostřednictvím smlouvy MPSA podle nákupní jednotky. </w:t>
      </w:r>
    </w:p>
    <w:p w:rsidR="00DF2E7F" w:rsidRPr="00483B32" w:rsidRDefault="00DF2E7F" w:rsidP="00DF2E7F">
      <w:pPr>
        <w:spacing w:line="240" w:lineRule="auto"/>
      </w:pPr>
      <w:r>
        <w:rPr>
          <w:rFonts w:eastAsia="Times New Roman" w:cs="Times New Roman"/>
          <w:color w:val="505050"/>
          <w:szCs w:val="20"/>
        </w:rPr>
        <w:t xml:space="preserve">Aktivní krytí SA pro jakýkoli kvalifikující produkt prostřednictvím smlouvy MPSA, bez ohledu na verzi produktu, kterou momentálně využíváte, vás opravňuje k využívání výhod uvedených v tabulce níže. Viz oddíl Software Assurance, kde naleznete výhody specifické pro každý produkt, jako je například Microsoft Desktop Optimization Pack a Windows Thin PC. Kvalifikující produkty jsou uvedeny v oddílu podmínek produktu věnovaném jednotlivým produktům. Některé výhody vyžadují členství v krytí SA; členství v krytí SA pro příslušnou skupinu produktů opravňuje k využívání těchto výhod. </w:t>
      </w:r>
    </w:p>
    <w:p w:rsidR="00DF2E7F" w:rsidRPr="00483B32" w:rsidRDefault="00DF2E7F" w:rsidP="00DF2E7F">
      <w:pPr>
        <w:pStyle w:val="Hdg1noborder"/>
        <w:spacing w:before="120" w:after="120" w:line="240" w:lineRule="auto"/>
        <w:rPr>
          <w:rFonts w:eastAsiaTheme="majorEastAsia"/>
        </w:rPr>
      </w:pPr>
      <w:bookmarkStart w:id="26" w:name="_Toc403380301"/>
      <w:bookmarkStart w:id="27" w:name="_Toc403985019"/>
      <w:bookmarkStart w:id="28" w:name="_Toc428180918"/>
      <w:r>
        <w:rPr>
          <w:rFonts w:asciiTheme="majorHAnsi" w:eastAsiaTheme="majorEastAsia" w:hAnsiTheme="majorHAnsi" w:cstheme="majorBidi"/>
          <w:bCs/>
          <w:color w:val="FFC000" w:themeColor="accent4"/>
          <w:sz w:val="28"/>
          <w:szCs w:val="26"/>
        </w:rPr>
        <w:t>Dostupnost výhod Software Assurance v rámci smlouvy MPSA</w:t>
      </w:r>
      <w:bookmarkEnd w:id="26"/>
      <w:bookmarkEnd w:id="27"/>
      <w:bookmarkEnd w:id="28"/>
    </w:p>
    <w:p w:rsidR="00DF2E7F" w:rsidRPr="00483B32" w:rsidRDefault="00DF2E7F" w:rsidP="00DF2E7F">
      <w:pPr>
        <w:pStyle w:val="BodyText"/>
        <w:spacing w:after="0"/>
      </w:pPr>
      <w:r>
        <w:t xml:space="preserve">Není-li níže uvedeno jinak, výhody SA jsou přístupné prostřednictvím centra MVLC. </w:t>
      </w:r>
    </w:p>
    <w:tbl>
      <w:tblPr>
        <w:tblW w:w="1072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736"/>
        <w:gridCol w:w="1648"/>
        <w:gridCol w:w="1828"/>
        <w:gridCol w:w="1508"/>
      </w:tblGrid>
      <w:tr w:rsidR="00DF2E7F" w:rsidRPr="00717EC0" w:rsidTr="0019337E">
        <w:trPr>
          <w:trHeight w:val="56"/>
          <w:tblHeader/>
        </w:trPr>
        <w:tc>
          <w:tcPr>
            <w:tcW w:w="5736" w:type="dxa"/>
            <w:shd w:val="clear" w:color="auto" w:fill="BF8F00" w:themeFill="accent4" w:themeFillShade="BF"/>
            <w:vAlign w:val="center"/>
          </w:tcPr>
          <w:p w:rsidR="00DF2E7F" w:rsidRPr="00422D62" w:rsidRDefault="00DF2E7F" w:rsidP="0019337E">
            <w:pPr>
              <w:pStyle w:val="ProductList-Body"/>
              <w:rPr>
                <w:rFonts w:cstheme="minorHAnsi"/>
                <w:color w:val="FFFFFF" w:themeColor="background1"/>
                <w:szCs w:val="18"/>
              </w:rPr>
            </w:pPr>
            <w:r>
              <w:rPr>
                <w:rFonts w:cstheme="minorHAnsi"/>
                <w:color w:val="FFFFFF" w:themeColor="background1"/>
                <w:szCs w:val="18"/>
              </w:rPr>
              <w:t>Výhody SA</w:t>
            </w:r>
          </w:p>
        </w:tc>
        <w:tc>
          <w:tcPr>
            <w:tcW w:w="1648" w:type="dxa"/>
            <w:shd w:val="clear" w:color="auto" w:fill="BF8F00" w:themeFill="accent4" w:themeFillShade="BF"/>
            <w:vAlign w:val="center"/>
          </w:tcPr>
          <w:p w:rsidR="00DF2E7F" w:rsidRPr="00422D62" w:rsidRDefault="00DF2E7F" w:rsidP="0019337E">
            <w:pPr>
              <w:pStyle w:val="ProductList-Body"/>
              <w:jc w:val="center"/>
              <w:rPr>
                <w:rFonts w:cstheme="minorHAnsi"/>
                <w:color w:val="FFFFFF" w:themeColor="background1"/>
                <w:szCs w:val="18"/>
              </w:rPr>
            </w:pPr>
            <w:r>
              <w:rPr>
                <w:rFonts w:cstheme="minorHAnsi"/>
                <w:color w:val="FFFFFF" w:themeColor="background1"/>
                <w:szCs w:val="18"/>
              </w:rPr>
              <w:t>Skupina aplikací</w:t>
            </w:r>
          </w:p>
        </w:tc>
        <w:tc>
          <w:tcPr>
            <w:tcW w:w="1828" w:type="dxa"/>
            <w:shd w:val="clear" w:color="auto" w:fill="BF8F00" w:themeFill="accent4" w:themeFillShade="BF"/>
            <w:vAlign w:val="center"/>
          </w:tcPr>
          <w:p w:rsidR="00DF2E7F" w:rsidRPr="00422D62" w:rsidRDefault="00DF2E7F" w:rsidP="0019337E">
            <w:pPr>
              <w:pStyle w:val="ProductList-Body"/>
              <w:jc w:val="center"/>
              <w:rPr>
                <w:rFonts w:cstheme="minorHAnsi"/>
                <w:color w:val="FFFFFF" w:themeColor="background1"/>
                <w:szCs w:val="18"/>
              </w:rPr>
            </w:pPr>
            <w:r>
              <w:rPr>
                <w:rFonts w:cstheme="minorHAnsi"/>
                <w:color w:val="FFFFFF" w:themeColor="background1"/>
                <w:szCs w:val="18"/>
              </w:rPr>
              <w:t>Skupina systémů</w:t>
            </w:r>
          </w:p>
        </w:tc>
        <w:tc>
          <w:tcPr>
            <w:tcW w:w="1508" w:type="dxa"/>
            <w:shd w:val="clear" w:color="auto" w:fill="BF8F00" w:themeFill="accent4" w:themeFillShade="BF"/>
            <w:vAlign w:val="center"/>
          </w:tcPr>
          <w:p w:rsidR="00DF2E7F" w:rsidRPr="00422D62" w:rsidRDefault="00DF2E7F" w:rsidP="0019337E">
            <w:pPr>
              <w:pStyle w:val="ProductList-Body"/>
              <w:jc w:val="center"/>
              <w:rPr>
                <w:rFonts w:cstheme="minorHAnsi"/>
                <w:color w:val="FFFFFF" w:themeColor="background1"/>
                <w:szCs w:val="18"/>
              </w:rPr>
            </w:pPr>
            <w:r>
              <w:rPr>
                <w:rFonts w:cstheme="minorHAnsi"/>
                <w:color w:val="FFFFFF" w:themeColor="background1"/>
                <w:szCs w:val="18"/>
              </w:rPr>
              <w:t>Skupina serverů</w:t>
            </w:r>
          </w:p>
        </w:tc>
      </w:tr>
      <w:tr w:rsidR="00DF2E7F" w:rsidRPr="00A84C84" w:rsidTr="0019337E">
        <w:trPr>
          <w:trHeight w:val="255"/>
        </w:trPr>
        <w:tc>
          <w:tcPr>
            <w:tcW w:w="5736" w:type="dxa"/>
          </w:tcPr>
          <w:p w:rsidR="00DF2E7F" w:rsidRPr="00BC431D" w:rsidRDefault="00DF2E7F" w:rsidP="0019337E">
            <w:pPr>
              <w:pStyle w:val="ProductList-Body"/>
              <w:rPr>
                <w:rStyle w:val="Hyperlink"/>
                <w:sz w:val="17"/>
                <w:szCs w:val="17"/>
              </w:rPr>
            </w:pPr>
            <w:hyperlink w:anchor="_Planning_Services" w:history="1">
              <w:r>
                <w:rPr>
                  <w:rStyle w:val="Hyperlink"/>
                  <w:sz w:val="17"/>
                  <w:szCs w:val="17"/>
                </w:rPr>
                <w:t>Služby plánování</w:t>
              </w:r>
            </w:hyperlink>
          </w:p>
        </w:tc>
        <w:tc>
          <w:tcPr>
            <w:tcW w:w="1648" w:type="dxa"/>
          </w:tcPr>
          <w:p w:rsidR="00DF2E7F" w:rsidRPr="00BC431D" w:rsidRDefault="00DF2E7F" w:rsidP="0019337E">
            <w:pPr>
              <w:pStyle w:val="ProductList-Body"/>
              <w:jc w:val="center"/>
              <w:rPr>
                <w:rFonts w:cstheme="minorHAnsi"/>
                <w:color w:val="000000" w:themeColor="text1"/>
                <w:sz w:val="17"/>
                <w:szCs w:val="17"/>
              </w:rPr>
            </w:pPr>
            <w:r>
              <w:rPr>
                <w:rFonts w:ascii="Wingdings" w:hAnsi="Wingdings" w:cs="Wingdings"/>
                <w:color w:val="000000" w:themeColor="text1"/>
                <w:sz w:val="17"/>
                <w:szCs w:val="17"/>
              </w:rPr>
              <w:t></w:t>
            </w:r>
          </w:p>
        </w:tc>
        <w:tc>
          <w:tcPr>
            <w:tcW w:w="1828" w:type="dxa"/>
            <w:vAlign w:val="center"/>
          </w:tcPr>
          <w:p w:rsidR="00DF2E7F" w:rsidRPr="00BC431D" w:rsidRDefault="00DF2E7F" w:rsidP="0019337E">
            <w:pPr>
              <w:pStyle w:val="ProductList-Body"/>
              <w:jc w:val="center"/>
              <w:rPr>
                <w:rFonts w:cstheme="minorHAnsi"/>
                <w:color w:val="000000" w:themeColor="text1"/>
                <w:sz w:val="17"/>
                <w:szCs w:val="17"/>
              </w:rPr>
            </w:pPr>
          </w:p>
        </w:tc>
        <w:tc>
          <w:tcPr>
            <w:tcW w:w="1508" w:type="dxa"/>
            <w:vAlign w:val="center"/>
          </w:tcPr>
          <w:p w:rsidR="00DF2E7F" w:rsidRPr="00BC431D" w:rsidRDefault="00DF2E7F" w:rsidP="0019337E">
            <w:pPr>
              <w:pStyle w:val="ProductList-Body"/>
              <w:jc w:val="center"/>
              <w:rPr>
                <w:rStyle w:val="CommentReference"/>
                <w:rFonts w:cstheme="minorHAnsi"/>
                <w:color w:val="000000" w:themeColor="text1"/>
                <w:sz w:val="17"/>
                <w:szCs w:val="17"/>
              </w:rPr>
            </w:pPr>
            <w:r>
              <w:rPr>
                <w:rFonts w:ascii="Wingdings" w:hAnsi="Wingdings" w:cs="Wingdings"/>
                <w:color w:val="000000" w:themeColor="text1"/>
                <w:sz w:val="17"/>
                <w:szCs w:val="17"/>
              </w:rPr>
              <w:t></w:t>
            </w:r>
          </w:p>
        </w:tc>
      </w:tr>
      <w:tr w:rsidR="00DF2E7F" w:rsidRPr="00A84C84" w:rsidTr="0019337E">
        <w:trPr>
          <w:trHeight w:val="255"/>
        </w:trPr>
        <w:tc>
          <w:tcPr>
            <w:tcW w:w="5736" w:type="dxa"/>
          </w:tcPr>
          <w:p w:rsidR="00DF2E7F" w:rsidRPr="00BC431D" w:rsidRDefault="00DF2E7F" w:rsidP="0019337E">
            <w:pPr>
              <w:pStyle w:val="ProductList-Body"/>
              <w:rPr>
                <w:rStyle w:val="Hyperlink"/>
                <w:sz w:val="17"/>
                <w:szCs w:val="17"/>
              </w:rPr>
            </w:pPr>
            <w:hyperlink w:anchor="_Enhanced_Edition_Benefits" w:history="1">
              <w:r>
                <w:rPr>
                  <w:rStyle w:val="Hyperlink"/>
                  <w:sz w:val="17"/>
                  <w:szCs w:val="17"/>
                </w:rPr>
                <w:t>Poukázky na školení</w:t>
              </w:r>
            </w:hyperlink>
          </w:p>
        </w:tc>
        <w:tc>
          <w:tcPr>
            <w:tcW w:w="1648" w:type="dxa"/>
          </w:tcPr>
          <w:p w:rsidR="00DF2E7F" w:rsidRPr="00BC431D" w:rsidRDefault="00DF2E7F" w:rsidP="0019337E">
            <w:pPr>
              <w:pStyle w:val="ProductList-Body"/>
              <w:jc w:val="center"/>
              <w:rPr>
                <w:rFonts w:cstheme="minorHAnsi"/>
                <w:color w:val="000000" w:themeColor="text1"/>
                <w:sz w:val="17"/>
                <w:szCs w:val="17"/>
              </w:rPr>
            </w:pPr>
            <w:r>
              <w:rPr>
                <w:rFonts w:ascii="Wingdings" w:hAnsi="Wingdings" w:cs="Wingdings"/>
                <w:color w:val="000000" w:themeColor="text1"/>
                <w:sz w:val="17"/>
                <w:szCs w:val="17"/>
              </w:rPr>
              <w:t></w:t>
            </w:r>
          </w:p>
        </w:tc>
        <w:tc>
          <w:tcPr>
            <w:tcW w:w="1828" w:type="dxa"/>
          </w:tcPr>
          <w:p w:rsidR="00DF2E7F" w:rsidRPr="00BC431D" w:rsidRDefault="00DF2E7F" w:rsidP="0019337E">
            <w:pPr>
              <w:pStyle w:val="ProductList-Body"/>
              <w:jc w:val="center"/>
              <w:rPr>
                <w:rFonts w:cstheme="minorHAnsi"/>
                <w:color w:val="000000" w:themeColor="text1"/>
                <w:sz w:val="17"/>
                <w:szCs w:val="17"/>
              </w:rPr>
            </w:pPr>
            <w:r>
              <w:rPr>
                <w:rFonts w:ascii="Wingdings" w:hAnsi="Wingdings" w:cs="Wingdings"/>
                <w:color w:val="000000" w:themeColor="text1"/>
                <w:sz w:val="17"/>
                <w:szCs w:val="17"/>
              </w:rPr>
              <w:t></w:t>
            </w:r>
          </w:p>
        </w:tc>
        <w:tc>
          <w:tcPr>
            <w:tcW w:w="1508" w:type="dxa"/>
            <w:vAlign w:val="center"/>
          </w:tcPr>
          <w:p w:rsidR="00DF2E7F" w:rsidRPr="00BC431D" w:rsidRDefault="00DF2E7F" w:rsidP="0019337E">
            <w:pPr>
              <w:pStyle w:val="ProductList-Body"/>
              <w:jc w:val="center"/>
              <w:rPr>
                <w:rFonts w:cstheme="minorHAnsi"/>
                <w:color w:val="000000" w:themeColor="text1"/>
                <w:sz w:val="17"/>
                <w:szCs w:val="17"/>
              </w:rPr>
            </w:pPr>
          </w:p>
        </w:tc>
      </w:tr>
      <w:tr w:rsidR="00DF2E7F" w:rsidRPr="00A84C84" w:rsidTr="0019337E">
        <w:trPr>
          <w:trHeight w:val="255"/>
        </w:trPr>
        <w:tc>
          <w:tcPr>
            <w:tcW w:w="5736" w:type="dxa"/>
          </w:tcPr>
          <w:p w:rsidR="00DF2E7F" w:rsidRPr="00BC431D" w:rsidRDefault="00DF2E7F" w:rsidP="0019337E">
            <w:pPr>
              <w:pStyle w:val="ProductList-Body"/>
              <w:rPr>
                <w:sz w:val="17"/>
                <w:szCs w:val="17"/>
              </w:rPr>
            </w:pPr>
            <w:hyperlink w:anchor="_24x7_Problem_Resolution_1" w:history="1">
              <w:r>
                <w:rPr>
                  <w:rStyle w:val="Hyperlink"/>
                  <w:sz w:val="17"/>
                  <w:szCs w:val="17"/>
                </w:rPr>
                <w:t>Nepřetržitá podpora řešení problémů</w:t>
              </w:r>
            </w:hyperlink>
          </w:p>
        </w:tc>
        <w:tc>
          <w:tcPr>
            <w:tcW w:w="1648" w:type="dxa"/>
            <w:vAlign w:val="center"/>
          </w:tcPr>
          <w:p w:rsidR="00DF2E7F" w:rsidRPr="00BC431D" w:rsidRDefault="00DF2E7F" w:rsidP="0019337E">
            <w:pPr>
              <w:pStyle w:val="ProductList-Body"/>
              <w:jc w:val="center"/>
              <w:rPr>
                <w:rFonts w:ascii="Wingdings" w:hAnsi="Wingdings" w:cs="Wingdings"/>
                <w:color w:val="000000" w:themeColor="text1"/>
                <w:sz w:val="17"/>
                <w:szCs w:val="17"/>
              </w:rPr>
            </w:pPr>
            <w:r>
              <w:rPr>
                <w:rFonts w:ascii="Wingdings" w:hAnsi="Wingdings" w:cs="Wingdings"/>
                <w:color w:val="000000" w:themeColor="text1"/>
                <w:sz w:val="17"/>
                <w:szCs w:val="17"/>
              </w:rPr>
              <w:t></w:t>
            </w:r>
          </w:p>
        </w:tc>
        <w:tc>
          <w:tcPr>
            <w:tcW w:w="1828" w:type="dxa"/>
            <w:vAlign w:val="center"/>
          </w:tcPr>
          <w:p w:rsidR="00DF2E7F" w:rsidRPr="00BC431D" w:rsidRDefault="00DF2E7F" w:rsidP="0019337E">
            <w:pPr>
              <w:pStyle w:val="ProductList-Body"/>
              <w:jc w:val="center"/>
              <w:rPr>
                <w:rFonts w:cstheme="minorHAnsi"/>
                <w:color w:val="000000" w:themeColor="text1"/>
                <w:sz w:val="17"/>
                <w:szCs w:val="17"/>
              </w:rPr>
            </w:pPr>
            <w:r>
              <w:rPr>
                <w:rFonts w:ascii="Wingdings" w:hAnsi="Wingdings" w:cs="Wingdings"/>
                <w:color w:val="000000" w:themeColor="text1"/>
                <w:sz w:val="17"/>
                <w:szCs w:val="17"/>
              </w:rPr>
              <w:t></w:t>
            </w:r>
          </w:p>
        </w:tc>
        <w:tc>
          <w:tcPr>
            <w:tcW w:w="1508" w:type="dxa"/>
          </w:tcPr>
          <w:p w:rsidR="00DF2E7F" w:rsidRPr="00BC431D" w:rsidRDefault="00DF2E7F" w:rsidP="0019337E">
            <w:pPr>
              <w:pStyle w:val="ProductList-Body"/>
              <w:jc w:val="center"/>
              <w:rPr>
                <w:rFonts w:ascii="Wingdings" w:hAnsi="Wingdings" w:cs="Wingdings"/>
                <w:color w:val="000000" w:themeColor="text1"/>
                <w:sz w:val="17"/>
                <w:szCs w:val="17"/>
              </w:rPr>
            </w:pPr>
            <w:r>
              <w:rPr>
                <w:rFonts w:ascii="Wingdings" w:hAnsi="Wingdings" w:cs="Wingdings"/>
                <w:color w:val="000000" w:themeColor="text1"/>
                <w:sz w:val="17"/>
                <w:szCs w:val="17"/>
              </w:rPr>
              <w:t></w:t>
            </w:r>
          </w:p>
        </w:tc>
      </w:tr>
      <w:tr w:rsidR="00DF2E7F" w:rsidRPr="00A84C84" w:rsidTr="0019337E">
        <w:trPr>
          <w:trHeight w:val="255"/>
        </w:trPr>
        <w:tc>
          <w:tcPr>
            <w:tcW w:w="5736" w:type="dxa"/>
          </w:tcPr>
          <w:p w:rsidR="00DF2E7F" w:rsidRPr="00BC431D" w:rsidRDefault="00DF2E7F" w:rsidP="0019337E">
            <w:pPr>
              <w:pStyle w:val="ProductList-Body"/>
              <w:rPr>
                <w:rFonts w:cstheme="minorHAnsi"/>
                <w:color w:val="000000" w:themeColor="text1"/>
                <w:sz w:val="17"/>
                <w:szCs w:val="17"/>
                <w:lang w:eastAsia="ja-JP"/>
              </w:rPr>
            </w:pPr>
            <w:hyperlink w:anchor="_Práva_k_nové" w:history="1">
              <w:r>
                <w:rPr>
                  <w:rStyle w:val="Hyperlink"/>
                  <w:rFonts w:cstheme="minorHAnsi"/>
                  <w:sz w:val="17"/>
                  <w:szCs w:val="17"/>
                </w:rPr>
                <w:t>Práva k nové verzi</w:t>
              </w:r>
            </w:hyperlink>
          </w:p>
        </w:tc>
        <w:tc>
          <w:tcPr>
            <w:tcW w:w="1648" w:type="dxa"/>
          </w:tcPr>
          <w:p w:rsidR="00DF2E7F" w:rsidRPr="00BC431D" w:rsidRDefault="00DF2E7F" w:rsidP="0019337E">
            <w:pPr>
              <w:pStyle w:val="ProductList-Body"/>
              <w:jc w:val="center"/>
              <w:rPr>
                <w:rFonts w:cstheme="minorHAnsi"/>
                <w:color w:val="000000" w:themeColor="text1"/>
                <w:sz w:val="17"/>
                <w:szCs w:val="17"/>
              </w:rPr>
            </w:pPr>
            <w:r>
              <w:rPr>
                <w:rFonts w:ascii="Wingdings" w:hAnsi="Wingdings" w:cs="Wingdings"/>
                <w:color w:val="000000" w:themeColor="text1"/>
                <w:sz w:val="17"/>
                <w:szCs w:val="17"/>
              </w:rPr>
              <w:t></w:t>
            </w:r>
          </w:p>
        </w:tc>
        <w:tc>
          <w:tcPr>
            <w:tcW w:w="1828" w:type="dxa"/>
          </w:tcPr>
          <w:p w:rsidR="00DF2E7F" w:rsidRPr="00BC431D" w:rsidRDefault="00DF2E7F" w:rsidP="0019337E">
            <w:pPr>
              <w:pStyle w:val="ProductList-Body"/>
              <w:jc w:val="center"/>
              <w:rPr>
                <w:rFonts w:cstheme="minorHAnsi"/>
                <w:color w:val="000000" w:themeColor="text1"/>
                <w:sz w:val="17"/>
                <w:szCs w:val="17"/>
              </w:rPr>
            </w:pPr>
            <w:r>
              <w:rPr>
                <w:rFonts w:ascii="Wingdings" w:hAnsi="Wingdings" w:cs="Wingdings"/>
                <w:color w:val="000000" w:themeColor="text1"/>
                <w:sz w:val="17"/>
                <w:szCs w:val="17"/>
              </w:rPr>
              <w:t></w:t>
            </w:r>
          </w:p>
        </w:tc>
        <w:tc>
          <w:tcPr>
            <w:tcW w:w="1508" w:type="dxa"/>
          </w:tcPr>
          <w:p w:rsidR="00DF2E7F" w:rsidRPr="00BC431D" w:rsidRDefault="00DF2E7F" w:rsidP="0019337E">
            <w:pPr>
              <w:pStyle w:val="ProductList-Body"/>
              <w:jc w:val="center"/>
              <w:rPr>
                <w:rFonts w:cstheme="minorHAnsi"/>
                <w:color w:val="000000" w:themeColor="text1"/>
                <w:sz w:val="17"/>
                <w:szCs w:val="17"/>
              </w:rPr>
            </w:pPr>
            <w:r>
              <w:rPr>
                <w:rFonts w:ascii="Wingdings" w:hAnsi="Wingdings" w:cs="Wingdings"/>
                <w:color w:val="000000" w:themeColor="text1"/>
                <w:sz w:val="17"/>
                <w:szCs w:val="17"/>
              </w:rPr>
              <w:t></w:t>
            </w:r>
          </w:p>
        </w:tc>
      </w:tr>
      <w:tr w:rsidR="00DF2E7F" w:rsidRPr="00A84C84" w:rsidTr="0019337E">
        <w:trPr>
          <w:trHeight w:val="255"/>
        </w:trPr>
        <w:tc>
          <w:tcPr>
            <w:tcW w:w="5736" w:type="dxa"/>
          </w:tcPr>
          <w:p w:rsidR="00DF2E7F" w:rsidRPr="00BC431D" w:rsidRDefault="00DF2E7F" w:rsidP="0019337E">
            <w:pPr>
              <w:pStyle w:val="ProductList-Body"/>
              <w:rPr>
                <w:sz w:val="17"/>
                <w:szCs w:val="17"/>
              </w:rPr>
            </w:pPr>
            <w:hyperlink w:anchor="_Office_Multi_Language_1" w:history="1">
              <w:r>
                <w:rPr>
                  <w:rStyle w:val="Hyperlink"/>
                  <w:rFonts w:cstheme="minorHAnsi"/>
                  <w:sz w:val="17"/>
                  <w:szCs w:val="17"/>
                </w:rPr>
                <w:t>Office Multi Language Pack</w:t>
              </w:r>
            </w:hyperlink>
          </w:p>
        </w:tc>
        <w:tc>
          <w:tcPr>
            <w:tcW w:w="1648" w:type="dxa"/>
          </w:tcPr>
          <w:p w:rsidR="00DF2E7F" w:rsidRPr="00BC431D" w:rsidRDefault="00DF2E7F" w:rsidP="0019337E">
            <w:pPr>
              <w:pStyle w:val="ProductList-Body"/>
              <w:jc w:val="center"/>
              <w:rPr>
                <w:rFonts w:ascii="Wingdings" w:hAnsi="Wingdings" w:cs="Wingdings"/>
                <w:color w:val="000000" w:themeColor="text1"/>
                <w:sz w:val="17"/>
                <w:szCs w:val="17"/>
              </w:rPr>
            </w:pPr>
            <w:r>
              <w:rPr>
                <w:rFonts w:ascii="Wingdings" w:hAnsi="Wingdings" w:cs="Wingdings"/>
                <w:color w:val="000000" w:themeColor="text1"/>
                <w:sz w:val="17"/>
                <w:szCs w:val="17"/>
              </w:rPr>
              <w:t></w:t>
            </w:r>
          </w:p>
        </w:tc>
        <w:tc>
          <w:tcPr>
            <w:tcW w:w="1828" w:type="dxa"/>
            <w:vAlign w:val="center"/>
          </w:tcPr>
          <w:p w:rsidR="00DF2E7F" w:rsidRPr="00BC431D" w:rsidRDefault="00DF2E7F" w:rsidP="0019337E">
            <w:pPr>
              <w:pStyle w:val="ProductList-Body"/>
              <w:jc w:val="center"/>
              <w:rPr>
                <w:rFonts w:cstheme="minorHAnsi"/>
                <w:color w:val="000000" w:themeColor="text1"/>
                <w:sz w:val="17"/>
                <w:szCs w:val="17"/>
              </w:rPr>
            </w:pPr>
          </w:p>
        </w:tc>
        <w:tc>
          <w:tcPr>
            <w:tcW w:w="1508" w:type="dxa"/>
            <w:vAlign w:val="center"/>
          </w:tcPr>
          <w:p w:rsidR="00DF2E7F" w:rsidRPr="00BC431D" w:rsidRDefault="00DF2E7F" w:rsidP="0019337E">
            <w:pPr>
              <w:pStyle w:val="ProductList-Body"/>
              <w:jc w:val="center"/>
              <w:rPr>
                <w:rFonts w:ascii="Wingdings" w:hAnsi="Wingdings" w:cs="Wingdings"/>
                <w:color w:val="000000" w:themeColor="text1"/>
                <w:sz w:val="17"/>
                <w:szCs w:val="17"/>
              </w:rPr>
            </w:pPr>
          </w:p>
        </w:tc>
      </w:tr>
      <w:tr w:rsidR="00DF2E7F" w:rsidRPr="00A84C84" w:rsidTr="0019337E">
        <w:trPr>
          <w:trHeight w:val="255"/>
        </w:trPr>
        <w:tc>
          <w:tcPr>
            <w:tcW w:w="5736" w:type="dxa"/>
          </w:tcPr>
          <w:p w:rsidR="00DF2E7F" w:rsidRPr="00BC431D" w:rsidRDefault="00DF2E7F" w:rsidP="0019337E">
            <w:pPr>
              <w:pStyle w:val="ProductList-Body"/>
              <w:rPr>
                <w:rFonts w:cstheme="minorHAnsi"/>
                <w:color w:val="000000" w:themeColor="text1"/>
                <w:sz w:val="17"/>
                <w:szCs w:val="17"/>
                <w:lang w:eastAsia="ja-JP"/>
              </w:rPr>
            </w:pPr>
            <w:hyperlink w:anchor="_Windows_Companion_Subscription" w:history="1">
              <w:r>
                <w:rPr>
                  <w:rStyle w:val="Hyperlink"/>
                  <w:rFonts w:cstheme="minorHAnsi"/>
                  <w:sz w:val="17"/>
                  <w:szCs w:val="17"/>
                </w:rPr>
                <w:t>E-Learning</w:t>
              </w:r>
            </w:hyperlink>
          </w:p>
        </w:tc>
        <w:tc>
          <w:tcPr>
            <w:tcW w:w="1648" w:type="dxa"/>
          </w:tcPr>
          <w:p w:rsidR="00DF2E7F" w:rsidRPr="00BC431D" w:rsidRDefault="00DF2E7F" w:rsidP="0019337E">
            <w:pPr>
              <w:pStyle w:val="ProductList-Body"/>
              <w:jc w:val="center"/>
              <w:rPr>
                <w:rFonts w:cstheme="minorHAnsi"/>
                <w:color w:val="000000" w:themeColor="text1"/>
                <w:sz w:val="17"/>
                <w:szCs w:val="17"/>
              </w:rPr>
            </w:pPr>
            <w:r>
              <w:rPr>
                <w:rFonts w:ascii="Wingdings" w:hAnsi="Wingdings" w:cs="Wingdings"/>
                <w:color w:val="000000" w:themeColor="text1"/>
                <w:sz w:val="17"/>
                <w:szCs w:val="17"/>
              </w:rPr>
              <w:t></w:t>
            </w:r>
          </w:p>
        </w:tc>
        <w:tc>
          <w:tcPr>
            <w:tcW w:w="1828" w:type="dxa"/>
          </w:tcPr>
          <w:p w:rsidR="00DF2E7F" w:rsidRPr="00BC431D" w:rsidRDefault="00DF2E7F" w:rsidP="0019337E">
            <w:pPr>
              <w:pStyle w:val="ProductList-Body"/>
              <w:jc w:val="center"/>
              <w:rPr>
                <w:rFonts w:cstheme="minorHAnsi"/>
                <w:color w:val="000000" w:themeColor="text1"/>
                <w:sz w:val="17"/>
                <w:szCs w:val="17"/>
              </w:rPr>
            </w:pPr>
            <w:r>
              <w:rPr>
                <w:rFonts w:ascii="Wingdings" w:hAnsi="Wingdings" w:cs="Wingdings"/>
                <w:color w:val="000000" w:themeColor="text1"/>
                <w:sz w:val="17"/>
                <w:szCs w:val="17"/>
              </w:rPr>
              <w:t></w:t>
            </w:r>
          </w:p>
        </w:tc>
        <w:tc>
          <w:tcPr>
            <w:tcW w:w="1508" w:type="dxa"/>
            <w:vAlign w:val="center"/>
          </w:tcPr>
          <w:p w:rsidR="00DF2E7F" w:rsidRPr="00BC431D" w:rsidRDefault="00DF2E7F" w:rsidP="0019337E">
            <w:pPr>
              <w:pStyle w:val="ProductList-Body"/>
              <w:jc w:val="center"/>
              <w:rPr>
                <w:rFonts w:cstheme="minorHAnsi"/>
                <w:color w:val="000000" w:themeColor="text1"/>
                <w:sz w:val="17"/>
                <w:szCs w:val="17"/>
              </w:rPr>
            </w:pPr>
            <w:r>
              <w:rPr>
                <w:rFonts w:ascii="Wingdings" w:hAnsi="Wingdings" w:cs="Wingdings"/>
                <w:color w:val="000000" w:themeColor="text1"/>
                <w:sz w:val="17"/>
                <w:szCs w:val="17"/>
              </w:rPr>
              <w:t></w:t>
            </w:r>
          </w:p>
        </w:tc>
      </w:tr>
      <w:tr w:rsidR="00DF2E7F" w:rsidRPr="00A84C84" w:rsidTr="0019337E">
        <w:trPr>
          <w:trHeight w:val="255"/>
        </w:trPr>
        <w:tc>
          <w:tcPr>
            <w:tcW w:w="5736" w:type="dxa"/>
          </w:tcPr>
          <w:p w:rsidR="00DF2E7F" w:rsidRPr="00BC431D" w:rsidRDefault="00DF2E7F" w:rsidP="0019337E">
            <w:pPr>
              <w:pStyle w:val="ProductList-Body"/>
              <w:rPr>
                <w:rFonts w:cstheme="minorHAnsi"/>
                <w:color w:val="000000" w:themeColor="text1"/>
                <w:sz w:val="17"/>
                <w:szCs w:val="17"/>
                <w:lang w:eastAsia="ja-JP"/>
              </w:rPr>
            </w:pPr>
            <w:hyperlink w:anchor="_Home_Use_Program" w:history="1">
              <w:r>
                <w:rPr>
                  <w:rStyle w:val="Hyperlink"/>
                  <w:rFonts w:cstheme="minorHAnsi"/>
                  <w:sz w:val="17"/>
                  <w:szCs w:val="17"/>
                </w:rPr>
                <w:t>Program domácího používání</w:t>
              </w:r>
            </w:hyperlink>
          </w:p>
        </w:tc>
        <w:tc>
          <w:tcPr>
            <w:tcW w:w="1648" w:type="dxa"/>
          </w:tcPr>
          <w:p w:rsidR="00DF2E7F" w:rsidRPr="00BC431D" w:rsidRDefault="00DF2E7F" w:rsidP="0019337E">
            <w:pPr>
              <w:pStyle w:val="ProductList-Body"/>
              <w:jc w:val="center"/>
              <w:rPr>
                <w:rFonts w:cstheme="minorHAnsi"/>
                <w:color w:val="000000" w:themeColor="text1"/>
                <w:sz w:val="17"/>
                <w:szCs w:val="17"/>
              </w:rPr>
            </w:pPr>
            <w:r>
              <w:rPr>
                <w:rFonts w:ascii="Wingdings" w:hAnsi="Wingdings" w:cs="Wingdings"/>
                <w:color w:val="000000" w:themeColor="text1"/>
                <w:sz w:val="17"/>
                <w:szCs w:val="17"/>
              </w:rPr>
              <w:t></w:t>
            </w:r>
          </w:p>
        </w:tc>
        <w:tc>
          <w:tcPr>
            <w:tcW w:w="1828" w:type="dxa"/>
            <w:vAlign w:val="center"/>
          </w:tcPr>
          <w:p w:rsidR="00DF2E7F" w:rsidRPr="00BC431D" w:rsidRDefault="00DF2E7F" w:rsidP="0019337E">
            <w:pPr>
              <w:pStyle w:val="ProductList-Body"/>
              <w:jc w:val="center"/>
              <w:rPr>
                <w:rFonts w:cstheme="minorHAnsi"/>
                <w:color w:val="000000" w:themeColor="text1"/>
                <w:sz w:val="17"/>
                <w:szCs w:val="17"/>
              </w:rPr>
            </w:pPr>
          </w:p>
        </w:tc>
        <w:tc>
          <w:tcPr>
            <w:tcW w:w="1508" w:type="dxa"/>
            <w:vAlign w:val="center"/>
          </w:tcPr>
          <w:p w:rsidR="00DF2E7F" w:rsidRPr="00BC431D" w:rsidRDefault="00DF2E7F" w:rsidP="0019337E">
            <w:pPr>
              <w:pStyle w:val="ProductList-Body"/>
              <w:jc w:val="center"/>
              <w:rPr>
                <w:rFonts w:cstheme="minorHAnsi"/>
                <w:color w:val="000000" w:themeColor="text1"/>
                <w:sz w:val="17"/>
                <w:szCs w:val="17"/>
              </w:rPr>
            </w:pPr>
          </w:p>
        </w:tc>
      </w:tr>
      <w:tr w:rsidR="00DF2E7F" w:rsidRPr="00A84C84" w:rsidTr="0019337E">
        <w:trPr>
          <w:trHeight w:val="255"/>
        </w:trPr>
        <w:tc>
          <w:tcPr>
            <w:tcW w:w="5736" w:type="dxa"/>
          </w:tcPr>
          <w:p w:rsidR="00DF2E7F" w:rsidRPr="00BC431D" w:rsidRDefault="00DF2E7F" w:rsidP="0019337E">
            <w:pPr>
              <w:pStyle w:val="ProductList-Body"/>
              <w:rPr>
                <w:rFonts w:cstheme="minorHAnsi"/>
                <w:color w:val="000000" w:themeColor="text1"/>
                <w:sz w:val="17"/>
                <w:szCs w:val="17"/>
                <w:lang w:eastAsia="ja-JP"/>
              </w:rPr>
            </w:pPr>
            <w:hyperlink w:anchor="_Enterprise_Source_Licensing" w:history="1">
              <w:r>
                <w:rPr>
                  <w:rStyle w:val="Hyperlink"/>
                  <w:rFonts w:cstheme="minorHAnsi"/>
                  <w:sz w:val="17"/>
                  <w:szCs w:val="17"/>
                </w:rPr>
                <w:t>Program ESLP (Enterprise Source Licensing Program)</w:t>
              </w:r>
            </w:hyperlink>
          </w:p>
        </w:tc>
        <w:tc>
          <w:tcPr>
            <w:tcW w:w="1648" w:type="dxa"/>
            <w:vAlign w:val="center"/>
          </w:tcPr>
          <w:p w:rsidR="00DF2E7F" w:rsidRPr="00BC431D" w:rsidRDefault="00DF2E7F" w:rsidP="0019337E">
            <w:pPr>
              <w:pStyle w:val="ProductList-Body"/>
              <w:jc w:val="center"/>
              <w:rPr>
                <w:rFonts w:cstheme="minorHAnsi"/>
                <w:color w:val="000000" w:themeColor="text1"/>
                <w:sz w:val="17"/>
                <w:szCs w:val="17"/>
              </w:rPr>
            </w:pPr>
          </w:p>
        </w:tc>
        <w:tc>
          <w:tcPr>
            <w:tcW w:w="1828" w:type="dxa"/>
            <w:vAlign w:val="center"/>
          </w:tcPr>
          <w:p w:rsidR="00DF2E7F" w:rsidRPr="00BC431D" w:rsidRDefault="00DF2E7F" w:rsidP="0019337E">
            <w:pPr>
              <w:pStyle w:val="ProductList-Body"/>
              <w:jc w:val="center"/>
              <w:rPr>
                <w:rFonts w:cstheme="minorHAnsi"/>
                <w:color w:val="000000" w:themeColor="text1"/>
                <w:sz w:val="17"/>
                <w:szCs w:val="17"/>
              </w:rPr>
            </w:pPr>
            <w:r>
              <w:rPr>
                <w:rFonts w:ascii="Wingdings" w:hAnsi="Wingdings" w:cs="Wingdings"/>
                <w:color w:val="000000" w:themeColor="text1"/>
                <w:sz w:val="17"/>
                <w:szCs w:val="17"/>
              </w:rPr>
              <w:t></w:t>
            </w:r>
            <w:r>
              <w:rPr>
                <w:rFonts w:cstheme="minorHAnsi"/>
                <w:color w:val="000000" w:themeColor="text1"/>
                <w:sz w:val="17"/>
                <w:szCs w:val="17"/>
                <w:vertAlign w:val="superscript"/>
              </w:rPr>
              <w:t>1</w:t>
            </w:r>
          </w:p>
        </w:tc>
        <w:tc>
          <w:tcPr>
            <w:tcW w:w="1508" w:type="dxa"/>
            <w:vAlign w:val="center"/>
          </w:tcPr>
          <w:p w:rsidR="00DF2E7F" w:rsidRPr="00BC431D" w:rsidRDefault="00DF2E7F" w:rsidP="0019337E">
            <w:pPr>
              <w:pStyle w:val="ProductList-Body"/>
              <w:jc w:val="center"/>
              <w:rPr>
                <w:rFonts w:cstheme="minorHAnsi"/>
                <w:color w:val="000000" w:themeColor="text1"/>
                <w:sz w:val="17"/>
                <w:szCs w:val="17"/>
              </w:rPr>
            </w:pPr>
          </w:p>
        </w:tc>
      </w:tr>
      <w:tr w:rsidR="00DF2E7F" w:rsidRPr="00A84C84" w:rsidTr="0019337E">
        <w:trPr>
          <w:trHeight w:val="255"/>
        </w:trPr>
        <w:tc>
          <w:tcPr>
            <w:tcW w:w="5736" w:type="dxa"/>
          </w:tcPr>
          <w:p w:rsidR="00DF2E7F" w:rsidRPr="00BC431D" w:rsidRDefault="00DF2E7F" w:rsidP="0019337E">
            <w:pPr>
              <w:pStyle w:val="ProductList-Body"/>
              <w:rPr>
                <w:rFonts w:cstheme="minorHAnsi"/>
                <w:color w:val="000000" w:themeColor="text1"/>
                <w:sz w:val="17"/>
                <w:szCs w:val="17"/>
                <w:lang w:eastAsia="ja-JP"/>
              </w:rPr>
            </w:pPr>
            <w:hyperlink w:anchor="_Záloha_pro_obnovení" w:history="1">
              <w:r>
                <w:rPr>
                  <w:rStyle w:val="Hyperlink"/>
                  <w:rFonts w:cstheme="minorHAnsi"/>
                  <w:sz w:val="17"/>
                  <w:szCs w:val="17"/>
                </w:rPr>
                <w:t>Záloha pro obnovení při zhroucení</w:t>
              </w:r>
            </w:hyperlink>
          </w:p>
        </w:tc>
        <w:tc>
          <w:tcPr>
            <w:tcW w:w="1648" w:type="dxa"/>
            <w:vAlign w:val="center"/>
          </w:tcPr>
          <w:p w:rsidR="00DF2E7F" w:rsidRPr="00BC431D" w:rsidRDefault="00DF2E7F" w:rsidP="0019337E">
            <w:pPr>
              <w:pStyle w:val="ProductList-Body"/>
              <w:jc w:val="center"/>
              <w:rPr>
                <w:rFonts w:cstheme="minorHAnsi"/>
                <w:color w:val="000000" w:themeColor="text1"/>
                <w:sz w:val="17"/>
                <w:szCs w:val="17"/>
              </w:rPr>
            </w:pPr>
          </w:p>
        </w:tc>
        <w:tc>
          <w:tcPr>
            <w:tcW w:w="1828" w:type="dxa"/>
            <w:vAlign w:val="center"/>
          </w:tcPr>
          <w:p w:rsidR="00DF2E7F" w:rsidRPr="00BC431D" w:rsidRDefault="00DF2E7F" w:rsidP="0019337E">
            <w:pPr>
              <w:pStyle w:val="ProductList-Body"/>
              <w:jc w:val="center"/>
              <w:rPr>
                <w:rFonts w:cstheme="minorHAnsi"/>
                <w:color w:val="000000" w:themeColor="text1"/>
                <w:sz w:val="17"/>
                <w:szCs w:val="17"/>
              </w:rPr>
            </w:pPr>
          </w:p>
        </w:tc>
        <w:tc>
          <w:tcPr>
            <w:tcW w:w="1508" w:type="dxa"/>
          </w:tcPr>
          <w:p w:rsidR="00DF2E7F" w:rsidRPr="00BC431D" w:rsidRDefault="00DF2E7F" w:rsidP="0019337E">
            <w:pPr>
              <w:pStyle w:val="ProductList-Body"/>
              <w:jc w:val="center"/>
              <w:rPr>
                <w:rFonts w:cstheme="minorHAnsi"/>
                <w:color w:val="000000" w:themeColor="text1"/>
                <w:sz w:val="17"/>
                <w:szCs w:val="17"/>
              </w:rPr>
            </w:pPr>
            <w:r>
              <w:rPr>
                <w:rFonts w:ascii="Wingdings" w:hAnsi="Wingdings" w:cs="Wingdings"/>
                <w:color w:val="000000" w:themeColor="text1"/>
                <w:sz w:val="17"/>
                <w:szCs w:val="17"/>
              </w:rPr>
              <w:t></w:t>
            </w:r>
          </w:p>
        </w:tc>
      </w:tr>
      <w:tr w:rsidR="00DF2E7F" w:rsidRPr="00A84C84" w:rsidTr="0019337E">
        <w:trPr>
          <w:trHeight w:val="246"/>
        </w:trPr>
        <w:tc>
          <w:tcPr>
            <w:tcW w:w="5736" w:type="dxa"/>
          </w:tcPr>
          <w:p w:rsidR="00DF2E7F" w:rsidRPr="00BC431D" w:rsidRDefault="00DF2E7F" w:rsidP="0019337E">
            <w:pPr>
              <w:pStyle w:val="ProductList-Body"/>
              <w:rPr>
                <w:rFonts w:cstheme="minorHAnsi"/>
                <w:color w:val="000000" w:themeColor="text1"/>
                <w:sz w:val="17"/>
                <w:szCs w:val="17"/>
                <w:lang w:eastAsia="ja-JP"/>
              </w:rPr>
            </w:pPr>
            <w:hyperlink w:anchor="_License_Mobility_through" w:history="1">
              <w:r>
                <w:rPr>
                  <w:rStyle w:val="Hyperlink"/>
                  <w:rFonts w:cstheme="minorHAnsi"/>
                  <w:sz w:val="17"/>
                  <w:szCs w:val="17"/>
                </w:rPr>
                <w:t>Práva LM (License Mobility) prostřednictvím SA</w:t>
              </w:r>
            </w:hyperlink>
          </w:p>
        </w:tc>
        <w:tc>
          <w:tcPr>
            <w:tcW w:w="1648" w:type="dxa"/>
            <w:vAlign w:val="center"/>
          </w:tcPr>
          <w:p w:rsidR="00DF2E7F" w:rsidRPr="00BC431D" w:rsidRDefault="00DF2E7F" w:rsidP="0019337E">
            <w:pPr>
              <w:pStyle w:val="ProductList-Body"/>
              <w:jc w:val="center"/>
              <w:rPr>
                <w:rFonts w:cstheme="minorHAnsi"/>
                <w:color w:val="000000" w:themeColor="text1"/>
                <w:sz w:val="17"/>
                <w:szCs w:val="17"/>
              </w:rPr>
            </w:pPr>
          </w:p>
        </w:tc>
        <w:tc>
          <w:tcPr>
            <w:tcW w:w="1828" w:type="dxa"/>
            <w:vAlign w:val="center"/>
          </w:tcPr>
          <w:p w:rsidR="00DF2E7F" w:rsidRPr="00BC431D" w:rsidRDefault="00DF2E7F" w:rsidP="0019337E">
            <w:pPr>
              <w:pStyle w:val="ProductList-Body"/>
              <w:jc w:val="center"/>
              <w:rPr>
                <w:rFonts w:ascii="Wingdings" w:hAnsi="Wingdings" w:cs="Wingdings"/>
                <w:color w:val="000000" w:themeColor="text1"/>
                <w:sz w:val="17"/>
                <w:szCs w:val="17"/>
              </w:rPr>
            </w:pPr>
          </w:p>
        </w:tc>
        <w:tc>
          <w:tcPr>
            <w:tcW w:w="1508" w:type="dxa"/>
            <w:vAlign w:val="center"/>
          </w:tcPr>
          <w:p w:rsidR="00DF2E7F" w:rsidRPr="00BC431D" w:rsidRDefault="00DF2E7F" w:rsidP="0019337E">
            <w:pPr>
              <w:pStyle w:val="ProductList-Body"/>
              <w:jc w:val="center"/>
              <w:rPr>
                <w:rFonts w:cstheme="minorHAnsi"/>
                <w:color w:val="000000" w:themeColor="text1"/>
                <w:sz w:val="17"/>
                <w:szCs w:val="17"/>
              </w:rPr>
            </w:pPr>
            <w:r>
              <w:rPr>
                <w:rFonts w:ascii="Wingdings" w:hAnsi="Wingdings" w:cs="Wingdings"/>
                <w:color w:val="000000" w:themeColor="text1"/>
                <w:sz w:val="17"/>
                <w:szCs w:val="17"/>
              </w:rPr>
              <w:t></w:t>
            </w:r>
          </w:p>
        </w:tc>
      </w:tr>
      <w:tr w:rsidR="00DF2E7F" w:rsidRPr="00A84C84" w:rsidTr="0019337E">
        <w:trPr>
          <w:trHeight w:val="255"/>
        </w:trPr>
        <w:tc>
          <w:tcPr>
            <w:tcW w:w="5736" w:type="dxa"/>
          </w:tcPr>
          <w:p w:rsidR="00DF2E7F" w:rsidRPr="00BC431D" w:rsidRDefault="00DF2E7F" w:rsidP="0019337E">
            <w:pPr>
              <w:pStyle w:val="ProductList-Body"/>
              <w:rPr>
                <w:rFonts w:cstheme="minorHAnsi"/>
                <w:color w:val="000000" w:themeColor="text1"/>
                <w:sz w:val="17"/>
                <w:szCs w:val="17"/>
                <w:lang w:eastAsia="ja-JP"/>
              </w:rPr>
            </w:pPr>
            <w:hyperlink w:anchor="_Extended_Hotfix_Support" w:history="1">
              <w:r>
                <w:rPr>
                  <w:rStyle w:val="Hyperlink"/>
                  <w:rFonts w:cstheme="minorHAnsi"/>
                  <w:sz w:val="17"/>
                  <w:szCs w:val="17"/>
                </w:rPr>
                <w:t>Rozšířená podpora ve formě oprav hotfix</w:t>
              </w:r>
            </w:hyperlink>
          </w:p>
        </w:tc>
        <w:tc>
          <w:tcPr>
            <w:tcW w:w="1648" w:type="dxa"/>
            <w:vAlign w:val="center"/>
          </w:tcPr>
          <w:p w:rsidR="00DF2E7F" w:rsidRPr="00BC431D" w:rsidRDefault="00DF2E7F" w:rsidP="0019337E">
            <w:pPr>
              <w:pStyle w:val="ProductList-Body"/>
              <w:jc w:val="center"/>
              <w:rPr>
                <w:rFonts w:cstheme="minorHAnsi"/>
                <w:color w:val="000000" w:themeColor="text1"/>
                <w:sz w:val="17"/>
                <w:szCs w:val="17"/>
              </w:rPr>
            </w:pPr>
            <w:r>
              <w:rPr>
                <w:rFonts w:ascii="Wingdings" w:hAnsi="Wingdings" w:cs="Wingdings"/>
                <w:color w:val="000000" w:themeColor="text1"/>
                <w:sz w:val="17"/>
                <w:szCs w:val="17"/>
              </w:rPr>
              <w:t></w:t>
            </w:r>
          </w:p>
        </w:tc>
        <w:tc>
          <w:tcPr>
            <w:tcW w:w="1828" w:type="dxa"/>
          </w:tcPr>
          <w:p w:rsidR="00DF2E7F" w:rsidRPr="00BC431D" w:rsidRDefault="00DF2E7F" w:rsidP="0019337E">
            <w:pPr>
              <w:pStyle w:val="ProductList-Body"/>
              <w:jc w:val="center"/>
              <w:rPr>
                <w:rFonts w:cstheme="minorHAnsi"/>
                <w:color w:val="000000" w:themeColor="text1"/>
                <w:sz w:val="17"/>
                <w:szCs w:val="17"/>
              </w:rPr>
            </w:pPr>
            <w:r>
              <w:rPr>
                <w:rFonts w:ascii="Wingdings" w:hAnsi="Wingdings" w:cs="Wingdings"/>
                <w:color w:val="000000" w:themeColor="text1"/>
                <w:sz w:val="17"/>
                <w:szCs w:val="17"/>
              </w:rPr>
              <w:t></w:t>
            </w:r>
          </w:p>
        </w:tc>
        <w:tc>
          <w:tcPr>
            <w:tcW w:w="1508" w:type="dxa"/>
            <w:vAlign w:val="center"/>
          </w:tcPr>
          <w:p w:rsidR="00DF2E7F" w:rsidRPr="00BC431D" w:rsidRDefault="00DF2E7F" w:rsidP="0019337E">
            <w:pPr>
              <w:pStyle w:val="ProductList-Body"/>
              <w:jc w:val="center"/>
              <w:rPr>
                <w:rStyle w:val="CommentReference"/>
                <w:rFonts w:cstheme="minorHAnsi"/>
                <w:color w:val="000000" w:themeColor="text1"/>
                <w:sz w:val="17"/>
                <w:szCs w:val="17"/>
              </w:rPr>
            </w:pPr>
            <w:r>
              <w:rPr>
                <w:rFonts w:ascii="Wingdings" w:hAnsi="Wingdings" w:cs="Wingdings"/>
                <w:color w:val="000000" w:themeColor="text1"/>
                <w:sz w:val="17"/>
                <w:szCs w:val="17"/>
              </w:rPr>
              <w:t></w:t>
            </w:r>
          </w:p>
        </w:tc>
      </w:tr>
    </w:tbl>
    <w:p w:rsidR="00DF2E7F" w:rsidRPr="00483B32" w:rsidRDefault="00DF2E7F" w:rsidP="00DF2E7F">
      <w:pPr>
        <w:pStyle w:val="ProductList-Body"/>
        <w:tabs>
          <w:tab w:val="clear" w:pos="158"/>
          <w:tab w:val="left" w:pos="180"/>
        </w:tabs>
      </w:pPr>
      <w:r>
        <w:rPr>
          <w:rFonts w:ascii="Wingdings" w:eastAsia="Wingdings" w:hAnsi="Wingdings" w:cs="Wingdings"/>
          <w:color w:val="000000" w:themeColor="text1"/>
          <w:szCs w:val="20"/>
        </w:rPr>
        <w:t></w:t>
      </w:r>
      <w:r>
        <w:rPr>
          <w:rFonts w:eastAsiaTheme="minorEastAsia"/>
          <w:i/>
          <w:iCs/>
          <w:color w:val="000000" w:themeColor="text1"/>
          <w:sz w:val="16"/>
        </w:rPr>
        <w:t>znamená, že kvalifikací pro danou výhodu je členství v krytí SA, získání krytí SA pro kvalifikující produkty nebo výdaje za SA pro kvalifikující produkty v rámci dané skupiny.</w:t>
      </w:r>
    </w:p>
    <w:p w:rsidR="00DF2E7F" w:rsidRPr="00483B32" w:rsidRDefault="00DF2E7F" w:rsidP="00DF2E7F">
      <w:pPr>
        <w:pStyle w:val="ProductList-Body"/>
        <w:tabs>
          <w:tab w:val="clear" w:pos="158"/>
          <w:tab w:val="left" w:pos="180"/>
        </w:tabs>
      </w:pPr>
      <w:r>
        <w:rPr>
          <w:rFonts w:cstheme="minorHAnsi"/>
          <w:i/>
          <w:color w:val="000000" w:themeColor="text1"/>
          <w:sz w:val="16"/>
          <w:szCs w:val="18"/>
        </w:rPr>
        <w:t>Obecně platí, že předplatná, která zahrnují softwarové komponenty složené ze softwaru s verzemi, budou zahrnovat práva k nové verzi těchto komponent.</w:t>
      </w:r>
    </w:p>
    <w:p w:rsidR="00DF2E7F" w:rsidRPr="00483B32" w:rsidRDefault="00DF2E7F" w:rsidP="00DF2E7F">
      <w:pPr>
        <w:pStyle w:val="ProductList-Body"/>
      </w:pPr>
      <w:r>
        <w:rPr>
          <w:rFonts w:cstheme="minorHAnsi"/>
          <w:color w:val="000000" w:themeColor="text1"/>
          <w:sz w:val="16"/>
          <w:szCs w:val="18"/>
          <w:vertAlign w:val="superscript"/>
        </w:rPr>
        <w:t>1</w:t>
      </w:r>
      <w:r>
        <w:rPr>
          <w:rFonts w:cstheme="minorHAnsi"/>
          <w:i/>
          <w:color w:val="000000" w:themeColor="text1"/>
          <w:sz w:val="16"/>
          <w:szCs w:val="18"/>
        </w:rPr>
        <w:t>Není výhodou SA pro produkty Windows Embedded.</w:t>
      </w:r>
    </w:p>
    <w:p w:rsidR="00DF2E7F" w:rsidRPr="00483B32" w:rsidRDefault="00DF2E7F" w:rsidP="00DF2E7F">
      <w:pPr>
        <w:pStyle w:val="Hdg1noborder"/>
        <w:spacing w:before="60" w:after="120" w:line="240" w:lineRule="auto"/>
        <w:rPr>
          <w:rFonts w:eastAsiaTheme="majorEastAsia"/>
        </w:rPr>
      </w:pPr>
      <w:bookmarkStart w:id="29" w:name="_Toc403380302"/>
      <w:bookmarkStart w:id="30" w:name="_Toc403985020"/>
      <w:bookmarkStart w:id="31" w:name="_Toc428180919"/>
      <w:r>
        <w:rPr>
          <w:rFonts w:asciiTheme="majorHAnsi" w:eastAsiaTheme="majorEastAsia" w:hAnsiTheme="majorHAnsi" w:cstheme="majorBidi"/>
          <w:bCs/>
          <w:color w:val="FFC000" w:themeColor="accent4"/>
          <w:sz w:val="28"/>
          <w:szCs w:val="26"/>
        </w:rPr>
        <w:t>Výhody založené na bodech</w:t>
      </w:r>
      <w:bookmarkEnd w:id="29"/>
      <w:bookmarkEnd w:id="30"/>
      <w:bookmarkEnd w:id="31"/>
    </w:p>
    <w:p w:rsidR="00DF2E7F" w:rsidRPr="00483B32" w:rsidRDefault="00DF2E7F" w:rsidP="00DF2E7F">
      <w:pPr>
        <w:pStyle w:val="Thirdheading"/>
      </w:pPr>
      <w:r>
        <w:rPr>
          <w:b/>
        </w:rPr>
        <w:t xml:space="preserve">Výpočet bodů výhod Software Assurance pro smlouvu MPSA </w:t>
      </w:r>
    </w:p>
    <w:p w:rsidR="00DF2E7F" w:rsidRPr="00483B32" w:rsidRDefault="00DF2E7F" w:rsidP="00DF2E7F">
      <w:pPr>
        <w:pStyle w:val="BodyText"/>
      </w:pPr>
      <w:r>
        <w:t>V případě smlouvy MPSA jsou oprávnění vypočtena na základě bodů, a to pro následující výhody:</w:t>
      </w:r>
    </w:p>
    <w:p w:rsidR="00DF2E7F" w:rsidRPr="00483B32" w:rsidRDefault="00DF2E7F" w:rsidP="00DF2E7F">
      <w:pPr>
        <w:pStyle w:val="BodyText"/>
        <w:numPr>
          <w:ilvl w:val="0"/>
          <w:numId w:val="16"/>
        </w:numPr>
        <w:spacing w:after="0"/>
      </w:pPr>
      <w:r>
        <w:t>Služby plánování</w:t>
      </w:r>
    </w:p>
    <w:p w:rsidR="00DF2E7F" w:rsidRPr="00483B32" w:rsidRDefault="00DF2E7F" w:rsidP="00DF2E7F">
      <w:pPr>
        <w:pStyle w:val="BodyText"/>
        <w:numPr>
          <w:ilvl w:val="0"/>
          <w:numId w:val="16"/>
        </w:numPr>
        <w:spacing w:after="0"/>
      </w:pPr>
      <w:r>
        <w:t>Poukázky na školení</w:t>
      </w:r>
    </w:p>
    <w:p w:rsidR="00DF2E7F" w:rsidRPr="00483B32" w:rsidRDefault="00DF2E7F" w:rsidP="00DF2E7F">
      <w:pPr>
        <w:pStyle w:val="BodyText"/>
        <w:numPr>
          <w:ilvl w:val="0"/>
          <w:numId w:val="16"/>
        </w:numPr>
      </w:pPr>
      <w:r>
        <w:t>Nepřetržitá podpora řešení problémů (telefonicky)</w:t>
      </w:r>
    </w:p>
    <w:p w:rsidR="00DF2E7F" w:rsidRPr="00483B32" w:rsidRDefault="00DF2E7F" w:rsidP="00DF2E7F">
      <w:r>
        <w:rPr>
          <w:color w:val="000000" w:themeColor="text1"/>
          <w:szCs w:val="18"/>
        </w:rPr>
        <w:lastRenderedPageBreak/>
        <w:t xml:space="preserve">Body výhod Software Assurance jsou vypočteny na základě počtu kvalifikujících licencí, příslušných skupin a bodů, které jsou spojeny s kvalifikujícími produkty podle následující tabulky. Podrobnosti týkající se toho, jaké skupiny získají body pro jednotlivé výhody SA, naleznete v tabulce Výhody SA dostupné prostřednictvím smlouvy MPSA podle skupiny. Body nelze kombinovat v rámci nákupních jednotek </w:t>
      </w:r>
      <w:r>
        <w:rPr>
          <w:rFonts w:cs="Tahoma"/>
          <w:color w:val="000000" w:themeColor="text1"/>
          <w:szCs w:val="18"/>
        </w:rPr>
        <w:t xml:space="preserve">za účelem kvalifikace pro další body. Snížení bodů v důsledku vrácení nebo jiných změn fakturace, je-li povoleno, může způsobit ztrátu nároků během aktuálních nebo budoucích období nároků. </w:t>
      </w:r>
    </w:p>
    <w:tbl>
      <w:tblPr>
        <w:tblW w:w="10715"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9995"/>
        <w:gridCol w:w="720"/>
      </w:tblGrid>
      <w:tr w:rsidR="00DF2E7F" w:rsidRPr="005B13F2" w:rsidTr="0019337E">
        <w:trPr>
          <w:trHeight w:val="208"/>
        </w:trPr>
        <w:tc>
          <w:tcPr>
            <w:tcW w:w="9995" w:type="dxa"/>
            <w:shd w:val="clear" w:color="auto" w:fill="BF8F00" w:themeFill="accent4" w:themeFillShade="BF"/>
            <w:tcMar>
              <w:top w:w="15" w:type="dxa"/>
              <w:left w:w="108" w:type="dxa"/>
              <w:bottom w:w="0" w:type="dxa"/>
              <w:right w:w="108" w:type="dxa"/>
            </w:tcMar>
          </w:tcPr>
          <w:p w:rsidR="00DF2E7F" w:rsidRPr="00CC21B3" w:rsidRDefault="00DF2E7F" w:rsidP="0019337E">
            <w:pPr>
              <w:pStyle w:val="ProductList-Body"/>
              <w:spacing w:before="20" w:after="20"/>
              <w:rPr>
                <w:rFonts w:cstheme="minorHAnsi"/>
                <w:color w:val="FFFFFF" w:themeColor="background1"/>
                <w:szCs w:val="18"/>
              </w:rPr>
            </w:pPr>
            <w:r>
              <w:rPr>
                <w:rFonts w:cstheme="minorHAnsi"/>
                <w:color w:val="FFFFFF" w:themeColor="background1"/>
                <w:szCs w:val="18"/>
              </w:rPr>
              <w:t>Produkty</w:t>
            </w:r>
          </w:p>
        </w:tc>
        <w:tc>
          <w:tcPr>
            <w:tcW w:w="720" w:type="dxa"/>
            <w:shd w:val="clear" w:color="auto" w:fill="BF8F00" w:themeFill="accent4" w:themeFillShade="BF"/>
            <w:tcMar>
              <w:top w:w="15" w:type="dxa"/>
              <w:left w:w="108" w:type="dxa"/>
              <w:bottom w:w="0" w:type="dxa"/>
              <w:right w:w="108" w:type="dxa"/>
            </w:tcMar>
          </w:tcPr>
          <w:p w:rsidR="00DF2E7F" w:rsidRPr="00CC21B3" w:rsidRDefault="00DF2E7F" w:rsidP="0019337E">
            <w:pPr>
              <w:pStyle w:val="ProductList-Body"/>
              <w:spacing w:before="20" w:after="20"/>
              <w:jc w:val="center"/>
              <w:rPr>
                <w:rFonts w:cstheme="minorHAnsi"/>
                <w:color w:val="FFFFFF" w:themeColor="background1"/>
                <w:szCs w:val="18"/>
              </w:rPr>
            </w:pPr>
            <w:r>
              <w:rPr>
                <w:rFonts w:cstheme="minorHAnsi"/>
                <w:color w:val="FFFFFF" w:themeColor="background1"/>
                <w:szCs w:val="18"/>
              </w:rPr>
              <w:t>Body</w:t>
            </w:r>
          </w:p>
        </w:tc>
      </w:tr>
      <w:tr w:rsidR="00DF2E7F" w:rsidRPr="00CC21B3" w:rsidTr="0019337E">
        <w:trPr>
          <w:trHeight w:val="127"/>
        </w:trPr>
        <w:tc>
          <w:tcPr>
            <w:tcW w:w="9995" w:type="dxa"/>
            <w:shd w:val="clear" w:color="auto" w:fill="FFFFFF"/>
            <w:tcMar>
              <w:top w:w="15" w:type="dxa"/>
              <w:left w:w="108" w:type="dxa"/>
              <w:bottom w:w="0" w:type="dxa"/>
              <w:right w:w="108" w:type="dxa"/>
            </w:tcMar>
          </w:tcPr>
          <w:p w:rsidR="00DF2E7F" w:rsidRPr="00BC431D" w:rsidRDefault="00DF2E7F" w:rsidP="0019337E">
            <w:pPr>
              <w:pStyle w:val="ProductList-Body"/>
              <w:rPr>
                <w:color w:val="000000" w:themeColor="text1"/>
                <w:sz w:val="16"/>
                <w:szCs w:val="18"/>
              </w:rPr>
            </w:pPr>
            <w:r>
              <w:rPr>
                <w:color w:val="000000" w:themeColor="text1"/>
                <w:sz w:val="16"/>
                <w:szCs w:val="18"/>
              </w:rPr>
              <w:t>Produkty skupiny aplikací Office (včetně sad Office, Project Standard a Professional, Visio Standard a Professional), produkty skupiny systémů, Microsoft Dynamics CRM CAL</w:t>
            </w:r>
            <w:r>
              <w:rPr>
                <w:color w:val="000000" w:themeColor="text1"/>
                <w:sz w:val="16"/>
                <w:szCs w:val="18"/>
                <w:vertAlign w:val="superscript"/>
              </w:rPr>
              <w:t>1</w:t>
            </w:r>
          </w:p>
        </w:tc>
        <w:tc>
          <w:tcPr>
            <w:tcW w:w="720" w:type="dxa"/>
            <w:shd w:val="clear" w:color="auto" w:fill="FFFFFF"/>
            <w:tcMar>
              <w:top w:w="15" w:type="dxa"/>
              <w:left w:w="108" w:type="dxa"/>
              <w:bottom w:w="0" w:type="dxa"/>
              <w:right w:w="108" w:type="dxa"/>
            </w:tcMar>
          </w:tcPr>
          <w:p w:rsidR="00DF2E7F" w:rsidRPr="00BC431D" w:rsidRDefault="00DF2E7F" w:rsidP="0019337E">
            <w:pPr>
              <w:pStyle w:val="ProductList-Body"/>
              <w:jc w:val="center"/>
              <w:rPr>
                <w:color w:val="000000" w:themeColor="text1"/>
                <w:sz w:val="16"/>
                <w:szCs w:val="18"/>
              </w:rPr>
            </w:pPr>
            <w:r>
              <w:rPr>
                <w:color w:val="000000" w:themeColor="text1"/>
                <w:sz w:val="16"/>
                <w:szCs w:val="18"/>
              </w:rPr>
              <w:t>1</w:t>
            </w:r>
          </w:p>
        </w:tc>
      </w:tr>
      <w:tr w:rsidR="00DF2E7F" w:rsidRPr="00CC21B3" w:rsidTr="0019337E">
        <w:trPr>
          <w:trHeight w:val="45"/>
        </w:trPr>
        <w:tc>
          <w:tcPr>
            <w:tcW w:w="9995" w:type="dxa"/>
            <w:shd w:val="clear" w:color="auto" w:fill="FFFFFF"/>
            <w:tcMar>
              <w:top w:w="15" w:type="dxa"/>
              <w:left w:w="108" w:type="dxa"/>
              <w:bottom w:w="0" w:type="dxa"/>
              <w:right w:w="108" w:type="dxa"/>
            </w:tcMar>
          </w:tcPr>
          <w:p w:rsidR="00DF2E7F" w:rsidRPr="00BC431D" w:rsidRDefault="00DF2E7F" w:rsidP="0019337E">
            <w:pPr>
              <w:pStyle w:val="ProductList-Body"/>
              <w:rPr>
                <w:color w:val="000000" w:themeColor="text1"/>
                <w:sz w:val="16"/>
                <w:szCs w:val="18"/>
              </w:rPr>
            </w:pPr>
            <w:r>
              <w:rPr>
                <w:rFonts w:eastAsia="Calibri"/>
                <w:color w:val="000000" w:themeColor="text1"/>
                <w:sz w:val="16"/>
                <w:szCs w:val="18"/>
              </w:rPr>
              <w:t>SQL Server Standard Edition, Windows Server Standard Edition, Microsoft Dynamics CRM Server 2011, Microsoft Dynamics CRM Server 2013</w:t>
            </w:r>
            <w:r>
              <w:fldChar w:fldCharType="begin"/>
            </w:r>
            <w:r>
              <w:instrText>XE "Microsoft Dynamics CRM Server 2013"</w:instrText>
            </w:r>
            <w:r>
              <w:fldChar w:fldCharType="end"/>
            </w:r>
            <w:r>
              <w:rPr>
                <w:rFonts w:eastAsia="Calibri"/>
                <w:color w:val="000000" w:themeColor="text1"/>
                <w:sz w:val="16"/>
                <w:szCs w:val="18"/>
              </w:rPr>
              <w:t>, Microsoft Dynamics CRM Server 2015</w:t>
            </w:r>
            <w:r>
              <w:fldChar w:fldCharType="begin"/>
            </w:r>
            <w:r>
              <w:instrText>XE "Microsoft Dynamics CRM Server 2015"</w:instrText>
            </w:r>
            <w:r>
              <w:fldChar w:fldCharType="end"/>
            </w:r>
            <w:r>
              <w:rPr>
                <w:rFonts w:eastAsia="Calibri"/>
              </w:rPr>
              <w:t xml:space="preserve">, </w:t>
            </w:r>
            <w:r>
              <w:rPr>
                <w:rFonts w:eastAsia="Calibri"/>
                <w:color w:val="000000" w:themeColor="text1"/>
                <w:sz w:val="16"/>
                <w:szCs w:val="18"/>
              </w:rPr>
              <w:t>System Center 2012 Standard</w:t>
            </w:r>
            <w:r>
              <w:fldChar w:fldCharType="begin"/>
            </w:r>
            <w:r>
              <w:instrText>XE "System Center 2012 Standard"</w:instrText>
            </w:r>
            <w:r>
              <w:fldChar w:fldCharType="end"/>
            </w:r>
            <w:r>
              <w:rPr>
                <w:rFonts w:eastAsia="Calibri"/>
                <w:color w:val="000000" w:themeColor="text1"/>
                <w:sz w:val="16"/>
                <w:szCs w:val="18"/>
              </w:rPr>
              <w:t xml:space="preserve"> Server Management License (2 procesory), Visual Studio Professional with MSDN a Visual Studio Test Professional with MSDN</w:t>
            </w:r>
          </w:p>
        </w:tc>
        <w:tc>
          <w:tcPr>
            <w:tcW w:w="720" w:type="dxa"/>
            <w:shd w:val="clear" w:color="auto" w:fill="FFFFFF"/>
            <w:tcMar>
              <w:top w:w="15" w:type="dxa"/>
              <w:left w:w="108" w:type="dxa"/>
              <w:bottom w:w="0" w:type="dxa"/>
              <w:right w:w="108" w:type="dxa"/>
            </w:tcMar>
          </w:tcPr>
          <w:p w:rsidR="00DF2E7F" w:rsidRPr="00BC431D" w:rsidRDefault="00DF2E7F" w:rsidP="0019337E">
            <w:pPr>
              <w:pStyle w:val="ProductList-Body"/>
              <w:jc w:val="center"/>
              <w:rPr>
                <w:color w:val="000000" w:themeColor="text1"/>
                <w:sz w:val="16"/>
                <w:szCs w:val="18"/>
              </w:rPr>
            </w:pPr>
            <w:r>
              <w:rPr>
                <w:color w:val="000000" w:themeColor="text1"/>
                <w:sz w:val="16"/>
                <w:szCs w:val="18"/>
              </w:rPr>
              <w:t>25</w:t>
            </w:r>
          </w:p>
        </w:tc>
      </w:tr>
      <w:tr w:rsidR="00DF2E7F" w:rsidRPr="00CC21B3" w:rsidTr="0019337E">
        <w:trPr>
          <w:trHeight w:val="45"/>
        </w:trPr>
        <w:tc>
          <w:tcPr>
            <w:tcW w:w="9995" w:type="dxa"/>
            <w:shd w:val="clear" w:color="auto" w:fill="FFFFFF"/>
            <w:tcMar>
              <w:top w:w="15" w:type="dxa"/>
              <w:left w:w="108" w:type="dxa"/>
              <w:bottom w:w="0" w:type="dxa"/>
              <w:right w:w="108" w:type="dxa"/>
            </w:tcMar>
          </w:tcPr>
          <w:p w:rsidR="00DF2E7F" w:rsidRPr="00BC431D" w:rsidRDefault="00DF2E7F" w:rsidP="0019337E">
            <w:pPr>
              <w:pStyle w:val="ProductList-Body"/>
              <w:rPr>
                <w:color w:val="000000" w:themeColor="text1"/>
                <w:sz w:val="16"/>
                <w:szCs w:val="18"/>
              </w:rPr>
            </w:pPr>
            <w:r>
              <w:rPr>
                <w:rFonts w:eastAsia="Calibri"/>
                <w:color w:val="000000" w:themeColor="text1"/>
                <w:sz w:val="16"/>
                <w:szCs w:val="18"/>
              </w:rPr>
              <w:t xml:space="preserve">SQL Server Enterprise Edition, </w:t>
            </w:r>
            <w:r>
              <w:rPr>
                <w:color w:val="000000" w:themeColor="text1"/>
                <w:sz w:val="16"/>
                <w:szCs w:val="18"/>
              </w:rPr>
              <w:t xml:space="preserve">SQL Server Business Intelligence, </w:t>
            </w:r>
            <w:r>
              <w:rPr>
                <w:rFonts w:eastAsia="Calibri"/>
                <w:color w:val="000000" w:themeColor="text1"/>
                <w:sz w:val="16"/>
                <w:szCs w:val="18"/>
              </w:rPr>
              <w:t>Windows Server Enterprise Edition a Visual Studio Premium with MSDN</w:t>
            </w:r>
          </w:p>
        </w:tc>
        <w:tc>
          <w:tcPr>
            <w:tcW w:w="720" w:type="dxa"/>
            <w:shd w:val="clear" w:color="auto" w:fill="FFFFFF"/>
            <w:tcMar>
              <w:top w:w="15" w:type="dxa"/>
              <w:left w:w="108" w:type="dxa"/>
              <w:bottom w:w="0" w:type="dxa"/>
              <w:right w:w="108" w:type="dxa"/>
            </w:tcMar>
          </w:tcPr>
          <w:p w:rsidR="00DF2E7F" w:rsidRPr="00BC431D" w:rsidRDefault="00DF2E7F" w:rsidP="0019337E">
            <w:pPr>
              <w:pStyle w:val="ProductList-Body"/>
              <w:jc w:val="center"/>
              <w:rPr>
                <w:color w:val="000000" w:themeColor="text1"/>
                <w:sz w:val="16"/>
                <w:szCs w:val="18"/>
              </w:rPr>
            </w:pPr>
            <w:r>
              <w:rPr>
                <w:color w:val="000000" w:themeColor="text1"/>
                <w:sz w:val="16"/>
                <w:szCs w:val="18"/>
              </w:rPr>
              <w:t>50</w:t>
            </w:r>
          </w:p>
        </w:tc>
      </w:tr>
      <w:tr w:rsidR="00DF2E7F" w:rsidRPr="00CC21B3" w:rsidTr="0019337E">
        <w:trPr>
          <w:trHeight w:val="45"/>
        </w:trPr>
        <w:tc>
          <w:tcPr>
            <w:tcW w:w="9995" w:type="dxa"/>
            <w:shd w:val="clear" w:color="auto" w:fill="FFFFFF"/>
            <w:tcMar>
              <w:top w:w="15" w:type="dxa"/>
              <w:left w:w="108" w:type="dxa"/>
              <w:bottom w:w="0" w:type="dxa"/>
              <w:right w:w="108" w:type="dxa"/>
            </w:tcMar>
          </w:tcPr>
          <w:p w:rsidR="00DF2E7F" w:rsidRPr="00BC431D" w:rsidRDefault="00DF2E7F" w:rsidP="0019337E">
            <w:pPr>
              <w:pStyle w:val="ProductList-Body"/>
              <w:rPr>
                <w:color w:val="000000" w:themeColor="text1"/>
                <w:sz w:val="16"/>
                <w:szCs w:val="18"/>
              </w:rPr>
            </w:pPr>
            <w:r>
              <w:rPr>
                <w:rFonts w:eastAsia="Calibri"/>
                <w:color w:val="000000" w:themeColor="text1"/>
                <w:sz w:val="16"/>
                <w:szCs w:val="18"/>
              </w:rPr>
              <w:t>SQL Server Data Center Edition, SQL Parallel Data Warehouse, Windows Server Data Center Edition, System Center 2012 Datacenter</w:t>
            </w:r>
            <w:r>
              <w:fldChar w:fldCharType="begin"/>
            </w:r>
            <w:r>
              <w:instrText>XE "System Center 2012 Datacenter"</w:instrText>
            </w:r>
            <w:r>
              <w:fldChar w:fldCharType="end"/>
            </w:r>
            <w:r>
              <w:rPr>
                <w:rFonts w:eastAsia="Calibri"/>
                <w:color w:val="000000" w:themeColor="text1"/>
                <w:sz w:val="16"/>
                <w:szCs w:val="18"/>
              </w:rPr>
              <w:t xml:space="preserve"> Server Management License (2 procesory) a Visual Studio Ultimate with MSDN</w:t>
            </w:r>
          </w:p>
        </w:tc>
        <w:tc>
          <w:tcPr>
            <w:tcW w:w="720" w:type="dxa"/>
            <w:shd w:val="clear" w:color="auto" w:fill="FFFFFF"/>
            <w:tcMar>
              <w:top w:w="15" w:type="dxa"/>
              <w:left w:w="108" w:type="dxa"/>
              <w:bottom w:w="0" w:type="dxa"/>
              <w:right w:w="108" w:type="dxa"/>
            </w:tcMar>
          </w:tcPr>
          <w:p w:rsidR="00DF2E7F" w:rsidRPr="00BC431D" w:rsidRDefault="00DF2E7F" w:rsidP="0019337E">
            <w:pPr>
              <w:pStyle w:val="ProductList-Body"/>
              <w:jc w:val="center"/>
              <w:rPr>
                <w:color w:val="000000" w:themeColor="text1"/>
                <w:sz w:val="16"/>
                <w:szCs w:val="18"/>
              </w:rPr>
            </w:pPr>
            <w:r>
              <w:rPr>
                <w:color w:val="000000" w:themeColor="text1"/>
                <w:sz w:val="16"/>
                <w:szCs w:val="18"/>
              </w:rPr>
              <w:t>75</w:t>
            </w:r>
          </w:p>
        </w:tc>
      </w:tr>
    </w:tbl>
    <w:p w:rsidR="00DF2E7F" w:rsidRPr="00483B32" w:rsidRDefault="00DF2E7F" w:rsidP="00DF2E7F">
      <w:pPr>
        <w:pStyle w:val="ProductList-Body"/>
        <w:tabs>
          <w:tab w:val="clear" w:pos="158"/>
          <w:tab w:val="left" w:pos="180"/>
        </w:tabs>
      </w:pPr>
      <w:r>
        <w:rPr>
          <w:color w:val="000000" w:themeColor="text1"/>
          <w:sz w:val="16"/>
          <w:szCs w:val="18"/>
          <w:vertAlign w:val="superscript"/>
        </w:rPr>
        <w:t>1</w:t>
      </w:r>
      <w:r>
        <w:rPr>
          <w:i/>
          <w:color w:val="000000" w:themeColor="text1"/>
          <w:sz w:val="16"/>
          <w:szCs w:val="18"/>
        </w:rPr>
        <w:t>Licence CAL pro profesionální používání aplikace Microsoft Dynamics CRM se počítá jako dva (2) body</w:t>
      </w:r>
    </w:p>
    <w:p w:rsidR="00DF2E7F" w:rsidRPr="00483B32" w:rsidRDefault="00DF2E7F" w:rsidP="00DF2E7F">
      <w:pPr>
        <w:pStyle w:val="ProductList-Body"/>
        <w:tabs>
          <w:tab w:val="clear" w:pos="158"/>
          <w:tab w:val="left" w:pos="180"/>
        </w:tabs>
      </w:pPr>
      <w:r>
        <w:rPr>
          <w:i/>
          <w:color w:val="000000" w:themeColor="text1"/>
          <w:sz w:val="16"/>
          <w:szCs w:val="18"/>
        </w:rPr>
        <w:t>*Krytí Core CAL Suite a SQL CAL SA se počítá jako jeden (1) bod, krytí Enterprise CAL Suite SA se počítá jako dva (2) body</w:t>
      </w:r>
    </w:p>
    <w:p w:rsidR="00DF2E7F" w:rsidRPr="00483B32" w:rsidRDefault="00DF2E7F" w:rsidP="00DF2E7F">
      <w:pPr>
        <w:pStyle w:val="Heading2"/>
      </w:pPr>
      <w:bookmarkStart w:id="32" w:name="_New_Version_Rights"/>
      <w:bookmarkStart w:id="33" w:name="_Office_Multi_Language"/>
      <w:bookmarkStart w:id="34" w:name="_Office_Online"/>
      <w:bookmarkStart w:id="35" w:name="_Planning_Services"/>
      <w:bookmarkStart w:id="36" w:name="_Toc403380303"/>
      <w:bookmarkStart w:id="37" w:name="_Toc403985021"/>
      <w:bookmarkStart w:id="38" w:name="_Toc428180920"/>
      <w:bookmarkEnd w:id="32"/>
      <w:bookmarkEnd w:id="33"/>
      <w:bookmarkEnd w:id="34"/>
      <w:bookmarkEnd w:id="35"/>
      <w:r>
        <w:t>Služby plánování</w:t>
      </w:r>
      <w:bookmarkEnd w:id="36"/>
      <w:bookmarkEnd w:id="37"/>
      <w:bookmarkEnd w:id="38"/>
    </w:p>
    <w:p w:rsidR="00DF2E7F" w:rsidRPr="00483B32" w:rsidRDefault="00DF2E7F" w:rsidP="00DF2E7F">
      <w:pPr>
        <w:pStyle w:val="ProductList-Body"/>
      </w:pPr>
      <w:r>
        <w:rPr>
          <w:color w:val="000000" w:themeColor="text1"/>
          <w:szCs w:val="18"/>
        </w:rPr>
        <w:t xml:space="preserve">Pokud jste si zvolili členství v Software Assurance ve skupinách aplikací nebo serverů, máte nárok na tuto výhodu. Výhoda Služby plánování vám poskytuje předem určené nabídky služeb popsané na adrese </w:t>
      </w:r>
      <w:hyperlink r:id="rId19" w:history="1">
        <w:r>
          <w:rPr>
            <w:rStyle w:val="Hyperlink"/>
          </w:rPr>
          <w:t>http://www.microsoft.com/licensing/software-assurance/planning-services-overview.aspx</w:t>
        </w:r>
      </w:hyperlink>
      <w:r>
        <w:rPr>
          <w:color w:val="000000" w:themeColor="text1"/>
          <w:szCs w:val="18"/>
        </w:rPr>
        <w:t xml:space="preserve">. Seznam dostupných služeb a souvisejících úrovní služeb se může kdykoli změnit. </w:t>
      </w:r>
      <w:r>
        <w:rPr>
          <w:rFonts w:ascii="Segoe UI" w:hAnsi="Segoe UI"/>
          <w:color w:val="000000" w:themeColor="text1"/>
          <w:szCs w:val="18"/>
        </w:rPr>
        <w:t xml:space="preserve">Partneři služby plánování (uvedeni zde </w:t>
      </w:r>
      <w:hyperlink r:id="rId20" w:history="1">
        <w:r>
          <w:rPr>
            <w:rStyle w:val="Hyperlink"/>
            <w:rFonts w:ascii="Segoe UI" w:hAnsi="Segoe UI"/>
            <w:szCs w:val="18"/>
          </w:rPr>
          <w:t>http://directory.partners.extranet.microsoft.com/psbproviders</w:t>
        </w:r>
      </w:hyperlink>
      <w:r>
        <w:rPr>
          <w:rFonts w:ascii="Segoe UI" w:hAnsi="Segoe UI"/>
          <w:color w:val="000000" w:themeColor="text1"/>
          <w:szCs w:val="18"/>
        </w:rPr>
        <w:t xml:space="preserve">) </w:t>
      </w:r>
      <w:r>
        <w:rPr>
          <w:color w:val="000000" w:themeColor="text1"/>
          <w:szCs w:val="18"/>
        </w:rPr>
        <w:t xml:space="preserve">vám na vyžádání poskytnou osnovu dostupného rozsahu práce pro každou z nabídek služeb výše. Můžete si zvolit jednu nebo více z dostupných nabídek a vybrat si z dostupných úrovní služby, a to až do počtu dní služeb plánování, které máte k dispozici. </w:t>
      </w:r>
      <w:r>
        <w:fldChar w:fldCharType="begin"/>
      </w:r>
      <w:r>
        <w:instrText>XE "Microsoft Dynamics CRM Server 2013"</w:instrText>
      </w:r>
      <w:r>
        <w:fldChar w:fldCharType="end"/>
      </w:r>
      <w:r>
        <w:fldChar w:fldCharType="begin"/>
      </w:r>
      <w:r>
        <w:instrText>XE "System Center 2012 Standard"</w:instrText>
      </w:r>
      <w:r>
        <w:fldChar w:fldCharType="end"/>
      </w:r>
      <w:r>
        <w:fldChar w:fldCharType="begin"/>
      </w:r>
      <w:r>
        <w:instrText>XE "System Center 2012 Datacenter"</w:instrText>
      </w:r>
      <w:r>
        <w:fldChar w:fldCharType="end"/>
      </w:r>
      <w:r>
        <w:fldChar w:fldCharType="begin"/>
      </w:r>
      <w:r>
        <w:instrText>XE "Sada Core CAL"</w:instrText>
      </w:r>
      <w:r>
        <w:fldChar w:fldCharType="end"/>
      </w:r>
      <w:r>
        <w:fldChar w:fldCharType="begin"/>
      </w:r>
      <w:r>
        <w:instrText>XE "Sada Enterprise CAL"</w:instrText>
      </w:r>
      <w:r>
        <w:fldChar w:fldCharType="end"/>
      </w:r>
      <w:r>
        <w:fldChar w:fldCharType="begin"/>
      </w:r>
      <w:r>
        <w:instrText>XE "Sada Enterprise CAL"</w:instrText>
      </w:r>
      <w:r>
        <w:fldChar w:fldCharType="end"/>
      </w:r>
      <w:r>
        <w:fldChar w:fldCharType="begin"/>
      </w:r>
      <w:r>
        <w:instrText>XE "Sada Enterprise CAL"</w:instrText>
      </w:r>
      <w:r>
        <w:fldChar w:fldCharType="end"/>
      </w:r>
    </w:p>
    <w:p w:rsidR="00DF2E7F" w:rsidRPr="00483B32" w:rsidRDefault="00DF2E7F" w:rsidP="00DF2E7F">
      <w:r>
        <w:rPr>
          <w:color w:val="000000" w:themeColor="text1"/>
          <w:szCs w:val="18"/>
        </w:rPr>
        <w:t xml:space="preserve">Pokud se kvalifikujete, obdržíte počet dní služeb plánování na základě počtu kvalifikujících licencí pro aplikace sady Office, kvalifikujících serverových licencí a počtu sad Core CAL, SQL CAL a Enterprise CAL, pro které je krytí SA získáno. Počet dní, které obdržíte pro dostupné nabídky služeb plánování, se kombinuje do fondu dní služeb plánování pro každou nákupní jednotku. </w:t>
      </w:r>
    </w:p>
    <w:p w:rsidR="00DF2E7F" w:rsidRPr="00483B32" w:rsidRDefault="00DF2E7F" w:rsidP="00DF2E7F">
      <w:pPr>
        <w:pStyle w:val="ProductList-Body"/>
      </w:pPr>
    </w:p>
    <w:p w:rsidR="00DF2E7F" w:rsidRPr="00483B32" w:rsidRDefault="00DF2E7F" w:rsidP="00DF2E7F">
      <w:pPr>
        <w:pStyle w:val="ProductList-Body"/>
      </w:pPr>
      <w:r>
        <w:rPr>
          <w:rFonts w:ascii="Segoe UI" w:hAnsi="Segoe UI"/>
          <w:color w:val="000000" w:themeColor="text1"/>
          <w:szCs w:val="18"/>
        </w:rPr>
        <w:t>Počet dní služeb plánování, na které máte nárok, je založen na všech vypočtených bodech získaných prostřednictvím vaší nákupní jednotky, viz níže (viz část Výpočet bodů výhod Software Assurance pro smlouvu MPSA tohoto dokumentu, kde naleznete podrobnosti o způsobu výpočtu bodů výhod SA):</w:t>
      </w:r>
    </w:p>
    <w:p w:rsidR="00DF2E7F" w:rsidRPr="00483B32" w:rsidRDefault="00DF2E7F" w:rsidP="00DF2E7F">
      <w:pPr>
        <w:pStyle w:val="ProductList-Body"/>
      </w:pPr>
    </w:p>
    <w:tbl>
      <w:tblPr>
        <w:tblW w:w="7475"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5265"/>
        <w:gridCol w:w="2210"/>
      </w:tblGrid>
      <w:tr w:rsidR="00DF2E7F" w:rsidRPr="005B13F2" w:rsidTr="0019337E">
        <w:trPr>
          <w:trHeight w:val="226"/>
          <w:tblHeader/>
        </w:trPr>
        <w:tc>
          <w:tcPr>
            <w:tcW w:w="5265" w:type="dxa"/>
            <w:shd w:val="clear" w:color="auto" w:fill="BF8F00" w:themeFill="accent4" w:themeFillShade="BF"/>
            <w:tcMar>
              <w:top w:w="15" w:type="dxa"/>
              <w:left w:w="108" w:type="dxa"/>
              <w:bottom w:w="0" w:type="dxa"/>
              <w:right w:w="108" w:type="dxa"/>
            </w:tcMar>
          </w:tcPr>
          <w:p w:rsidR="00DF2E7F" w:rsidRPr="005B13F2" w:rsidRDefault="00DF2E7F" w:rsidP="0019337E">
            <w:pPr>
              <w:pStyle w:val="ProductList-Body"/>
              <w:spacing w:before="20" w:after="20"/>
              <w:rPr>
                <w:color w:val="FFFFFF" w:themeColor="background1"/>
                <w:szCs w:val="18"/>
              </w:rPr>
            </w:pPr>
            <w:r>
              <w:rPr>
                <w:color w:val="FFFFFF" w:themeColor="background1"/>
                <w:szCs w:val="18"/>
              </w:rPr>
              <w:t>Body aplikací Office nebo serveru se SAM</w:t>
            </w:r>
          </w:p>
        </w:tc>
        <w:tc>
          <w:tcPr>
            <w:tcW w:w="2210" w:type="dxa"/>
            <w:shd w:val="clear" w:color="auto" w:fill="BF8F00" w:themeFill="accent4" w:themeFillShade="BF"/>
            <w:tcMar>
              <w:top w:w="15" w:type="dxa"/>
              <w:left w:w="108" w:type="dxa"/>
              <w:bottom w:w="0" w:type="dxa"/>
              <w:right w:w="108" w:type="dxa"/>
            </w:tcMar>
          </w:tcPr>
          <w:p w:rsidR="00DF2E7F" w:rsidRPr="005B13F2" w:rsidRDefault="00DF2E7F" w:rsidP="0019337E">
            <w:pPr>
              <w:pStyle w:val="ProductList-Body"/>
              <w:spacing w:before="20" w:after="20"/>
              <w:rPr>
                <w:color w:val="FFFFFF" w:themeColor="background1"/>
                <w:szCs w:val="18"/>
              </w:rPr>
            </w:pPr>
            <w:r>
              <w:rPr>
                <w:color w:val="FFFFFF" w:themeColor="background1"/>
                <w:szCs w:val="18"/>
              </w:rPr>
              <w:t>Dny služby plánování</w:t>
            </w:r>
          </w:p>
        </w:tc>
      </w:tr>
      <w:tr w:rsidR="00DF2E7F" w:rsidRPr="005B13F2" w:rsidTr="0019337E">
        <w:trPr>
          <w:trHeight w:val="127"/>
        </w:trPr>
        <w:tc>
          <w:tcPr>
            <w:tcW w:w="5265" w:type="dxa"/>
            <w:shd w:val="clear" w:color="auto" w:fill="FFFFFF"/>
            <w:tcMar>
              <w:top w:w="15" w:type="dxa"/>
              <w:left w:w="108" w:type="dxa"/>
              <w:bottom w:w="0" w:type="dxa"/>
              <w:right w:w="108" w:type="dxa"/>
            </w:tcMar>
          </w:tcPr>
          <w:p w:rsidR="00DF2E7F" w:rsidRPr="00D814DA" w:rsidRDefault="00DF2E7F" w:rsidP="0019337E">
            <w:pPr>
              <w:pStyle w:val="ProductList-Body"/>
              <w:rPr>
                <w:color w:val="000000" w:themeColor="text1"/>
                <w:szCs w:val="18"/>
              </w:rPr>
            </w:pPr>
            <w:r>
              <w:rPr>
                <w:color w:val="000000" w:themeColor="text1"/>
                <w:szCs w:val="18"/>
              </w:rPr>
              <w:t>200 – 499</w:t>
            </w:r>
          </w:p>
        </w:tc>
        <w:tc>
          <w:tcPr>
            <w:tcW w:w="2210" w:type="dxa"/>
            <w:shd w:val="clear" w:color="auto" w:fill="FFFFFF"/>
            <w:tcMar>
              <w:top w:w="15" w:type="dxa"/>
              <w:left w:w="108" w:type="dxa"/>
              <w:bottom w:w="0" w:type="dxa"/>
              <w:right w:w="108" w:type="dxa"/>
            </w:tcMar>
          </w:tcPr>
          <w:p w:rsidR="00DF2E7F" w:rsidRPr="00D814DA" w:rsidRDefault="00DF2E7F" w:rsidP="0019337E">
            <w:pPr>
              <w:pStyle w:val="ProductList-Body"/>
              <w:jc w:val="center"/>
              <w:rPr>
                <w:color w:val="000000" w:themeColor="text1"/>
                <w:szCs w:val="18"/>
              </w:rPr>
            </w:pPr>
            <w:r>
              <w:rPr>
                <w:color w:val="000000" w:themeColor="text1"/>
                <w:szCs w:val="18"/>
              </w:rPr>
              <w:t>1</w:t>
            </w:r>
          </w:p>
        </w:tc>
      </w:tr>
      <w:tr w:rsidR="00DF2E7F" w:rsidRPr="005B13F2" w:rsidTr="0019337E">
        <w:trPr>
          <w:trHeight w:val="45"/>
        </w:trPr>
        <w:tc>
          <w:tcPr>
            <w:tcW w:w="5265" w:type="dxa"/>
            <w:shd w:val="clear" w:color="auto" w:fill="FFFFFF"/>
            <w:tcMar>
              <w:top w:w="15" w:type="dxa"/>
              <w:left w:w="108" w:type="dxa"/>
              <w:bottom w:w="0" w:type="dxa"/>
              <w:right w:w="108" w:type="dxa"/>
            </w:tcMar>
          </w:tcPr>
          <w:p w:rsidR="00DF2E7F" w:rsidRPr="00D814DA" w:rsidRDefault="00DF2E7F" w:rsidP="0019337E">
            <w:pPr>
              <w:pStyle w:val="ProductList-Body"/>
              <w:rPr>
                <w:color w:val="000000" w:themeColor="text1"/>
                <w:szCs w:val="18"/>
              </w:rPr>
            </w:pPr>
            <w:r>
              <w:rPr>
                <w:color w:val="000000" w:themeColor="text1"/>
                <w:szCs w:val="18"/>
              </w:rPr>
              <w:t>500 – 1999</w:t>
            </w:r>
          </w:p>
        </w:tc>
        <w:tc>
          <w:tcPr>
            <w:tcW w:w="2210" w:type="dxa"/>
            <w:shd w:val="clear" w:color="auto" w:fill="FFFFFF"/>
            <w:tcMar>
              <w:top w:w="15" w:type="dxa"/>
              <w:left w:w="108" w:type="dxa"/>
              <w:bottom w:w="0" w:type="dxa"/>
              <w:right w:w="108" w:type="dxa"/>
            </w:tcMar>
          </w:tcPr>
          <w:p w:rsidR="00DF2E7F" w:rsidRPr="00D814DA" w:rsidRDefault="00DF2E7F" w:rsidP="0019337E">
            <w:pPr>
              <w:pStyle w:val="ProductList-Body"/>
              <w:jc w:val="center"/>
              <w:rPr>
                <w:color w:val="000000" w:themeColor="text1"/>
                <w:szCs w:val="18"/>
              </w:rPr>
            </w:pPr>
            <w:r>
              <w:rPr>
                <w:color w:val="000000" w:themeColor="text1"/>
                <w:szCs w:val="18"/>
              </w:rPr>
              <w:t>3</w:t>
            </w:r>
          </w:p>
        </w:tc>
      </w:tr>
      <w:tr w:rsidR="00DF2E7F" w:rsidRPr="005B13F2" w:rsidTr="0019337E">
        <w:trPr>
          <w:trHeight w:val="45"/>
        </w:trPr>
        <w:tc>
          <w:tcPr>
            <w:tcW w:w="5265" w:type="dxa"/>
            <w:shd w:val="clear" w:color="auto" w:fill="FFFFFF"/>
            <w:tcMar>
              <w:top w:w="15" w:type="dxa"/>
              <w:left w:w="108" w:type="dxa"/>
              <w:bottom w:w="0" w:type="dxa"/>
              <w:right w:w="108" w:type="dxa"/>
            </w:tcMar>
          </w:tcPr>
          <w:p w:rsidR="00DF2E7F" w:rsidRPr="00D814DA" w:rsidRDefault="00DF2E7F" w:rsidP="0019337E">
            <w:pPr>
              <w:pStyle w:val="ProductList-Body"/>
              <w:rPr>
                <w:color w:val="000000" w:themeColor="text1"/>
                <w:szCs w:val="18"/>
              </w:rPr>
            </w:pPr>
            <w:r>
              <w:rPr>
                <w:color w:val="000000" w:themeColor="text1"/>
                <w:szCs w:val="18"/>
              </w:rPr>
              <w:t>2000 – 3999</w:t>
            </w:r>
          </w:p>
        </w:tc>
        <w:tc>
          <w:tcPr>
            <w:tcW w:w="2210" w:type="dxa"/>
            <w:shd w:val="clear" w:color="auto" w:fill="FFFFFF"/>
            <w:tcMar>
              <w:top w:w="15" w:type="dxa"/>
              <w:left w:w="108" w:type="dxa"/>
              <w:bottom w:w="0" w:type="dxa"/>
              <w:right w:w="108" w:type="dxa"/>
            </w:tcMar>
          </w:tcPr>
          <w:p w:rsidR="00DF2E7F" w:rsidRPr="00D814DA" w:rsidRDefault="00DF2E7F" w:rsidP="0019337E">
            <w:pPr>
              <w:pStyle w:val="ProductList-Body"/>
              <w:jc w:val="center"/>
              <w:rPr>
                <w:color w:val="000000" w:themeColor="text1"/>
                <w:szCs w:val="18"/>
              </w:rPr>
            </w:pPr>
            <w:r>
              <w:rPr>
                <w:color w:val="000000" w:themeColor="text1"/>
                <w:szCs w:val="18"/>
              </w:rPr>
              <w:t>5</w:t>
            </w:r>
          </w:p>
        </w:tc>
      </w:tr>
      <w:tr w:rsidR="00DF2E7F" w:rsidRPr="005B13F2" w:rsidTr="0019337E">
        <w:trPr>
          <w:trHeight w:val="45"/>
        </w:trPr>
        <w:tc>
          <w:tcPr>
            <w:tcW w:w="5265" w:type="dxa"/>
            <w:shd w:val="clear" w:color="auto" w:fill="FFFFFF"/>
            <w:tcMar>
              <w:top w:w="15" w:type="dxa"/>
              <w:left w:w="108" w:type="dxa"/>
              <w:bottom w:w="0" w:type="dxa"/>
              <w:right w:w="108" w:type="dxa"/>
            </w:tcMar>
          </w:tcPr>
          <w:p w:rsidR="00DF2E7F" w:rsidRPr="00D814DA" w:rsidRDefault="00DF2E7F" w:rsidP="0019337E">
            <w:pPr>
              <w:pStyle w:val="ProductList-Body"/>
              <w:rPr>
                <w:color w:val="000000" w:themeColor="text1"/>
                <w:szCs w:val="18"/>
              </w:rPr>
            </w:pPr>
            <w:r>
              <w:rPr>
                <w:color w:val="000000" w:themeColor="text1"/>
                <w:szCs w:val="18"/>
              </w:rPr>
              <w:t>4000 – 29999</w:t>
            </w:r>
          </w:p>
        </w:tc>
        <w:tc>
          <w:tcPr>
            <w:tcW w:w="2210" w:type="dxa"/>
            <w:shd w:val="clear" w:color="auto" w:fill="FFFFFF"/>
            <w:tcMar>
              <w:top w:w="15" w:type="dxa"/>
              <w:left w:w="108" w:type="dxa"/>
              <w:bottom w:w="0" w:type="dxa"/>
              <w:right w:w="108" w:type="dxa"/>
            </w:tcMar>
          </w:tcPr>
          <w:p w:rsidR="00DF2E7F" w:rsidRPr="00D814DA" w:rsidRDefault="00DF2E7F" w:rsidP="0019337E">
            <w:pPr>
              <w:pStyle w:val="ProductList-Body"/>
              <w:jc w:val="center"/>
              <w:rPr>
                <w:color w:val="000000" w:themeColor="text1"/>
                <w:szCs w:val="18"/>
              </w:rPr>
            </w:pPr>
            <w:r>
              <w:rPr>
                <w:color w:val="000000" w:themeColor="text1"/>
                <w:szCs w:val="18"/>
              </w:rPr>
              <w:t>10</w:t>
            </w:r>
          </w:p>
        </w:tc>
      </w:tr>
      <w:tr w:rsidR="00DF2E7F" w:rsidRPr="005B13F2" w:rsidTr="0019337E">
        <w:trPr>
          <w:trHeight w:val="45"/>
        </w:trPr>
        <w:tc>
          <w:tcPr>
            <w:tcW w:w="5265" w:type="dxa"/>
            <w:shd w:val="clear" w:color="auto" w:fill="FFFFFF"/>
            <w:tcMar>
              <w:top w:w="15" w:type="dxa"/>
              <w:left w:w="108" w:type="dxa"/>
              <w:bottom w:w="0" w:type="dxa"/>
              <w:right w:w="108" w:type="dxa"/>
            </w:tcMar>
          </w:tcPr>
          <w:p w:rsidR="00DF2E7F" w:rsidRPr="00D814DA" w:rsidRDefault="00DF2E7F" w:rsidP="0019337E">
            <w:pPr>
              <w:pStyle w:val="ProductList-Body"/>
              <w:rPr>
                <w:color w:val="000000" w:themeColor="text1"/>
                <w:szCs w:val="18"/>
              </w:rPr>
            </w:pPr>
            <w:r>
              <w:rPr>
                <w:color w:val="000000" w:themeColor="text1"/>
                <w:szCs w:val="18"/>
              </w:rPr>
              <w:t>30000 – 49999</w:t>
            </w:r>
          </w:p>
        </w:tc>
        <w:tc>
          <w:tcPr>
            <w:tcW w:w="2210" w:type="dxa"/>
            <w:shd w:val="clear" w:color="auto" w:fill="FFFFFF"/>
            <w:tcMar>
              <w:top w:w="15" w:type="dxa"/>
              <w:left w:w="108" w:type="dxa"/>
              <w:bottom w:w="0" w:type="dxa"/>
              <w:right w:w="108" w:type="dxa"/>
            </w:tcMar>
          </w:tcPr>
          <w:p w:rsidR="00DF2E7F" w:rsidRPr="00D814DA" w:rsidRDefault="00DF2E7F" w:rsidP="0019337E">
            <w:pPr>
              <w:pStyle w:val="ProductList-Body"/>
              <w:jc w:val="center"/>
              <w:rPr>
                <w:color w:val="000000" w:themeColor="text1"/>
                <w:szCs w:val="18"/>
              </w:rPr>
            </w:pPr>
            <w:r>
              <w:rPr>
                <w:color w:val="000000" w:themeColor="text1"/>
                <w:szCs w:val="18"/>
              </w:rPr>
              <w:t>15</w:t>
            </w:r>
          </w:p>
        </w:tc>
      </w:tr>
      <w:tr w:rsidR="00DF2E7F" w:rsidRPr="005B13F2" w:rsidTr="0019337E">
        <w:trPr>
          <w:trHeight w:val="45"/>
        </w:trPr>
        <w:tc>
          <w:tcPr>
            <w:tcW w:w="5265" w:type="dxa"/>
            <w:shd w:val="clear" w:color="auto" w:fill="FFFFFF"/>
            <w:tcMar>
              <w:top w:w="15" w:type="dxa"/>
              <w:left w:w="108" w:type="dxa"/>
              <w:bottom w:w="0" w:type="dxa"/>
              <w:right w:w="108" w:type="dxa"/>
            </w:tcMar>
          </w:tcPr>
          <w:p w:rsidR="00DF2E7F" w:rsidRPr="00D814DA" w:rsidRDefault="00DF2E7F" w:rsidP="0019337E">
            <w:pPr>
              <w:pStyle w:val="ProductList-Body"/>
              <w:rPr>
                <w:color w:val="000000" w:themeColor="text1"/>
                <w:szCs w:val="18"/>
              </w:rPr>
            </w:pPr>
            <w:r>
              <w:rPr>
                <w:color w:val="000000" w:themeColor="text1"/>
                <w:szCs w:val="18"/>
              </w:rPr>
              <w:t>50000 – 99999</w:t>
            </w:r>
          </w:p>
        </w:tc>
        <w:tc>
          <w:tcPr>
            <w:tcW w:w="2210" w:type="dxa"/>
            <w:shd w:val="clear" w:color="auto" w:fill="FFFFFF"/>
            <w:tcMar>
              <w:top w:w="15" w:type="dxa"/>
              <w:left w:w="108" w:type="dxa"/>
              <w:bottom w:w="0" w:type="dxa"/>
              <w:right w:w="108" w:type="dxa"/>
            </w:tcMar>
          </w:tcPr>
          <w:p w:rsidR="00DF2E7F" w:rsidRPr="00D814DA" w:rsidRDefault="00DF2E7F" w:rsidP="0019337E">
            <w:pPr>
              <w:pStyle w:val="ProductList-Body"/>
              <w:jc w:val="center"/>
              <w:rPr>
                <w:color w:val="000000" w:themeColor="text1"/>
                <w:szCs w:val="18"/>
              </w:rPr>
            </w:pPr>
            <w:r>
              <w:rPr>
                <w:color w:val="000000" w:themeColor="text1"/>
                <w:szCs w:val="18"/>
              </w:rPr>
              <w:t>20</w:t>
            </w:r>
          </w:p>
        </w:tc>
      </w:tr>
      <w:tr w:rsidR="00DF2E7F" w:rsidRPr="005B13F2" w:rsidTr="0019337E">
        <w:trPr>
          <w:trHeight w:val="45"/>
        </w:trPr>
        <w:tc>
          <w:tcPr>
            <w:tcW w:w="5265" w:type="dxa"/>
            <w:shd w:val="clear" w:color="auto" w:fill="FFFFFF"/>
            <w:tcMar>
              <w:top w:w="15" w:type="dxa"/>
              <w:left w:w="108" w:type="dxa"/>
              <w:bottom w:w="0" w:type="dxa"/>
              <w:right w:w="108" w:type="dxa"/>
            </w:tcMar>
          </w:tcPr>
          <w:p w:rsidR="00DF2E7F" w:rsidRPr="00D814DA" w:rsidRDefault="00DF2E7F" w:rsidP="0019337E">
            <w:pPr>
              <w:pStyle w:val="ProductList-Body"/>
              <w:rPr>
                <w:color w:val="000000" w:themeColor="text1"/>
                <w:szCs w:val="18"/>
              </w:rPr>
            </w:pPr>
            <w:r>
              <w:rPr>
                <w:color w:val="000000" w:themeColor="text1"/>
                <w:szCs w:val="18"/>
              </w:rPr>
              <w:t>100000 – 199999</w:t>
            </w:r>
          </w:p>
        </w:tc>
        <w:tc>
          <w:tcPr>
            <w:tcW w:w="2210" w:type="dxa"/>
            <w:shd w:val="clear" w:color="auto" w:fill="FFFFFF"/>
            <w:tcMar>
              <w:top w:w="15" w:type="dxa"/>
              <w:left w:w="108" w:type="dxa"/>
              <w:bottom w:w="0" w:type="dxa"/>
              <w:right w:w="108" w:type="dxa"/>
            </w:tcMar>
          </w:tcPr>
          <w:p w:rsidR="00DF2E7F" w:rsidRPr="00D814DA" w:rsidRDefault="00DF2E7F" w:rsidP="0019337E">
            <w:pPr>
              <w:pStyle w:val="ProductList-Body"/>
              <w:jc w:val="center"/>
              <w:rPr>
                <w:color w:val="000000" w:themeColor="text1"/>
                <w:szCs w:val="18"/>
              </w:rPr>
            </w:pPr>
            <w:r>
              <w:rPr>
                <w:color w:val="000000" w:themeColor="text1"/>
                <w:szCs w:val="18"/>
              </w:rPr>
              <w:t>30</w:t>
            </w:r>
          </w:p>
        </w:tc>
      </w:tr>
      <w:tr w:rsidR="00DF2E7F" w:rsidRPr="005B13F2" w:rsidTr="0019337E">
        <w:trPr>
          <w:trHeight w:val="45"/>
        </w:trPr>
        <w:tc>
          <w:tcPr>
            <w:tcW w:w="5265" w:type="dxa"/>
            <w:shd w:val="clear" w:color="auto" w:fill="FFFFFF"/>
            <w:tcMar>
              <w:top w:w="15" w:type="dxa"/>
              <w:left w:w="108" w:type="dxa"/>
              <w:bottom w:w="0" w:type="dxa"/>
              <w:right w:w="108" w:type="dxa"/>
            </w:tcMar>
          </w:tcPr>
          <w:p w:rsidR="00DF2E7F" w:rsidRPr="00D814DA" w:rsidRDefault="00DF2E7F" w:rsidP="0019337E">
            <w:pPr>
              <w:pStyle w:val="ProductList-Body"/>
              <w:rPr>
                <w:color w:val="000000" w:themeColor="text1"/>
                <w:szCs w:val="18"/>
              </w:rPr>
            </w:pPr>
            <w:r>
              <w:rPr>
                <w:color w:val="000000" w:themeColor="text1"/>
                <w:szCs w:val="18"/>
              </w:rPr>
              <w:t>200000 – 399999</w:t>
            </w:r>
          </w:p>
        </w:tc>
        <w:tc>
          <w:tcPr>
            <w:tcW w:w="2210" w:type="dxa"/>
            <w:shd w:val="clear" w:color="auto" w:fill="FFFFFF"/>
            <w:tcMar>
              <w:top w:w="15" w:type="dxa"/>
              <w:left w:w="108" w:type="dxa"/>
              <w:bottom w:w="0" w:type="dxa"/>
              <w:right w:w="108" w:type="dxa"/>
            </w:tcMar>
          </w:tcPr>
          <w:p w:rsidR="00DF2E7F" w:rsidRPr="00D814DA" w:rsidRDefault="00DF2E7F" w:rsidP="0019337E">
            <w:pPr>
              <w:pStyle w:val="ProductList-Body"/>
              <w:jc w:val="center"/>
              <w:rPr>
                <w:color w:val="000000" w:themeColor="text1"/>
                <w:szCs w:val="18"/>
              </w:rPr>
            </w:pPr>
            <w:r>
              <w:rPr>
                <w:color w:val="000000" w:themeColor="text1"/>
                <w:szCs w:val="18"/>
              </w:rPr>
              <w:t>40</w:t>
            </w:r>
          </w:p>
        </w:tc>
      </w:tr>
      <w:tr w:rsidR="00DF2E7F" w:rsidRPr="005B13F2" w:rsidTr="0019337E">
        <w:trPr>
          <w:trHeight w:val="45"/>
        </w:trPr>
        <w:tc>
          <w:tcPr>
            <w:tcW w:w="5265" w:type="dxa"/>
            <w:shd w:val="clear" w:color="auto" w:fill="FFFFFF"/>
            <w:tcMar>
              <w:top w:w="15" w:type="dxa"/>
              <w:left w:w="108" w:type="dxa"/>
              <w:bottom w:w="0" w:type="dxa"/>
              <w:right w:w="108" w:type="dxa"/>
            </w:tcMar>
          </w:tcPr>
          <w:p w:rsidR="00DF2E7F" w:rsidRPr="00D814DA" w:rsidRDefault="00DF2E7F" w:rsidP="0019337E">
            <w:pPr>
              <w:pStyle w:val="ProductList-Body"/>
              <w:rPr>
                <w:color w:val="000000" w:themeColor="text1"/>
                <w:szCs w:val="18"/>
              </w:rPr>
            </w:pPr>
            <w:r>
              <w:rPr>
                <w:color w:val="000000" w:themeColor="text1"/>
                <w:szCs w:val="18"/>
              </w:rPr>
              <w:t>400000 – 599999</w:t>
            </w:r>
          </w:p>
        </w:tc>
        <w:tc>
          <w:tcPr>
            <w:tcW w:w="2210" w:type="dxa"/>
            <w:shd w:val="clear" w:color="auto" w:fill="FFFFFF"/>
            <w:tcMar>
              <w:top w:w="15" w:type="dxa"/>
              <w:left w:w="108" w:type="dxa"/>
              <w:bottom w:w="0" w:type="dxa"/>
              <w:right w:w="108" w:type="dxa"/>
            </w:tcMar>
          </w:tcPr>
          <w:p w:rsidR="00DF2E7F" w:rsidRPr="00D814DA" w:rsidRDefault="00DF2E7F" w:rsidP="0019337E">
            <w:pPr>
              <w:pStyle w:val="ProductList-Body"/>
              <w:jc w:val="center"/>
              <w:rPr>
                <w:color w:val="000000" w:themeColor="text1"/>
                <w:szCs w:val="18"/>
              </w:rPr>
            </w:pPr>
            <w:r>
              <w:rPr>
                <w:color w:val="000000" w:themeColor="text1"/>
                <w:szCs w:val="18"/>
              </w:rPr>
              <w:t>50</w:t>
            </w:r>
          </w:p>
        </w:tc>
      </w:tr>
      <w:tr w:rsidR="00DF2E7F" w:rsidRPr="005B13F2" w:rsidTr="0019337E">
        <w:trPr>
          <w:trHeight w:val="45"/>
        </w:trPr>
        <w:tc>
          <w:tcPr>
            <w:tcW w:w="5265" w:type="dxa"/>
            <w:shd w:val="clear" w:color="auto" w:fill="FFFFFF"/>
            <w:tcMar>
              <w:top w:w="15" w:type="dxa"/>
              <w:left w:w="108" w:type="dxa"/>
              <w:bottom w:w="0" w:type="dxa"/>
              <w:right w:w="108" w:type="dxa"/>
            </w:tcMar>
          </w:tcPr>
          <w:p w:rsidR="00DF2E7F" w:rsidRPr="00D814DA" w:rsidRDefault="00DF2E7F" w:rsidP="0019337E">
            <w:pPr>
              <w:pStyle w:val="ProductList-Body"/>
              <w:rPr>
                <w:color w:val="000000" w:themeColor="text1"/>
                <w:szCs w:val="18"/>
              </w:rPr>
            </w:pPr>
            <w:r>
              <w:rPr>
                <w:color w:val="000000" w:themeColor="text1"/>
                <w:szCs w:val="18"/>
              </w:rPr>
              <w:t>600000 +</w:t>
            </w:r>
          </w:p>
        </w:tc>
        <w:tc>
          <w:tcPr>
            <w:tcW w:w="2210" w:type="dxa"/>
            <w:shd w:val="clear" w:color="auto" w:fill="FFFFFF"/>
            <w:tcMar>
              <w:top w:w="15" w:type="dxa"/>
              <w:left w:w="108" w:type="dxa"/>
              <w:bottom w:w="0" w:type="dxa"/>
              <w:right w:w="108" w:type="dxa"/>
            </w:tcMar>
          </w:tcPr>
          <w:p w:rsidR="00DF2E7F" w:rsidRPr="00D814DA" w:rsidRDefault="00DF2E7F" w:rsidP="0019337E">
            <w:pPr>
              <w:pStyle w:val="ProductList-Body"/>
              <w:jc w:val="center"/>
              <w:rPr>
                <w:color w:val="000000" w:themeColor="text1"/>
                <w:szCs w:val="18"/>
              </w:rPr>
            </w:pPr>
            <w:r>
              <w:rPr>
                <w:color w:val="000000" w:themeColor="text1"/>
                <w:szCs w:val="18"/>
              </w:rPr>
              <w:t>75</w:t>
            </w:r>
          </w:p>
        </w:tc>
      </w:tr>
    </w:tbl>
    <w:p w:rsidR="00DF2E7F" w:rsidRPr="00483B32" w:rsidRDefault="00DF2E7F" w:rsidP="00DF2E7F">
      <w:pPr>
        <w:pStyle w:val="ProductList-Body"/>
      </w:pPr>
    </w:p>
    <w:tbl>
      <w:tblPr>
        <w:tblW w:w="7475"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5265"/>
        <w:gridCol w:w="2210"/>
      </w:tblGrid>
      <w:tr w:rsidR="00DF2E7F" w:rsidRPr="005B13F2" w:rsidTr="0019337E">
        <w:trPr>
          <w:trHeight w:val="172"/>
          <w:tblHeader/>
        </w:trPr>
        <w:tc>
          <w:tcPr>
            <w:tcW w:w="5265" w:type="dxa"/>
            <w:shd w:val="clear" w:color="auto" w:fill="BF8F00" w:themeFill="accent4" w:themeFillShade="BF"/>
            <w:tcMar>
              <w:top w:w="15" w:type="dxa"/>
              <w:left w:w="108" w:type="dxa"/>
              <w:bottom w:w="0" w:type="dxa"/>
              <w:right w:w="108" w:type="dxa"/>
            </w:tcMar>
          </w:tcPr>
          <w:p w:rsidR="00DF2E7F" w:rsidRPr="005B13F2" w:rsidRDefault="00DF2E7F" w:rsidP="0019337E">
            <w:pPr>
              <w:pStyle w:val="ProductList-Body"/>
              <w:spacing w:before="20" w:after="20"/>
              <w:rPr>
                <w:color w:val="FFFFFF" w:themeColor="background1"/>
                <w:szCs w:val="18"/>
              </w:rPr>
            </w:pPr>
            <w:r>
              <w:rPr>
                <w:color w:val="FFFFFF" w:themeColor="background1"/>
                <w:szCs w:val="18"/>
              </w:rPr>
              <w:t>Body sad CAL se SAM</w:t>
            </w:r>
          </w:p>
        </w:tc>
        <w:tc>
          <w:tcPr>
            <w:tcW w:w="2210" w:type="dxa"/>
            <w:shd w:val="clear" w:color="auto" w:fill="BF8F00" w:themeFill="accent4" w:themeFillShade="BF"/>
            <w:tcMar>
              <w:top w:w="15" w:type="dxa"/>
              <w:left w:w="108" w:type="dxa"/>
              <w:bottom w:w="0" w:type="dxa"/>
              <w:right w:w="108" w:type="dxa"/>
            </w:tcMar>
          </w:tcPr>
          <w:p w:rsidR="00DF2E7F" w:rsidRPr="005B13F2" w:rsidRDefault="00DF2E7F" w:rsidP="0019337E">
            <w:pPr>
              <w:pStyle w:val="ProductList-Body"/>
              <w:spacing w:before="20" w:after="20"/>
              <w:rPr>
                <w:color w:val="FFFFFF" w:themeColor="background1"/>
                <w:szCs w:val="18"/>
              </w:rPr>
            </w:pPr>
            <w:r>
              <w:rPr>
                <w:color w:val="FFFFFF" w:themeColor="background1"/>
                <w:szCs w:val="18"/>
              </w:rPr>
              <w:t xml:space="preserve">Dny služby plánování </w:t>
            </w:r>
          </w:p>
        </w:tc>
      </w:tr>
      <w:tr w:rsidR="00DF2E7F" w:rsidRPr="005B13F2" w:rsidTr="0019337E">
        <w:trPr>
          <w:trHeight w:val="235"/>
        </w:trPr>
        <w:tc>
          <w:tcPr>
            <w:tcW w:w="5265" w:type="dxa"/>
            <w:shd w:val="clear" w:color="auto" w:fill="FFFFFF"/>
            <w:tcMar>
              <w:top w:w="15" w:type="dxa"/>
              <w:left w:w="108" w:type="dxa"/>
              <w:bottom w:w="0" w:type="dxa"/>
              <w:right w:w="108" w:type="dxa"/>
            </w:tcMar>
          </w:tcPr>
          <w:p w:rsidR="00DF2E7F" w:rsidRPr="00C144DF" w:rsidRDefault="00DF2E7F" w:rsidP="0019337E">
            <w:pPr>
              <w:pStyle w:val="ProductList-Body"/>
              <w:rPr>
                <w:rFonts w:cstheme="minorHAnsi"/>
                <w:color w:val="000000" w:themeColor="text1"/>
                <w:szCs w:val="18"/>
              </w:rPr>
            </w:pPr>
            <w:r>
              <w:rPr>
                <w:rFonts w:cstheme="minorHAnsi"/>
                <w:color w:val="000000" w:themeColor="text1"/>
                <w:szCs w:val="18"/>
              </w:rPr>
              <w:t>200</w:t>
            </w:r>
            <w:r>
              <w:rPr>
                <w:color w:val="000000" w:themeColor="text1"/>
                <w:szCs w:val="18"/>
              </w:rPr>
              <w:t xml:space="preserve"> – </w:t>
            </w:r>
            <w:r>
              <w:rPr>
                <w:rFonts w:cstheme="minorHAnsi"/>
                <w:color w:val="000000" w:themeColor="text1"/>
                <w:szCs w:val="18"/>
              </w:rPr>
              <w:t>3999</w:t>
            </w:r>
          </w:p>
        </w:tc>
        <w:tc>
          <w:tcPr>
            <w:tcW w:w="2210" w:type="dxa"/>
            <w:shd w:val="clear" w:color="auto" w:fill="FFFFFF"/>
            <w:tcMar>
              <w:top w:w="15" w:type="dxa"/>
              <w:left w:w="108" w:type="dxa"/>
              <w:bottom w:w="0" w:type="dxa"/>
              <w:right w:w="108" w:type="dxa"/>
            </w:tcMar>
          </w:tcPr>
          <w:p w:rsidR="00DF2E7F" w:rsidRPr="00C144DF" w:rsidRDefault="00DF2E7F" w:rsidP="0019337E">
            <w:pPr>
              <w:pStyle w:val="ProductList-Body"/>
              <w:jc w:val="center"/>
              <w:rPr>
                <w:rFonts w:cstheme="minorHAnsi"/>
                <w:color w:val="000000" w:themeColor="text1"/>
                <w:szCs w:val="18"/>
              </w:rPr>
            </w:pPr>
            <w:r>
              <w:rPr>
                <w:rFonts w:cstheme="minorHAnsi"/>
                <w:color w:val="000000" w:themeColor="text1"/>
                <w:szCs w:val="18"/>
              </w:rPr>
              <w:t>1</w:t>
            </w:r>
          </w:p>
        </w:tc>
      </w:tr>
      <w:tr w:rsidR="00DF2E7F" w:rsidRPr="005B13F2" w:rsidTr="0019337E">
        <w:trPr>
          <w:trHeight w:val="55"/>
        </w:trPr>
        <w:tc>
          <w:tcPr>
            <w:tcW w:w="5265" w:type="dxa"/>
            <w:shd w:val="clear" w:color="auto" w:fill="FFFFFF"/>
            <w:tcMar>
              <w:top w:w="15" w:type="dxa"/>
              <w:left w:w="108" w:type="dxa"/>
              <w:bottom w:w="0" w:type="dxa"/>
              <w:right w:w="108" w:type="dxa"/>
            </w:tcMar>
          </w:tcPr>
          <w:p w:rsidR="00DF2E7F" w:rsidRPr="00C144DF" w:rsidRDefault="00DF2E7F" w:rsidP="0019337E">
            <w:pPr>
              <w:pStyle w:val="ProductList-Body"/>
              <w:rPr>
                <w:rFonts w:cstheme="minorHAnsi"/>
                <w:color w:val="000000" w:themeColor="text1"/>
                <w:szCs w:val="18"/>
              </w:rPr>
            </w:pPr>
            <w:r>
              <w:rPr>
                <w:rFonts w:cstheme="minorHAnsi"/>
                <w:color w:val="000000" w:themeColor="text1"/>
                <w:szCs w:val="18"/>
              </w:rPr>
              <w:t>4000 – 9999</w:t>
            </w:r>
          </w:p>
        </w:tc>
        <w:tc>
          <w:tcPr>
            <w:tcW w:w="2210" w:type="dxa"/>
            <w:shd w:val="clear" w:color="auto" w:fill="FFFFFF"/>
            <w:tcMar>
              <w:top w:w="15" w:type="dxa"/>
              <w:left w:w="108" w:type="dxa"/>
              <w:bottom w:w="0" w:type="dxa"/>
              <w:right w:w="108" w:type="dxa"/>
            </w:tcMar>
          </w:tcPr>
          <w:p w:rsidR="00DF2E7F" w:rsidRPr="00C144DF" w:rsidRDefault="00DF2E7F" w:rsidP="0019337E">
            <w:pPr>
              <w:pStyle w:val="ProductList-Body"/>
              <w:jc w:val="center"/>
              <w:rPr>
                <w:rFonts w:cstheme="minorHAnsi"/>
                <w:color w:val="000000" w:themeColor="text1"/>
                <w:szCs w:val="18"/>
              </w:rPr>
            </w:pPr>
            <w:r>
              <w:rPr>
                <w:rFonts w:cstheme="minorHAnsi"/>
                <w:color w:val="000000" w:themeColor="text1"/>
                <w:szCs w:val="18"/>
              </w:rPr>
              <w:t>3</w:t>
            </w:r>
          </w:p>
        </w:tc>
      </w:tr>
      <w:tr w:rsidR="00DF2E7F" w:rsidRPr="005B13F2" w:rsidTr="0019337E">
        <w:trPr>
          <w:trHeight w:val="45"/>
        </w:trPr>
        <w:tc>
          <w:tcPr>
            <w:tcW w:w="5265" w:type="dxa"/>
            <w:shd w:val="clear" w:color="auto" w:fill="FFFFFF"/>
            <w:tcMar>
              <w:top w:w="15" w:type="dxa"/>
              <w:left w:w="108" w:type="dxa"/>
              <w:bottom w:w="0" w:type="dxa"/>
              <w:right w:w="108" w:type="dxa"/>
            </w:tcMar>
          </w:tcPr>
          <w:p w:rsidR="00DF2E7F" w:rsidRPr="00C144DF" w:rsidRDefault="00DF2E7F" w:rsidP="0019337E">
            <w:pPr>
              <w:pStyle w:val="ProductList-Body"/>
              <w:rPr>
                <w:rFonts w:cstheme="minorHAnsi"/>
                <w:color w:val="000000" w:themeColor="text1"/>
                <w:szCs w:val="18"/>
              </w:rPr>
            </w:pPr>
            <w:r>
              <w:rPr>
                <w:rFonts w:cstheme="minorHAnsi"/>
                <w:color w:val="000000" w:themeColor="text1"/>
                <w:szCs w:val="18"/>
              </w:rPr>
              <w:t>10000 – 99999</w:t>
            </w:r>
          </w:p>
        </w:tc>
        <w:tc>
          <w:tcPr>
            <w:tcW w:w="2210" w:type="dxa"/>
            <w:shd w:val="clear" w:color="auto" w:fill="FFFFFF"/>
            <w:tcMar>
              <w:top w:w="15" w:type="dxa"/>
              <w:left w:w="108" w:type="dxa"/>
              <w:bottom w:w="0" w:type="dxa"/>
              <w:right w:w="108" w:type="dxa"/>
            </w:tcMar>
          </w:tcPr>
          <w:p w:rsidR="00DF2E7F" w:rsidRPr="00C144DF" w:rsidRDefault="00DF2E7F" w:rsidP="0019337E">
            <w:pPr>
              <w:pStyle w:val="ProductList-Body"/>
              <w:jc w:val="center"/>
              <w:rPr>
                <w:rFonts w:cstheme="minorHAnsi"/>
                <w:color w:val="000000" w:themeColor="text1"/>
                <w:szCs w:val="18"/>
              </w:rPr>
            </w:pPr>
            <w:r>
              <w:rPr>
                <w:rFonts w:cstheme="minorHAnsi"/>
                <w:color w:val="000000" w:themeColor="text1"/>
                <w:szCs w:val="18"/>
              </w:rPr>
              <w:t>5</w:t>
            </w:r>
          </w:p>
        </w:tc>
      </w:tr>
      <w:tr w:rsidR="00DF2E7F" w:rsidRPr="005B13F2" w:rsidTr="0019337E">
        <w:trPr>
          <w:trHeight w:val="45"/>
        </w:trPr>
        <w:tc>
          <w:tcPr>
            <w:tcW w:w="5265" w:type="dxa"/>
            <w:shd w:val="clear" w:color="auto" w:fill="FFFFFF"/>
            <w:tcMar>
              <w:top w:w="15" w:type="dxa"/>
              <w:left w:w="108" w:type="dxa"/>
              <w:bottom w:w="0" w:type="dxa"/>
              <w:right w:w="108" w:type="dxa"/>
            </w:tcMar>
          </w:tcPr>
          <w:p w:rsidR="00DF2E7F" w:rsidRPr="00C144DF" w:rsidRDefault="00DF2E7F" w:rsidP="0019337E">
            <w:pPr>
              <w:pStyle w:val="ProductList-Body"/>
              <w:rPr>
                <w:rFonts w:cstheme="minorHAnsi"/>
                <w:color w:val="000000" w:themeColor="text1"/>
                <w:szCs w:val="18"/>
              </w:rPr>
            </w:pPr>
            <w:r>
              <w:rPr>
                <w:rFonts w:cstheme="minorHAnsi"/>
                <w:color w:val="000000" w:themeColor="text1"/>
                <w:szCs w:val="18"/>
              </w:rPr>
              <w:t>100000 – 299999</w:t>
            </w:r>
          </w:p>
        </w:tc>
        <w:tc>
          <w:tcPr>
            <w:tcW w:w="2210" w:type="dxa"/>
            <w:shd w:val="clear" w:color="auto" w:fill="FFFFFF"/>
            <w:tcMar>
              <w:top w:w="15" w:type="dxa"/>
              <w:left w:w="108" w:type="dxa"/>
              <w:bottom w:w="0" w:type="dxa"/>
              <w:right w:w="108" w:type="dxa"/>
            </w:tcMar>
          </w:tcPr>
          <w:p w:rsidR="00DF2E7F" w:rsidRPr="00C144DF" w:rsidRDefault="00DF2E7F" w:rsidP="0019337E">
            <w:pPr>
              <w:pStyle w:val="ProductList-Body"/>
              <w:jc w:val="center"/>
              <w:rPr>
                <w:rFonts w:cstheme="minorHAnsi"/>
                <w:color w:val="000000" w:themeColor="text1"/>
                <w:szCs w:val="18"/>
              </w:rPr>
            </w:pPr>
            <w:r>
              <w:rPr>
                <w:rFonts w:cstheme="minorHAnsi"/>
                <w:color w:val="000000" w:themeColor="text1"/>
                <w:szCs w:val="18"/>
              </w:rPr>
              <w:t>7</w:t>
            </w:r>
          </w:p>
        </w:tc>
      </w:tr>
      <w:tr w:rsidR="00DF2E7F" w:rsidRPr="005B13F2" w:rsidTr="0019337E">
        <w:trPr>
          <w:trHeight w:val="36"/>
        </w:trPr>
        <w:tc>
          <w:tcPr>
            <w:tcW w:w="5265" w:type="dxa"/>
            <w:shd w:val="clear" w:color="auto" w:fill="FFFFFF"/>
            <w:tcMar>
              <w:top w:w="15" w:type="dxa"/>
              <w:left w:w="108" w:type="dxa"/>
              <w:bottom w:w="0" w:type="dxa"/>
              <w:right w:w="108" w:type="dxa"/>
            </w:tcMar>
          </w:tcPr>
          <w:p w:rsidR="00DF2E7F" w:rsidRPr="00C144DF" w:rsidRDefault="00DF2E7F" w:rsidP="0019337E">
            <w:pPr>
              <w:pStyle w:val="ProductList-Body"/>
              <w:rPr>
                <w:rFonts w:cstheme="minorHAnsi"/>
                <w:color w:val="000000" w:themeColor="text1"/>
                <w:szCs w:val="18"/>
              </w:rPr>
            </w:pPr>
            <w:r>
              <w:rPr>
                <w:rFonts w:cstheme="minorHAnsi"/>
                <w:color w:val="000000" w:themeColor="text1"/>
                <w:szCs w:val="18"/>
              </w:rPr>
              <w:t>300000 – 599999</w:t>
            </w:r>
          </w:p>
        </w:tc>
        <w:tc>
          <w:tcPr>
            <w:tcW w:w="2210" w:type="dxa"/>
            <w:shd w:val="clear" w:color="auto" w:fill="FFFFFF"/>
            <w:tcMar>
              <w:top w:w="15" w:type="dxa"/>
              <w:left w:w="108" w:type="dxa"/>
              <w:bottom w:w="0" w:type="dxa"/>
              <w:right w:w="108" w:type="dxa"/>
            </w:tcMar>
          </w:tcPr>
          <w:p w:rsidR="00DF2E7F" w:rsidRPr="00C144DF" w:rsidRDefault="00DF2E7F" w:rsidP="0019337E">
            <w:pPr>
              <w:pStyle w:val="ProductList-Body"/>
              <w:jc w:val="center"/>
              <w:rPr>
                <w:rFonts w:cstheme="minorHAnsi"/>
                <w:color w:val="000000" w:themeColor="text1"/>
                <w:szCs w:val="18"/>
              </w:rPr>
            </w:pPr>
            <w:r>
              <w:rPr>
                <w:rFonts w:cstheme="minorHAnsi"/>
                <w:color w:val="000000" w:themeColor="text1"/>
                <w:szCs w:val="18"/>
              </w:rPr>
              <w:t>10</w:t>
            </w:r>
          </w:p>
        </w:tc>
      </w:tr>
      <w:tr w:rsidR="00DF2E7F" w:rsidRPr="005B13F2" w:rsidTr="0019337E">
        <w:trPr>
          <w:trHeight w:val="45"/>
        </w:trPr>
        <w:tc>
          <w:tcPr>
            <w:tcW w:w="5265" w:type="dxa"/>
            <w:shd w:val="clear" w:color="auto" w:fill="FFFFFF"/>
            <w:tcMar>
              <w:top w:w="15" w:type="dxa"/>
              <w:left w:w="108" w:type="dxa"/>
              <w:bottom w:w="0" w:type="dxa"/>
              <w:right w:w="108" w:type="dxa"/>
            </w:tcMar>
          </w:tcPr>
          <w:p w:rsidR="00DF2E7F" w:rsidRPr="00C144DF" w:rsidRDefault="00DF2E7F" w:rsidP="0019337E">
            <w:pPr>
              <w:pStyle w:val="ProductList-Body"/>
              <w:rPr>
                <w:rFonts w:cstheme="minorHAnsi"/>
                <w:color w:val="000000" w:themeColor="text1"/>
                <w:szCs w:val="18"/>
              </w:rPr>
            </w:pPr>
            <w:r>
              <w:rPr>
                <w:rFonts w:cstheme="minorHAnsi"/>
                <w:color w:val="000000" w:themeColor="text1"/>
                <w:szCs w:val="18"/>
              </w:rPr>
              <w:t>600000 +</w:t>
            </w:r>
          </w:p>
        </w:tc>
        <w:tc>
          <w:tcPr>
            <w:tcW w:w="2210" w:type="dxa"/>
            <w:shd w:val="clear" w:color="auto" w:fill="FFFFFF"/>
            <w:tcMar>
              <w:top w:w="15" w:type="dxa"/>
              <w:left w:w="108" w:type="dxa"/>
              <w:bottom w:w="0" w:type="dxa"/>
              <w:right w:w="108" w:type="dxa"/>
            </w:tcMar>
          </w:tcPr>
          <w:p w:rsidR="00DF2E7F" w:rsidRPr="00C144DF" w:rsidRDefault="00DF2E7F" w:rsidP="0019337E">
            <w:pPr>
              <w:pStyle w:val="ProductList-Body"/>
              <w:jc w:val="center"/>
              <w:rPr>
                <w:rFonts w:cstheme="minorHAnsi"/>
                <w:color w:val="000000" w:themeColor="text1"/>
                <w:szCs w:val="18"/>
              </w:rPr>
            </w:pPr>
            <w:r>
              <w:rPr>
                <w:rFonts w:cstheme="minorHAnsi"/>
                <w:color w:val="000000" w:themeColor="text1"/>
                <w:szCs w:val="18"/>
              </w:rPr>
              <w:t>12</w:t>
            </w:r>
          </w:p>
        </w:tc>
      </w:tr>
    </w:tbl>
    <w:p w:rsidR="00DF2E7F" w:rsidRPr="00483B32" w:rsidRDefault="00DF2E7F" w:rsidP="00DF2E7F">
      <w:pPr>
        <w:pStyle w:val="Thirdheading"/>
        <w:rPr>
          <w:rFonts w:eastAsiaTheme="majorEastAsia"/>
        </w:rPr>
      </w:pPr>
      <w:r>
        <w:rPr>
          <w:rFonts w:eastAsiaTheme="majorEastAsia" w:cstheme="majorBidi"/>
          <w:b/>
          <w:bCs/>
          <w:color w:val="FFC000" w:themeColor="accent4"/>
          <w:sz w:val="18"/>
          <w:szCs w:val="18"/>
        </w:rPr>
        <w:t>Využití dní služeb plánování</w:t>
      </w:r>
    </w:p>
    <w:p w:rsidR="00DF2E7F" w:rsidRPr="00483B32" w:rsidRDefault="00DF2E7F" w:rsidP="00DF2E7F">
      <w:pPr>
        <w:pStyle w:val="ListParagraph"/>
        <w:numPr>
          <w:ilvl w:val="0"/>
          <w:numId w:val="16"/>
        </w:numPr>
      </w:pPr>
      <w:r>
        <w:rPr>
          <w:rFonts w:eastAsia="Times New Roman" w:cs="Times New Roman"/>
          <w:color w:val="505050"/>
          <w:szCs w:val="20"/>
        </w:rPr>
        <w:lastRenderedPageBreak/>
        <w:t>Seznam partnerů služby plánování společnosti Microsoft naleznete na této adrese:</w:t>
      </w:r>
      <w:r>
        <w:rPr>
          <w:color w:val="505050"/>
          <w:szCs w:val="20"/>
        </w:rPr>
        <w:t xml:space="preserve"> </w:t>
      </w:r>
      <w:hyperlink r:id="rId21" w:history="1">
        <w:r>
          <w:rPr>
            <w:rStyle w:val="Hyperlink"/>
            <w:rFonts w:eastAsia="Times New Roman" w:cs="Times New Roman"/>
            <w:szCs w:val="20"/>
          </w:rPr>
          <w:t>http://directory.partners.extranet.microsoft.com/psbproviders</w:t>
        </w:r>
      </w:hyperlink>
      <w:r>
        <w:rPr>
          <w:rFonts w:eastAsia="Times New Roman" w:cs="Times New Roman"/>
          <w:color w:val="505050"/>
          <w:szCs w:val="20"/>
        </w:rPr>
        <w:t xml:space="preserve"> </w:t>
      </w:r>
    </w:p>
    <w:p w:rsidR="00DF2E7F" w:rsidRPr="00483B32" w:rsidRDefault="00DF2E7F" w:rsidP="00DF2E7F">
      <w:pPr>
        <w:pStyle w:val="BodyText"/>
        <w:numPr>
          <w:ilvl w:val="0"/>
          <w:numId w:val="16"/>
        </w:numPr>
        <w:spacing w:after="0"/>
      </w:pPr>
      <w:r>
        <w:t xml:space="preserve">Služby plánování mohou být poskytnuty kvalifikovanými partnery společnosti Microsoft nebo v rámci konzultačních služeb Microsoft. Platí místní podmínky užívání stanovené partnerem služeb plánování společnosti Microsoft. Služby poskytované v rámci poukázek jsou poskytovány na základě smlouvy mezi vámi a partnerem služeb plánování; společnost Microsoft nenese odpovědnost za žádnou práci ani selhání kvalifikovaného partnera služeb plánování v souvislosti se službami. </w:t>
      </w:r>
    </w:p>
    <w:p w:rsidR="00DF2E7F" w:rsidRPr="00483B32" w:rsidRDefault="00DF2E7F" w:rsidP="00DF2E7F">
      <w:pPr>
        <w:pStyle w:val="BodyText"/>
        <w:numPr>
          <w:ilvl w:val="0"/>
          <w:numId w:val="16"/>
        </w:numPr>
        <w:spacing w:after="0"/>
      </w:pPr>
      <w:r>
        <w:t>Závazky služeb plánování zahrnují konzultace, které pokrývají předem určený rozsah práce a jsou základem profesionálního plánu nasazení; skutečné nasazení softwaru zahrnuto být nemůže.</w:t>
      </w:r>
    </w:p>
    <w:p w:rsidR="00DF2E7F" w:rsidRPr="00483B32" w:rsidRDefault="00DF2E7F" w:rsidP="00DF2E7F">
      <w:pPr>
        <w:pStyle w:val="BodyText"/>
        <w:numPr>
          <w:ilvl w:val="0"/>
          <w:numId w:val="16"/>
        </w:numPr>
        <w:spacing w:after="0"/>
      </w:pPr>
      <w:r>
        <w:t>Poukázky pro služby plánování může využít pouze zákazník, který je oprávněn výhodu využívat.</w:t>
      </w:r>
    </w:p>
    <w:p w:rsidR="00DF2E7F" w:rsidRPr="00483B32" w:rsidRDefault="00DF2E7F" w:rsidP="00DF2E7F">
      <w:pPr>
        <w:pStyle w:val="BodyText"/>
        <w:numPr>
          <w:ilvl w:val="0"/>
          <w:numId w:val="16"/>
        </w:numPr>
        <w:spacing w:after="0"/>
      </w:pPr>
      <w:r>
        <w:t>Poukázky pro služby plánování nelze vyměnit za hotovost, peněžní prostředky ani jiné cenné položky.</w:t>
      </w:r>
    </w:p>
    <w:p w:rsidR="00DF2E7F" w:rsidRPr="00483B32" w:rsidRDefault="00DF2E7F" w:rsidP="00DF2E7F">
      <w:pPr>
        <w:pStyle w:val="BodyText"/>
        <w:numPr>
          <w:ilvl w:val="0"/>
          <w:numId w:val="16"/>
        </w:numPr>
        <w:spacing w:after="0"/>
      </w:pPr>
      <w:r>
        <w:t>Můžete si zakoupit dodatečné služby nad rámec rozsahu práce (definovaný typem poukázky a úrovní služby) od partnera služeb plánování mimo tento program.</w:t>
      </w:r>
    </w:p>
    <w:p w:rsidR="00DF2E7F" w:rsidRPr="00483B32" w:rsidRDefault="00DF2E7F" w:rsidP="00DF2E7F">
      <w:pPr>
        <w:pStyle w:val="BodyText"/>
        <w:numPr>
          <w:ilvl w:val="0"/>
          <w:numId w:val="16"/>
        </w:numPr>
        <w:spacing w:after="0"/>
      </w:pPr>
      <w:r>
        <w:t>Snížení kvalifikujícího krytí SA v důsledku vrácení nebo jiných změn fakturace, je-li povoleno, může snížit počet dní nároku na vaše služby plánování.</w:t>
      </w:r>
    </w:p>
    <w:p w:rsidR="00DF2E7F" w:rsidRPr="00483B32" w:rsidRDefault="00DF2E7F" w:rsidP="00DF2E7F">
      <w:pPr>
        <w:pStyle w:val="BodyText"/>
        <w:numPr>
          <w:ilvl w:val="0"/>
          <w:numId w:val="16"/>
        </w:numPr>
        <w:spacing w:after="0"/>
      </w:pPr>
      <w:r>
        <w:t>Poukázky nelze hromadit ani kombinovat. Společnost by měla poskytovat jednu poukázku pro jeden závazek a dostupný počet dní.</w:t>
      </w:r>
    </w:p>
    <w:p w:rsidR="00DF2E7F" w:rsidRPr="00483B32" w:rsidRDefault="00DF2E7F" w:rsidP="00DF2E7F">
      <w:pPr>
        <w:pStyle w:val="BodyText"/>
        <w:numPr>
          <w:ilvl w:val="0"/>
          <w:numId w:val="16"/>
        </w:numPr>
        <w:spacing w:after="0"/>
      </w:pPr>
      <w:r>
        <w:t>Poukázky jsou platné pouze u partnera služeb plánování pro konkrétní typ služby, pro kterou je poukázka využívána. Poukázku lze využít u jakéhokoli partnera služeb plánování po celém světě. Účast se může lišit. Partner služeb plánování může službu zrušit v souladu s místními zásadami.</w:t>
      </w:r>
    </w:p>
    <w:p w:rsidR="00DF2E7F" w:rsidRPr="00483B32" w:rsidRDefault="00DF2E7F" w:rsidP="00DF2E7F">
      <w:pPr>
        <w:pStyle w:val="BodyText"/>
        <w:numPr>
          <w:ilvl w:val="0"/>
          <w:numId w:val="16"/>
        </w:numPr>
        <w:spacing w:after="0"/>
      </w:pPr>
      <w:r>
        <w:t>Poukázky je nutné přiřadit během období krytí SA.</w:t>
      </w:r>
    </w:p>
    <w:p w:rsidR="00DF2E7F" w:rsidRPr="00483B32" w:rsidRDefault="00DF2E7F" w:rsidP="00DF2E7F">
      <w:pPr>
        <w:pStyle w:val="BodyText"/>
        <w:numPr>
          <w:ilvl w:val="0"/>
          <w:numId w:val="16"/>
        </w:numPr>
        <w:spacing w:after="0"/>
      </w:pPr>
      <w:r>
        <w:t xml:space="preserve">Platnost poukázek vyprší 180 dní od data přidělení poukázky, a to nezávisle na uplynutí doby účinnosti krytí SA. Před vypršením poukázky musejí být dodány všechny služby (poukázka musí být využita). Poukázky, které vyprší před uplynutím doby účinnosti krytí SA, budou znovu zařazeny do dostupného počtu dní služeb plánování. </w:t>
      </w:r>
    </w:p>
    <w:p w:rsidR="00DF2E7F" w:rsidRPr="00483B32" w:rsidRDefault="00DF2E7F" w:rsidP="00DF2E7F">
      <w:pPr>
        <w:pStyle w:val="BodyText"/>
        <w:numPr>
          <w:ilvl w:val="0"/>
          <w:numId w:val="16"/>
        </w:numPr>
        <w:spacing w:after="0"/>
      </w:pPr>
      <w:r>
        <w:t xml:space="preserve">Přijetím závazku služeb plánování uznáváte, že po ukončení závazku obdržíte průzkum, který bude použit pro účely zajištění kvality. </w:t>
      </w:r>
    </w:p>
    <w:p w:rsidR="00DF2E7F" w:rsidRPr="00483B32" w:rsidRDefault="00DF2E7F" w:rsidP="00DF2E7F">
      <w:pPr>
        <w:pStyle w:val="BodyText"/>
        <w:numPr>
          <w:ilvl w:val="0"/>
          <w:numId w:val="16"/>
        </w:numPr>
        <w:spacing w:after="0"/>
      </w:pPr>
      <w:r>
        <w:t>V tabulkách výše jsou uvedeny dny služeb plánování dostupné na základě plného tříletého nákupu v rámci nákupní jednotky. Pokud je krytí SA sjednáno na méně než tři roky, počet služeb plánování, na které máte nárok, bude příslušným způsobem poměrně upraven.</w:t>
      </w:r>
    </w:p>
    <w:p w:rsidR="00DF2E7F" w:rsidRPr="00483B32" w:rsidRDefault="00DF2E7F" w:rsidP="00DF2E7F">
      <w:pPr>
        <w:pStyle w:val="ProductList-Body"/>
      </w:pPr>
    </w:p>
    <w:p w:rsidR="00DF2E7F" w:rsidRPr="00483B32" w:rsidRDefault="00DF2E7F" w:rsidP="00DF2E7F">
      <w:pPr>
        <w:pStyle w:val="ProductList-Body"/>
      </w:pPr>
      <w:r>
        <w:rPr>
          <w:rFonts w:ascii="Segoe UI" w:hAnsi="Segoe UI"/>
          <w:color w:val="000000" w:themeColor="text1"/>
          <w:szCs w:val="18"/>
        </w:rPr>
        <w:t>Dokončené předměty plnění předané partnerem služeb plánování na konci závazku společnosti Microsoft mohou být společností Microsoft použity pro účely kontroly kvality a mohou být sdíleny s vaším týmem společnosti Microsoft pro účet.</w:t>
      </w:r>
    </w:p>
    <w:p w:rsidR="00DF2E7F" w:rsidRPr="00483B32" w:rsidRDefault="00DF2E7F" w:rsidP="00DF2E7F">
      <w:pPr>
        <w:pStyle w:val="Heading2"/>
      </w:pPr>
      <w:bookmarkStart w:id="39" w:name="_Enhanced_Edition_Benefits"/>
      <w:bookmarkStart w:id="40" w:name="_Toc403380304"/>
      <w:bookmarkStart w:id="41" w:name="_Toc403985022"/>
      <w:bookmarkStart w:id="42" w:name="_Toc428180921"/>
      <w:bookmarkStart w:id="43" w:name="_Toc394601024"/>
      <w:bookmarkEnd w:id="39"/>
      <w:r>
        <w:t>Poukázky na školení</w:t>
      </w:r>
      <w:bookmarkEnd w:id="40"/>
      <w:bookmarkEnd w:id="41"/>
      <w:bookmarkEnd w:id="42"/>
    </w:p>
    <w:p w:rsidR="00DF2E7F" w:rsidRPr="00483B32" w:rsidRDefault="00DF2E7F" w:rsidP="00DF2E7F">
      <w:pPr>
        <w:pStyle w:val="ProductList-Body"/>
      </w:pPr>
      <w:r>
        <w:rPr>
          <w:color w:val="000000" w:themeColor="text1"/>
        </w:rPr>
        <w:t>Pokud jste si zvolili členství v Software Assurance ve skupinách Aplikace nebo Systémy, máte nárok na poukázky na školení společnosti Microsoft. Na základě těchto poukázek můžete obdržet od partnera společnosti Microsoft s kompetencemi pro vzdělávání (partner společnosti Microsoft pro vzdělávání) kurzy pro konkrétní počet dní kurzu.</w:t>
      </w:r>
    </w:p>
    <w:p w:rsidR="00DF2E7F" w:rsidRPr="00483B32" w:rsidRDefault="00DF2E7F" w:rsidP="00DF2E7F">
      <w:pPr>
        <w:pStyle w:val="ProductList-Body"/>
        <w:spacing w:before="120" w:after="120"/>
      </w:pPr>
      <w:r>
        <w:rPr>
          <w:color w:val="000000" w:themeColor="text1"/>
          <w:szCs w:val="18"/>
        </w:rPr>
        <w:t>Počet dní poukázky na školení, na které máte nárok, je založen na všech vypočtených bodech získaných</w:t>
      </w:r>
      <w:r>
        <w:rPr>
          <w:rFonts w:ascii="Segoe UI" w:hAnsi="Segoe UI"/>
          <w:color w:val="000000" w:themeColor="text1"/>
          <w:szCs w:val="18"/>
        </w:rPr>
        <w:t xml:space="preserve"> prostřednictvím vaší nákupní jednotky,</w:t>
      </w:r>
      <w:r>
        <w:rPr>
          <w:color w:val="000000" w:themeColor="text1"/>
          <w:szCs w:val="18"/>
        </w:rPr>
        <w:t xml:space="preserve"> viz níže </w:t>
      </w:r>
      <w:r>
        <w:rPr>
          <w:rFonts w:ascii="Segoe UI" w:hAnsi="Segoe UI"/>
          <w:color w:val="000000" w:themeColor="text1"/>
          <w:szCs w:val="18"/>
        </w:rPr>
        <w:t>(viz část Výpočet bodů výhod Software Assurance pro smlouvu MPSA tohoto dokumentu, kde naleznete podrobnosti o způsobu výpočtu bodů výhod SA)</w:t>
      </w:r>
      <w:r>
        <w:rPr>
          <w:color w:val="000000" w:themeColor="text1"/>
          <w:szCs w:val="18"/>
        </w:rPr>
        <w:t>:</w:t>
      </w:r>
    </w:p>
    <w:tbl>
      <w:tblPr>
        <w:tblStyle w:val="TableGrid"/>
        <w:tblW w:w="0" w:type="auto"/>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198"/>
        <w:gridCol w:w="2212"/>
        <w:gridCol w:w="2060"/>
      </w:tblGrid>
      <w:tr w:rsidR="00DF2E7F" w:rsidRPr="005B13F2" w:rsidTr="0019337E">
        <w:trPr>
          <w:tblHeader/>
        </w:trPr>
        <w:tc>
          <w:tcPr>
            <w:tcW w:w="3198" w:type="dxa"/>
            <w:shd w:val="clear" w:color="auto" w:fill="BF8F00" w:themeFill="accent4" w:themeFillShade="BF"/>
            <w:vAlign w:val="center"/>
          </w:tcPr>
          <w:p w:rsidR="00DF2E7F" w:rsidRPr="005B13F2" w:rsidRDefault="00DF2E7F" w:rsidP="0019337E">
            <w:pPr>
              <w:pStyle w:val="ProductList-Body"/>
              <w:spacing w:before="20" w:after="20"/>
              <w:rPr>
                <w:color w:val="FFFFFF" w:themeColor="background1"/>
                <w:szCs w:val="18"/>
              </w:rPr>
            </w:pPr>
            <w:r>
              <w:rPr>
                <w:color w:val="FFFFFF" w:themeColor="background1"/>
                <w:szCs w:val="18"/>
              </w:rPr>
              <w:t>Body se SAM</w:t>
            </w:r>
          </w:p>
        </w:tc>
        <w:tc>
          <w:tcPr>
            <w:tcW w:w="2212" w:type="dxa"/>
            <w:shd w:val="clear" w:color="auto" w:fill="BF8F00" w:themeFill="accent4" w:themeFillShade="BF"/>
            <w:vAlign w:val="center"/>
          </w:tcPr>
          <w:p w:rsidR="00DF2E7F" w:rsidRPr="005B13F2" w:rsidRDefault="00DF2E7F" w:rsidP="0019337E">
            <w:pPr>
              <w:pStyle w:val="ProductList-Body"/>
              <w:spacing w:before="20" w:after="20"/>
              <w:jc w:val="center"/>
              <w:rPr>
                <w:color w:val="FFFFFF" w:themeColor="background1"/>
                <w:szCs w:val="18"/>
              </w:rPr>
            </w:pPr>
            <w:r>
              <w:rPr>
                <w:color w:val="FFFFFF" w:themeColor="background1"/>
                <w:szCs w:val="18"/>
              </w:rPr>
              <w:t>Dny poukázky</w:t>
            </w:r>
            <w:r>
              <w:rPr>
                <w:i/>
                <w:color w:val="FFFFFF" w:themeColor="background1"/>
                <w:szCs w:val="18"/>
              </w:rPr>
              <w:t xml:space="preserve"> </w:t>
            </w:r>
            <w:r>
              <w:rPr>
                <w:color w:val="FFFFFF" w:themeColor="background1"/>
                <w:szCs w:val="18"/>
              </w:rPr>
              <w:t>produktů skupiny Aplikace</w:t>
            </w:r>
          </w:p>
        </w:tc>
        <w:tc>
          <w:tcPr>
            <w:tcW w:w="2060" w:type="dxa"/>
            <w:shd w:val="clear" w:color="auto" w:fill="BF8F00" w:themeFill="accent4" w:themeFillShade="BF"/>
            <w:vAlign w:val="center"/>
          </w:tcPr>
          <w:p w:rsidR="00DF2E7F" w:rsidRPr="005B13F2" w:rsidRDefault="00DF2E7F" w:rsidP="0019337E">
            <w:pPr>
              <w:pStyle w:val="ProductList-Body"/>
              <w:spacing w:before="20" w:after="20"/>
              <w:jc w:val="center"/>
              <w:rPr>
                <w:color w:val="FFFFFF" w:themeColor="background1"/>
                <w:szCs w:val="18"/>
              </w:rPr>
            </w:pPr>
            <w:r>
              <w:rPr>
                <w:color w:val="FFFFFF" w:themeColor="background1"/>
                <w:szCs w:val="18"/>
              </w:rPr>
              <w:t>Dny poukázky produktů skupiny Systémy</w:t>
            </w:r>
          </w:p>
        </w:tc>
      </w:tr>
      <w:tr w:rsidR="00DF2E7F" w:rsidRPr="005B13F2" w:rsidTr="0019337E">
        <w:tc>
          <w:tcPr>
            <w:tcW w:w="3198" w:type="dxa"/>
            <w:vAlign w:val="center"/>
          </w:tcPr>
          <w:p w:rsidR="00DF2E7F" w:rsidRPr="002123CF" w:rsidRDefault="00DF2E7F" w:rsidP="0019337E">
            <w:pPr>
              <w:pStyle w:val="ProductList-Body"/>
              <w:rPr>
                <w:rFonts w:ascii="Segoe UI" w:hAnsi="Segoe UI"/>
                <w:color w:val="000000" w:themeColor="text1"/>
                <w:szCs w:val="18"/>
              </w:rPr>
            </w:pPr>
            <w:r>
              <w:rPr>
                <w:rFonts w:ascii="Segoe UI" w:hAnsi="Segoe UI"/>
                <w:color w:val="000000" w:themeColor="text1"/>
                <w:szCs w:val="18"/>
              </w:rPr>
              <w:t>50 – 99</w:t>
            </w:r>
          </w:p>
        </w:tc>
        <w:tc>
          <w:tcPr>
            <w:tcW w:w="2212" w:type="dxa"/>
            <w:vAlign w:val="center"/>
          </w:tcPr>
          <w:p w:rsidR="00DF2E7F" w:rsidRPr="002123CF" w:rsidRDefault="00DF2E7F" w:rsidP="0019337E">
            <w:pPr>
              <w:pStyle w:val="ProductList-Body"/>
              <w:jc w:val="center"/>
              <w:rPr>
                <w:rFonts w:ascii="Segoe UI" w:hAnsi="Segoe UI"/>
                <w:color w:val="000000" w:themeColor="text1"/>
                <w:szCs w:val="18"/>
              </w:rPr>
            </w:pPr>
            <w:r>
              <w:rPr>
                <w:rFonts w:ascii="Segoe UI" w:hAnsi="Segoe UI"/>
                <w:color w:val="000000" w:themeColor="text1"/>
                <w:szCs w:val="18"/>
              </w:rPr>
              <w:t>2</w:t>
            </w:r>
          </w:p>
        </w:tc>
        <w:tc>
          <w:tcPr>
            <w:tcW w:w="2060" w:type="dxa"/>
            <w:vAlign w:val="center"/>
          </w:tcPr>
          <w:p w:rsidR="00DF2E7F" w:rsidRPr="002123CF" w:rsidRDefault="00DF2E7F" w:rsidP="0019337E">
            <w:pPr>
              <w:pStyle w:val="ProductList-Body"/>
              <w:jc w:val="center"/>
              <w:rPr>
                <w:rFonts w:ascii="Segoe UI" w:hAnsi="Segoe UI"/>
                <w:color w:val="000000" w:themeColor="text1"/>
                <w:szCs w:val="18"/>
              </w:rPr>
            </w:pPr>
            <w:r>
              <w:rPr>
                <w:rFonts w:ascii="Segoe UI" w:hAnsi="Segoe UI"/>
                <w:color w:val="000000" w:themeColor="text1"/>
                <w:szCs w:val="18"/>
              </w:rPr>
              <w:t>1</w:t>
            </w:r>
          </w:p>
        </w:tc>
      </w:tr>
      <w:tr w:rsidR="00DF2E7F" w:rsidRPr="005B13F2" w:rsidTr="0019337E">
        <w:trPr>
          <w:trHeight w:val="70"/>
        </w:trPr>
        <w:tc>
          <w:tcPr>
            <w:tcW w:w="3198" w:type="dxa"/>
            <w:vAlign w:val="center"/>
          </w:tcPr>
          <w:p w:rsidR="00DF2E7F" w:rsidRPr="002123CF" w:rsidRDefault="00DF2E7F" w:rsidP="0019337E">
            <w:pPr>
              <w:pStyle w:val="ProductList-Body"/>
              <w:rPr>
                <w:rFonts w:ascii="Segoe UI" w:hAnsi="Segoe UI"/>
                <w:color w:val="000000" w:themeColor="text1"/>
                <w:szCs w:val="18"/>
              </w:rPr>
            </w:pPr>
            <w:r>
              <w:rPr>
                <w:rFonts w:ascii="Segoe UI" w:hAnsi="Segoe UI"/>
                <w:color w:val="000000" w:themeColor="text1"/>
                <w:szCs w:val="18"/>
              </w:rPr>
              <w:t>100 – 149</w:t>
            </w:r>
          </w:p>
        </w:tc>
        <w:tc>
          <w:tcPr>
            <w:tcW w:w="2212" w:type="dxa"/>
            <w:vAlign w:val="center"/>
          </w:tcPr>
          <w:p w:rsidR="00DF2E7F" w:rsidRPr="002123CF" w:rsidRDefault="00DF2E7F" w:rsidP="0019337E">
            <w:pPr>
              <w:pStyle w:val="ProductList-Body"/>
              <w:jc w:val="center"/>
              <w:rPr>
                <w:rFonts w:ascii="Segoe UI" w:hAnsi="Segoe UI"/>
                <w:color w:val="000000" w:themeColor="text1"/>
                <w:szCs w:val="18"/>
              </w:rPr>
            </w:pPr>
            <w:r>
              <w:rPr>
                <w:rFonts w:ascii="Segoe UI" w:hAnsi="Segoe UI"/>
                <w:color w:val="000000" w:themeColor="text1"/>
                <w:szCs w:val="18"/>
              </w:rPr>
              <w:t>4</w:t>
            </w:r>
          </w:p>
        </w:tc>
        <w:tc>
          <w:tcPr>
            <w:tcW w:w="2060" w:type="dxa"/>
            <w:vAlign w:val="center"/>
          </w:tcPr>
          <w:p w:rsidR="00DF2E7F" w:rsidRPr="002123CF" w:rsidRDefault="00DF2E7F" w:rsidP="0019337E">
            <w:pPr>
              <w:pStyle w:val="ProductList-Body"/>
              <w:jc w:val="center"/>
              <w:rPr>
                <w:rFonts w:ascii="Segoe UI" w:hAnsi="Segoe UI"/>
                <w:color w:val="000000" w:themeColor="text1"/>
                <w:szCs w:val="18"/>
              </w:rPr>
            </w:pPr>
            <w:r>
              <w:rPr>
                <w:rFonts w:ascii="Segoe UI" w:hAnsi="Segoe UI"/>
                <w:color w:val="000000" w:themeColor="text1"/>
                <w:szCs w:val="18"/>
              </w:rPr>
              <w:t>2</w:t>
            </w:r>
          </w:p>
        </w:tc>
      </w:tr>
      <w:tr w:rsidR="00DF2E7F" w:rsidRPr="005B13F2" w:rsidTr="0019337E">
        <w:tc>
          <w:tcPr>
            <w:tcW w:w="3198" w:type="dxa"/>
            <w:vAlign w:val="center"/>
          </w:tcPr>
          <w:p w:rsidR="00DF2E7F" w:rsidRPr="002123CF" w:rsidRDefault="00DF2E7F" w:rsidP="0019337E">
            <w:pPr>
              <w:pStyle w:val="ProductList-Body"/>
              <w:rPr>
                <w:rFonts w:ascii="Segoe UI" w:hAnsi="Segoe UI"/>
                <w:color w:val="000000" w:themeColor="text1"/>
                <w:szCs w:val="18"/>
              </w:rPr>
            </w:pPr>
            <w:r>
              <w:rPr>
                <w:rFonts w:ascii="Segoe UI" w:hAnsi="Segoe UI"/>
                <w:color w:val="000000" w:themeColor="text1"/>
                <w:szCs w:val="18"/>
              </w:rPr>
              <w:t>150 – 199</w:t>
            </w:r>
          </w:p>
        </w:tc>
        <w:tc>
          <w:tcPr>
            <w:tcW w:w="2212" w:type="dxa"/>
            <w:vAlign w:val="center"/>
          </w:tcPr>
          <w:p w:rsidR="00DF2E7F" w:rsidRPr="002123CF" w:rsidRDefault="00DF2E7F" w:rsidP="0019337E">
            <w:pPr>
              <w:pStyle w:val="ProductList-Body"/>
              <w:jc w:val="center"/>
              <w:rPr>
                <w:rFonts w:ascii="Segoe UI" w:hAnsi="Segoe UI"/>
                <w:color w:val="000000" w:themeColor="text1"/>
                <w:szCs w:val="18"/>
              </w:rPr>
            </w:pPr>
            <w:r>
              <w:rPr>
                <w:rFonts w:ascii="Segoe UI" w:hAnsi="Segoe UI"/>
                <w:color w:val="000000" w:themeColor="text1"/>
                <w:szCs w:val="18"/>
              </w:rPr>
              <w:t>6</w:t>
            </w:r>
          </w:p>
        </w:tc>
        <w:tc>
          <w:tcPr>
            <w:tcW w:w="2060" w:type="dxa"/>
            <w:vAlign w:val="center"/>
          </w:tcPr>
          <w:p w:rsidR="00DF2E7F" w:rsidRPr="002123CF" w:rsidRDefault="00DF2E7F" w:rsidP="0019337E">
            <w:pPr>
              <w:pStyle w:val="ProductList-Body"/>
              <w:jc w:val="center"/>
              <w:rPr>
                <w:rFonts w:ascii="Segoe UI" w:hAnsi="Segoe UI"/>
                <w:color w:val="000000" w:themeColor="text1"/>
                <w:szCs w:val="18"/>
              </w:rPr>
            </w:pPr>
            <w:r>
              <w:rPr>
                <w:rFonts w:ascii="Segoe UI" w:hAnsi="Segoe UI"/>
                <w:color w:val="000000" w:themeColor="text1"/>
                <w:szCs w:val="18"/>
              </w:rPr>
              <w:t>3</w:t>
            </w:r>
          </w:p>
        </w:tc>
      </w:tr>
      <w:tr w:rsidR="00DF2E7F" w:rsidRPr="005B13F2" w:rsidTr="0019337E">
        <w:tc>
          <w:tcPr>
            <w:tcW w:w="3198" w:type="dxa"/>
            <w:vAlign w:val="center"/>
          </w:tcPr>
          <w:p w:rsidR="00DF2E7F" w:rsidRPr="002123CF" w:rsidRDefault="00DF2E7F" w:rsidP="0019337E">
            <w:pPr>
              <w:pStyle w:val="ProductList-Body"/>
              <w:rPr>
                <w:rFonts w:ascii="Segoe UI" w:hAnsi="Segoe UI"/>
                <w:color w:val="000000" w:themeColor="text1"/>
                <w:szCs w:val="18"/>
              </w:rPr>
            </w:pPr>
            <w:r>
              <w:rPr>
                <w:rFonts w:ascii="Segoe UI" w:hAnsi="Segoe UI"/>
                <w:color w:val="000000" w:themeColor="text1"/>
                <w:szCs w:val="18"/>
              </w:rPr>
              <w:t>200 – 249</w:t>
            </w:r>
          </w:p>
        </w:tc>
        <w:tc>
          <w:tcPr>
            <w:tcW w:w="2212" w:type="dxa"/>
            <w:vAlign w:val="center"/>
          </w:tcPr>
          <w:p w:rsidR="00DF2E7F" w:rsidRPr="002123CF" w:rsidRDefault="00DF2E7F" w:rsidP="0019337E">
            <w:pPr>
              <w:pStyle w:val="ProductList-Body"/>
              <w:jc w:val="center"/>
              <w:rPr>
                <w:rFonts w:ascii="Segoe UI" w:hAnsi="Segoe UI"/>
                <w:color w:val="000000" w:themeColor="text1"/>
                <w:szCs w:val="18"/>
              </w:rPr>
            </w:pPr>
            <w:r>
              <w:rPr>
                <w:rFonts w:ascii="Segoe UI" w:hAnsi="Segoe UI"/>
                <w:color w:val="000000" w:themeColor="text1"/>
                <w:szCs w:val="18"/>
              </w:rPr>
              <w:t>8</w:t>
            </w:r>
          </w:p>
        </w:tc>
        <w:tc>
          <w:tcPr>
            <w:tcW w:w="2060" w:type="dxa"/>
            <w:vAlign w:val="center"/>
          </w:tcPr>
          <w:p w:rsidR="00DF2E7F" w:rsidRPr="002123CF" w:rsidRDefault="00DF2E7F" w:rsidP="0019337E">
            <w:pPr>
              <w:pStyle w:val="ProductList-Body"/>
              <w:jc w:val="center"/>
              <w:rPr>
                <w:rFonts w:ascii="Segoe UI" w:hAnsi="Segoe UI"/>
                <w:color w:val="000000" w:themeColor="text1"/>
                <w:szCs w:val="18"/>
              </w:rPr>
            </w:pPr>
            <w:r>
              <w:rPr>
                <w:rFonts w:ascii="Segoe UI" w:hAnsi="Segoe UI"/>
                <w:color w:val="000000" w:themeColor="text1"/>
                <w:szCs w:val="18"/>
              </w:rPr>
              <w:t>4</w:t>
            </w:r>
          </w:p>
        </w:tc>
      </w:tr>
      <w:tr w:rsidR="00DF2E7F" w:rsidRPr="005B13F2" w:rsidTr="0019337E">
        <w:tc>
          <w:tcPr>
            <w:tcW w:w="3198" w:type="dxa"/>
            <w:vAlign w:val="center"/>
          </w:tcPr>
          <w:p w:rsidR="00DF2E7F" w:rsidRPr="002123CF" w:rsidRDefault="00DF2E7F" w:rsidP="0019337E">
            <w:pPr>
              <w:pStyle w:val="ProductList-Body"/>
              <w:rPr>
                <w:rFonts w:ascii="Segoe UI" w:hAnsi="Segoe UI"/>
                <w:color w:val="000000" w:themeColor="text1"/>
                <w:szCs w:val="18"/>
              </w:rPr>
            </w:pPr>
            <w:r>
              <w:rPr>
                <w:rFonts w:ascii="Segoe UI" w:hAnsi="Segoe UI"/>
                <w:color w:val="000000" w:themeColor="text1"/>
                <w:szCs w:val="18"/>
              </w:rPr>
              <w:t>250 – 2399</w:t>
            </w:r>
          </w:p>
        </w:tc>
        <w:tc>
          <w:tcPr>
            <w:tcW w:w="2212" w:type="dxa"/>
            <w:vAlign w:val="center"/>
          </w:tcPr>
          <w:p w:rsidR="00DF2E7F" w:rsidRPr="002123CF" w:rsidRDefault="00DF2E7F" w:rsidP="0019337E">
            <w:pPr>
              <w:pStyle w:val="ProductList-Body"/>
              <w:jc w:val="center"/>
              <w:rPr>
                <w:rFonts w:ascii="Segoe UI" w:hAnsi="Segoe UI"/>
                <w:color w:val="000000" w:themeColor="text1"/>
                <w:szCs w:val="18"/>
              </w:rPr>
            </w:pPr>
            <w:r>
              <w:rPr>
                <w:rFonts w:ascii="Segoe UI" w:hAnsi="Segoe UI"/>
                <w:color w:val="000000" w:themeColor="text1"/>
                <w:szCs w:val="18"/>
              </w:rPr>
              <w:t>20</w:t>
            </w:r>
          </w:p>
        </w:tc>
        <w:tc>
          <w:tcPr>
            <w:tcW w:w="2060" w:type="dxa"/>
            <w:vAlign w:val="center"/>
          </w:tcPr>
          <w:p w:rsidR="00DF2E7F" w:rsidRPr="002123CF" w:rsidRDefault="00DF2E7F" w:rsidP="0019337E">
            <w:pPr>
              <w:pStyle w:val="ProductList-Body"/>
              <w:jc w:val="center"/>
              <w:rPr>
                <w:rFonts w:ascii="Segoe UI" w:hAnsi="Segoe UI"/>
                <w:color w:val="000000" w:themeColor="text1"/>
                <w:szCs w:val="18"/>
              </w:rPr>
            </w:pPr>
            <w:r>
              <w:rPr>
                <w:rFonts w:ascii="Segoe UI" w:hAnsi="Segoe UI"/>
                <w:color w:val="000000" w:themeColor="text1"/>
                <w:szCs w:val="18"/>
              </w:rPr>
              <w:t>10</w:t>
            </w:r>
          </w:p>
        </w:tc>
      </w:tr>
      <w:tr w:rsidR="00DF2E7F" w:rsidRPr="005B13F2" w:rsidTr="0019337E">
        <w:tc>
          <w:tcPr>
            <w:tcW w:w="3198" w:type="dxa"/>
            <w:vAlign w:val="center"/>
          </w:tcPr>
          <w:p w:rsidR="00DF2E7F" w:rsidRPr="002123CF" w:rsidRDefault="00DF2E7F" w:rsidP="0019337E">
            <w:pPr>
              <w:pStyle w:val="ProductList-Body"/>
              <w:rPr>
                <w:rFonts w:ascii="Segoe UI" w:hAnsi="Segoe UI"/>
                <w:color w:val="000000" w:themeColor="text1"/>
                <w:szCs w:val="18"/>
              </w:rPr>
            </w:pPr>
            <w:r>
              <w:rPr>
                <w:rFonts w:ascii="Segoe UI" w:hAnsi="Segoe UI"/>
                <w:color w:val="000000" w:themeColor="text1"/>
                <w:szCs w:val="18"/>
              </w:rPr>
              <w:t>2400 – 5999</w:t>
            </w:r>
          </w:p>
        </w:tc>
        <w:tc>
          <w:tcPr>
            <w:tcW w:w="2212" w:type="dxa"/>
            <w:vAlign w:val="center"/>
          </w:tcPr>
          <w:p w:rsidR="00DF2E7F" w:rsidRPr="002123CF" w:rsidRDefault="00DF2E7F" w:rsidP="0019337E">
            <w:pPr>
              <w:pStyle w:val="ProductList-Body"/>
              <w:jc w:val="center"/>
              <w:rPr>
                <w:rFonts w:ascii="Segoe UI" w:hAnsi="Segoe UI"/>
                <w:color w:val="000000" w:themeColor="text1"/>
                <w:szCs w:val="18"/>
              </w:rPr>
            </w:pPr>
            <w:r>
              <w:rPr>
                <w:rFonts w:ascii="Segoe UI" w:hAnsi="Segoe UI"/>
                <w:color w:val="000000" w:themeColor="text1"/>
                <w:szCs w:val="18"/>
              </w:rPr>
              <w:t>30</w:t>
            </w:r>
          </w:p>
        </w:tc>
        <w:tc>
          <w:tcPr>
            <w:tcW w:w="2060" w:type="dxa"/>
            <w:vAlign w:val="center"/>
          </w:tcPr>
          <w:p w:rsidR="00DF2E7F" w:rsidRPr="002123CF" w:rsidRDefault="00DF2E7F" w:rsidP="0019337E">
            <w:pPr>
              <w:pStyle w:val="ProductList-Body"/>
              <w:jc w:val="center"/>
              <w:rPr>
                <w:rFonts w:ascii="Segoe UI" w:hAnsi="Segoe UI"/>
                <w:color w:val="000000" w:themeColor="text1"/>
                <w:szCs w:val="18"/>
              </w:rPr>
            </w:pPr>
            <w:r>
              <w:rPr>
                <w:rFonts w:ascii="Segoe UI" w:hAnsi="Segoe UI"/>
                <w:color w:val="000000" w:themeColor="text1"/>
                <w:szCs w:val="18"/>
              </w:rPr>
              <w:t>15</w:t>
            </w:r>
          </w:p>
        </w:tc>
      </w:tr>
      <w:tr w:rsidR="00DF2E7F" w:rsidRPr="005B13F2" w:rsidTr="0019337E">
        <w:trPr>
          <w:trHeight w:val="51"/>
        </w:trPr>
        <w:tc>
          <w:tcPr>
            <w:tcW w:w="3198" w:type="dxa"/>
            <w:vAlign w:val="center"/>
          </w:tcPr>
          <w:p w:rsidR="00DF2E7F" w:rsidRPr="002123CF" w:rsidRDefault="00DF2E7F" w:rsidP="0019337E">
            <w:pPr>
              <w:pStyle w:val="ProductList-Body"/>
              <w:rPr>
                <w:rFonts w:ascii="Segoe UI" w:hAnsi="Segoe UI"/>
                <w:color w:val="000000" w:themeColor="text1"/>
                <w:szCs w:val="18"/>
              </w:rPr>
            </w:pPr>
            <w:r>
              <w:rPr>
                <w:rFonts w:ascii="Segoe UI" w:hAnsi="Segoe UI"/>
                <w:color w:val="000000" w:themeColor="text1"/>
                <w:szCs w:val="18"/>
              </w:rPr>
              <w:t>6000 – 14999</w:t>
            </w:r>
          </w:p>
        </w:tc>
        <w:tc>
          <w:tcPr>
            <w:tcW w:w="2212" w:type="dxa"/>
            <w:vAlign w:val="center"/>
          </w:tcPr>
          <w:p w:rsidR="00DF2E7F" w:rsidRPr="002123CF" w:rsidRDefault="00DF2E7F" w:rsidP="0019337E">
            <w:pPr>
              <w:pStyle w:val="ProductList-Body"/>
              <w:jc w:val="center"/>
              <w:rPr>
                <w:rFonts w:ascii="Segoe UI" w:hAnsi="Segoe UI"/>
                <w:color w:val="000000" w:themeColor="text1"/>
                <w:szCs w:val="18"/>
              </w:rPr>
            </w:pPr>
            <w:r>
              <w:rPr>
                <w:rFonts w:ascii="Segoe UI" w:hAnsi="Segoe UI"/>
                <w:color w:val="000000" w:themeColor="text1"/>
                <w:szCs w:val="18"/>
              </w:rPr>
              <w:t>50</w:t>
            </w:r>
          </w:p>
        </w:tc>
        <w:tc>
          <w:tcPr>
            <w:tcW w:w="2060" w:type="dxa"/>
            <w:vAlign w:val="center"/>
          </w:tcPr>
          <w:p w:rsidR="00DF2E7F" w:rsidRPr="002123CF" w:rsidRDefault="00DF2E7F" w:rsidP="0019337E">
            <w:pPr>
              <w:pStyle w:val="ProductList-Body"/>
              <w:jc w:val="center"/>
              <w:rPr>
                <w:rFonts w:ascii="Segoe UI" w:hAnsi="Segoe UI"/>
                <w:color w:val="000000" w:themeColor="text1"/>
                <w:szCs w:val="18"/>
              </w:rPr>
            </w:pPr>
            <w:r>
              <w:rPr>
                <w:rFonts w:ascii="Segoe UI" w:hAnsi="Segoe UI"/>
                <w:color w:val="000000" w:themeColor="text1"/>
                <w:szCs w:val="18"/>
              </w:rPr>
              <w:t>25</w:t>
            </w:r>
          </w:p>
        </w:tc>
      </w:tr>
      <w:tr w:rsidR="00DF2E7F" w:rsidRPr="005B13F2" w:rsidTr="0019337E">
        <w:tc>
          <w:tcPr>
            <w:tcW w:w="3198" w:type="dxa"/>
            <w:vAlign w:val="center"/>
          </w:tcPr>
          <w:p w:rsidR="00DF2E7F" w:rsidRPr="002123CF" w:rsidRDefault="00DF2E7F" w:rsidP="0019337E">
            <w:pPr>
              <w:pStyle w:val="ProductList-Body"/>
              <w:rPr>
                <w:rFonts w:ascii="Segoe UI" w:hAnsi="Segoe UI"/>
                <w:color w:val="000000" w:themeColor="text1"/>
                <w:szCs w:val="18"/>
              </w:rPr>
            </w:pPr>
            <w:r>
              <w:rPr>
                <w:rFonts w:ascii="Segoe UI" w:hAnsi="Segoe UI"/>
                <w:color w:val="000000" w:themeColor="text1"/>
                <w:szCs w:val="18"/>
              </w:rPr>
              <w:t>15000 – 29999</w:t>
            </w:r>
          </w:p>
        </w:tc>
        <w:tc>
          <w:tcPr>
            <w:tcW w:w="2212" w:type="dxa"/>
            <w:vAlign w:val="center"/>
          </w:tcPr>
          <w:p w:rsidR="00DF2E7F" w:rsidRPr="002123CF" w:rsidRDefault="00DF2E7F" w:rsidP="0019337E">
            <w:pPr>
              <w:pStyle w:val="ProductList-Body"/>
              <w:jc w:val="center"/>
              <w:rPr>
                <w:rFonts w:ascii="Segoe UI" w:hAnsi="Segoe UI"/>
                <w:color w:val="000000" w:themeColor="text1"/>
                <w:szCs w:val="18"/>
              </w:rPr>
            </w:pPr>
            <w:r>
              <w:rPr>
                <w:rFonts w:ascii="Segoe UI" w:hAnsi="Segoe UI"/>
                <w:color w:val="000000" w:themeColor="text1"/>
                <w:szCs w:val="18"/>
              </w:rPr>
              <w:t>110</w:t>
            </w:r>
          </w:p>
        </w:tc>
        <w:tc>
          <w:tcPr>
            <w:tcW w:w="2060" w:type="dxa"/>
            <w:vAlign w:val="center"/>
          </w:tcPr>
          <w:p w:rsidR="00DF2E7F" w:rsidRPr="002123CF" w:rsidRDefault="00DF2E7F" w:rsidP="0019337E">
            <w:pPr>
              <w:pStyle w:val="ProductList-Body"/>
              <w:jc w:val="center"/>
              <w:rPr>
                <w:rFonts w:ascii="Segoe UI" w:hAnsi="Segoe UI"/>
                <w:color w:val="000000" w:themeColor="text1"/>
                <w:szCs w:val="18"/>
              </w:rPr>
            </w:pPr>
            <w:r>
              <w:rPr>
                <w:rFonts w:ascii="Segoe UI" w:hAnsi="Segoe UI"/>
                <w:color w:val="000000" w:themeColor="text1"/>
                <w:szCs w:val="18"/>
              </w:rPr>
              <w:t>55</w:t>
            </w:r>
          </w:p>
        </w:tc>
      </w:tr>
      <w:tr w:rsidR="00DF2E7F" w:rsidRPr="005B13F2" w:rsidTr="0019337E">
        <w:tc>
          <w:tcPr>
            <w:tcW w:w="3198" w:type="dxa"/>
            <w:vAlign w:val="center"/>
          </w:tcPr>
          <w:p w:rsidR="00DF2E7F" w:rsidRPr="002123CF" w:rsidRDefault="00DF2E7F" w:rsidP="0019337E">
            <w:pPr>
              <w:pStyle w:val="ProductList-Body"/>
              <w:rPr>
                <w:rFonts w:ascii="Segoe UI" w:hAnsi="Segoe UI"/>
                <w:color w:val="000000" w:themeColor="text1"/>
                <w:szCs w:val="18"/>
              </w:rPr>
            </w:pPr>
            <w:r>
              <w:rPr>
                <w:rFonts w:ascii="Segoe UI" w:hAnsi="Segoe UI"/>
                <w:color w:val="000000" w:themeColor="text1"/>
                <w:szCs w:val="18"/>
              </w:rPr>
              <w:t>30000 – 49999</w:t>
            </w:r>
          </w:p>
        </w:tc>
        <w:tc>
          <w:tcPr>
            <w:tcW w:w="2212" w:type="dxa"/>
            <w:vAlign w:val="center"/>
          </w:tcPr>
          <w:p w:rsidR="00DF2E7F" w:rsidRPr="002123CF" w:rsidRDefault="00DF2E7F" w:rsidP="0019337E">
            <w:pPr>
              <w:pStyle w:val="ProductList-Body"/>
              <w:jc w:val="center"/>
              <w:rPr>
                <w:rFonts w:ascii="Segoe UI" w:hAnsi="Segoe UI"/>
                <w:color w:val="000000" w:themeColor="text1"/>
                <w:szCs w:val="18"/>
              </w:rPr>
            </w:pPr>
            <w:r>
              <w:rPr>
                <w:rFonts w:ascii="Segoe UI" w:hAnsi="Segoe UI"/>
                <w:color w:val="000000" w:themeColor="text1"/>
                <w:szCs w:val="18"/>
              </w:rPr>
              <w:t>160</w:t>
            </w:r>
          </w:p>
        </w:tc>
        <w:tc>
          <w:tcPr>
            <w:tcW w:w="2060" w:type="dxa"/>
            <w:vAlign w:val="center"/>
          </w:tcPr>
          <w:p w:rsidR="00DF2E7F" w:rsidRPr="002123CF" w:rsidRDefault="00DF2E7F" w:rsidP="0019337E">
            <w:pPr>
              <w:pStyle w:val="ProductList-Body"/>
              <w:jc w:val="center"/>
              <w:rPr>
                <w:rFonts w:ascii="Segoe UI" w:hAnsi="Segoe UI"/>
                <w:color w:val="000000" w:themeColor="text1"/>
                <w:szCs w:val="18"/>
              </w:rPr>
            </w:pPr>
            <w:r>
              <w:rPr>
                <w:rFonts w:ascii="Segoe UI" w:hAnsi="Segoe UI"/>
                <w:color w:val="000000" w:themeColor="text1"/>
                <w:szCs w:val="18"/>
              </w:rPr>
              <w:t>80</w:t>
            </w:r>
          </w:p>
        </w:tc>
      </w:tr>
      <w:tr w:rsidR="00DF2E7F" w:rsidRPr="005B13F2" w:rsidTr="0019337E">
        <w:tc>
          <w:tcPr>
            <w:tcW w:w="3198" w:type="dxa"/>
            <w:vAlign w:val="center"/>
          </w:tcPr>
          <w:p w:rsidR="00DF2E7F" w:rsidRPr="002123CF" w:rsidRDefault="00DF2E7F" w:rsidP="0019337E">
            <w:pPr>
              <w:pStyle w:val="ProductList-Body"/>
              <w:tabs>
                <w:tab w:val="clear" w:pos="158"/>
                <w:tab w:val="left" w:pos="162"/>
              </w:tabs>
              <w:rPr>
                <w:rFonts w:ascii="Segoe UI" w:hAnsi="Segoe UI"/>
                <w:color w:val="000000" w:themeColor="text1"/>
                <w:szCs w:val="18"/>
              </w:rPr>
            </w:pPr>
            <w:r>
              <w:rPr>
                <w:rFonts w:ascii="Segoe UI" w:hAnsi="Segoe UI"/>
                <w:color w:val="000000" w:themeColor="text1"/>
                <w:szCs w:val="18"/>
              </w:rPr>
              <w:t>50000 – 99999</w:t>
            </w:r>
          </w:p>
        </w:tc>
        <w:tc>
          <w:tcPr>
            <w:tcW w:w="2212" w:type="dxa"/>
            <w:vAlign w:val="center"/>
          </w:tcPr>
          <w:p w:rsidR="00DF2E7F" w:rsidRPr="002123CF" w:rsidRDefault="00DF2E7F" w:rsidP="0019337E">
            <w:pPr>
              <w:pStyle w:val="ProductList-Body"/>
              <w:jc w:val="center"/>
              <w:rPr>
                <w:rFonts w:ascii="Segoe UI" w:hAnsi="Segoe UI"/>
                <w:color w:val="000000" w:themeColor="text1"/>
                <w:szCs w:val="18"/>
              </w:rPr>
            </w:pPr>
            <w:r>
              <w:rPr>
                <w:rFonts w:ascii="Segoe UI" w:hAnsi="Segoe UI"/>
                <w:color w:val="000000" w:themeColor="text1"/>
                <w:szCs w:val="18"/>
              </w:rPr>
              <w:t>250</w:t>
            </w:r>
          </w:p>
        </w:tc>
        <w:tc>
          <w:tcPr>
            <w:tcW w:w="2060" w:type="dxa"/>
            <w:vAlign w:val="center"/>
          </w:tcPr>
          <w:p w:rsidR="00DF2E7F" w:rsidRPr="002123CF" w:rsidRDefault="00DF2E7F" w:rsidP="0019337E">
            <w:pPr>
              <w:pStyle w:val="ProductList-Body"/>
              <w:jc w:val="center"/>
              <w:rPr>
                <w:rFonts w:ascii="Segoe UI" w:hAnsi="Segoe UI"/>
                <w:color w:val="000000" w:themeColor="text1"/>
                <w:szCs w:val="18"/>
              </w:rPr>
            </w:pPr>
            <w:r>
              <w:rPr>
                <w:rFonts w:ascii="Segoe UI" w:hAnsi="Segoe UI"/>
                <w:color w:val="000000" w:themeColor="text1"/>
                <w:szCs w:val="18"/>
              </w:rPr>
              <w:t>125</w:t>
            </w:r>
          </w:p>
        </w:tc>
      </w:tr>
      <w:tr w:rsidR="00DF2E7F" w:rsidRPr="005B13F2" w:rsidTr="0019337E">
        <w:tc>
          <w:tcPr>
            <w:tcW w:w="3198" w:type="dxa"/>
            <w:vAlign w:val="center"/>
          </w:tcPr>
          <w:p w:rsidR="00DF2E7F" w:rsidRPr="002123CF" w:rsidRDefault="00DF2E7F" w:rsidP="0019337E">
            <w:pPr>
              <w:pStyle w:val="ProductList-Body"/>
              <w:rPr>
                <w:rFonts w:ascii="Segoe UI" w:hAnsi="Segoe UI"/>
                <w:color w:val="000000" w:themeColor="text1"/>
                <w:szCs w:val="18"/>
              </w:rPr>
            </w:pPr>
            <w:r>
              <w:rPr>
                <w:rFonts w:ascii="Segoe UI" w:hAnsi="Segoe UI"/>
                <w:color w:val="000000" w:themeColor="text1"/>
                <w:szCs w:val="18"/>
              </w:rPr>
              <w:t>100000 – 199999</w:t>
            </w:r>
          </w:p>
        </w:tc>
        <w:tc>
          <w:tcPr>
            <w:tcW w:w="2212" w:type="dxa"/>
            <w:vAlign w:val="center"/>
          </w:tcPr>
          <w:p w:rsidR="00DF2E7F" w:rsidRPr="002123CF" w:rsidRDefault="00DF2E7F" w:rsidP="0019337E">
            <w:pPr>
              <w:pStyle w:val="ProductList-Body"/>
              <w:jc w:val="center"/>
              <w:rPr>
                <w:rFonts w:ascii="Segoe UI" w:hAnsi="Segoe UI"/>
                <w:color w:val="000000" w:themeColor="text1"/>
                <w:szCs w:val="18"/>
              </w:rPr>
            </w:pPr>
            <w:r>
              <w:rPr>
                <w:rFonts w:ascii="Segoe UI" w:hAnsi="Segoe UI"/>
                <w:color w:val="000000" w:themeColor="text1"/>
                <w:szCs w:val="18"/>
              </w:rPr>
              <w:t>400</w:t>
            </w:r>
          </w:p>
        </w:tc>
        <w:tc>
          <w:tcPr>
            <w:tcW w:w="2060" w:type="dxa"/>
            <w:vAlign w:val="center"/>
          </w:tcPr>
          <w:p w:rsidR="00DF2E7F" w:rsidRPr="002123CF" w:rsidRDefault="00DF2E7F" w:rsidP="0019337E">
            <w:pPr>
              <w:pStyle w:val="ProductList-Body"/>
              <w:jc w:val="center"/>
              <w:rPr>
                <w:rFonts w:ascii="Segoe UI" w:hAnsi="Segoe UI"/>
                <w:color w:val="000000" w:themeColor="text1"/>
                <w:szCs w:val="18"/>
              </w:rPr>
            </w:pPr>
            <w:r>
              <w:rPr>
                <w:rFonts w:ascii="Segoe UI" w:hAnsi="Segoe UI"/>
                <w:color w:val="000000" w:themeColor="text1"/>
                <w:szCs w:val="18"/>
              </w:rPr>
              <w:t>200</w:t>
            </w:r>
          </w:p>
        </w:tc>
      </w:tr>
      <w:tr w:rsidR="00DF2E7F" w:rsidRPr="005B13F2" w:rsidTr="0019337E">
        <w:tc>
          <w:tcPr>
            <w:tcW w:w="3198" w:type="dxa"/>
            <w:vAlign w:val="center"/>
          </w:tcPr>
          <w:p w:rsidR="00DF2E7F" w:rsidRPr="002123CF" w:rsidRDefault="00DF2E7F" w:rsidP="0019337E">
            <w:pPr>
              <w:pStyle w:val="ProductList-Body"/>
              <w:rPr>
                <w:rFonts w:ascii="Segoe UI" w:hAnsi="Segoe UI"/>
                <w:color w:val="000000" w:themeColor="text1"/>
                <w:szCs w:val="18"/>
              </w:rPr>
            </w:pPr>
            <w:r>
              <w:rPr>
                <w:rFonts w:ascii="Segoe UI" w:hAnsi="Segoe UI"/>
                <w:color w:val="000000" w:themeColor="text1"/>
                <w:szCs w:val="18"/>
              </w:rPr>
              <w:t>200000 – 399999</w:t>
            </w:r>
          </w:p>
        </w:tc>
        <w:tc>
          <w:tcPr>
            <w:tcW w:w="2212" w:type="dxa"/>
            <w:vAlign w:val="center"/>
          </w:tcPr>
          <w:p w:rsidR="00DF2E7F" w:rsidRPr="002123CF" w:rsidRDefault="00DF2E7F" w:rsidP="0019337E">
            <w:pPr>
              <w:pStyle w:val="ProductList-Body"/>
              <w:jc w:val="center"/>
              <w:rPr>
                <w:rFonts w:ascii="Segoe UI" w:hAnsi="Segoe UI"/>
                <w:color w:val="000000" w:themeColor="text1"/>
                <w:szCs w:val="18"/>
              </w:rPr>
            </w:pPr>
            <w:r>
              <w:rPr>
                <w:rFonts w:ascii="Segoe UI" w:hAnsi="Segoe UI"/>
                <w:color w:val="000000" w:themeColor="text1"/>
                <w:szCs w:val="18"/>
              </w:rPr>
              <w:t>600</w:t>
            </w:r>
          </w:p>
        </w:tc>
        <w:tc>
          <w:tcPr>
            <w:tcW w:w="2060" w:type="dxa"/>
            <w:vAlign w:val="center"/>
          </w:tcPr>
          <w:p w:rsidR="00DF2E7F" w:rsidRPr="002123CF" w:rsidRDefault="00DF2E7F" w:rsidP="0019337E">
            <w:pPr>
              <w:pStyle w:val="ProductList-Body"/>
              <w:jc w:val="center"/>
              <w:rPr>
                <w:rFonts w:ascii="Segoe UI" w:hAnsi="Segoe UI"/>
                <w:color w:val="000000" w:themeColor="text1"/>
                <w:szCs w:val="18"/>
              </w:rPr>
            </w:pPr>
            <w:r>
              <w:rPr>
                <w:rFonts w:ascii="Segoe UI" w:hAnsi="Segoe UI"/>
                <w:color w:val="000000" w:themeColor="text1"/>
                <w:szCs w:val="18"/>
              </w:rPr>
              <w:t>300</w:t>
            </w:r>
          </w:p>
        </w:tc>
      </w:tr>
      <w:tr w:rsidR="00DF2E7F" w:rsidRPr="005B13F2" w:rsidTr="0019337E">
        <w:tc>
          <w:tcPr>
            <w:tcW w:w="3198" w:type="dxa"/>
            <w:vAlign w:val="center"/>
          </w:tcPr>
          <w:p w:rsidR="00DF2E7F" w:rsidRPr="002123CF" w:rsidRDefault="00DF2E7F" w:rsidP="0019337E">
            <w:pPr>
              <w:pStyle w:val="ProductList-Body"/>
              <w:rPr>
                <w:rFonts w:ascii="Segoe UI" w:hAnsi="Segoe UI"/>
                <w:color w:val="000000" w:themeColor="text1"/>
                <w:szCs w:val="18"/>
              </w:rPr>
            </w:pPr>
            <w:r>
              <w:rPr>
                <w:rFonts w:ascii="Segoe UI" w:hAnsi="Segoe UI"/>
                <w:color w:val="000000" w:themeColor="text1"/>
                <w:szCs w:val="18"/>
              </w:rPr>
              <w:t>400000 – 599999</w:t>
            </w:r>
          </w:p>
        </w:tc>
        <w:tc>
          <w:tcPr>
            <w:tcW w:w="2212" w:type="dxa"/>
            <w:vAlign w:val="center"/>
          </w:tcPr>
          <w:p w:rsidR="00DF2E7F" w:rsidRPr="002123CF" w:rsidRDefault="00DF2E7F" w:rsidP="0019337E">
            <w:pPr>
              <w:pStyle w:val="ProductList-Body"/>
              <w:jc w:val="center"/>
              <w:rPr>
                <w:rFonts w:ascii="Segoe UI" w:hAnsi="Segoe UI"/>
                <w:color w:val="000000" w:themeColor="text1"/>
                <w:szCs w:val="18"/>
              </w:rPr>
            </w:pPr>
            <w:r>
              <w:rPr>
                <w:rFonts w:ascii="Segoe UI" w:hAnsi="Segoe UI"/>
                <w:color w:val="000000" w:themeColor="text1"/>
                <w:szCs w:val="18"/>
              </w:rPr>
              <w:t>800</w:t>
            </w:r>
          </w:p>
        </w:tc>
        <w:tc>
          <w:tcPr>
            <w:tcW w:w="2060" w:type="dxa"/>
            <w:vAlign w:val="center"/>
          </w:tcPr>
          <w:p w:rsidR="00DF2E7F" w:rsidRPr="002123CF" w:rsidRDefault="00DF2E7F" w:rsidP="0019337E">
            <w:pPr>
              <w:pStyle w:val="ProductList-Body"/>
              <w:jc w:val="center"/>
              <w:rPr>
                <w:rFonts w:ascii="Segoe UI" w:hAnsi="Segoe UI"/>
                <w:color w:val="000000" w:themeColor="text1"/>
                <w:szCs w:val="18"/>
              </w:rPr>
            </w:pPr>
            <w:r>
              <w:rPr>
                <w:rFonts w:ascii="Segoe UI" w:hAnsi="Segoe UI"/>
                <w:color w:val="000000" w:themeColor="text1"/>
                <w:szCs w:val="18"/>
              </w:rPr>
              <w:t>400</w:t>
            </w:r>
          </w:p>
        </w:tc>
      </w:tr>
      <w:tr w:rsidR="00DF2E7F" w:rsidRPr="005B13F2" w:rsidTr="0019337E">
        <w:tc>
          <w:tcPr>
            <w:tcW w:w="3198" w:type="dxa"/>
            <w:vAlign w:val="center"/>
          </w:tcPr>
          <w:p w:rsidR="00DF2E7F" w:rsidRPr="002123CF" w:rsidRDefault="00DF2E7F" w:rsidP="0019337E">
            <w:pPr>
              <w:pStyle w:val="ProductList-Body"/>
              <w:rPr>
                <w:rFonts w:ascii="Segoe UI" w:hAnsi="Segoe UI"/>
                <w:color w:val="000000" w:themeColor="text1"/>
                <w:szCs w:val="18"/>
              </w:rPr>
            </w:pPr>
            <w:r>
              <w:rPr>
                <w:rFonts w:ascii="Segoe UI" w:hAnsi="Segoe UI"/>
                <w:color w:val="000000" w:themeColor="text1"/>
                <w:szCs w:val="18"/>
              </w:rPr>
              <w:lastRenderedPageBreak/>
              <w:t>600000 +</w:t>
            </w:r>
          </w:p>
        </w:tc>
        <w:tc>
          <w:tcPr>
            <w:tcW w:w="2212" w:type="dxa"/>
            <w:vAlign w:val="center"/>
          </w:tcPr>
          <w:p w:rsidR="00DF2E7F" w:rsidRPr="002123CF" w:rsidRDefault="00DF2E7F" w:rsidP="0019337E">
            <w:pPr>
              <w:pStyle w:val="ProductList-Body"/>
              <w:jc w:val="center"/>
              <w:rPr>
                <w:rFonts w:ascii="Segoe UI" w:hAnsi="Segoe UI"/>
                <w:color w:val="000000" w:themeColor="text1"/>
                <w:szCs w:val="18"/>
              </w:rPr>
            </w:pPr>
            <w:r>
              <w:rPr>
                <w:rFonts w:ascii="Segoe UI" w:hAnsi="Segoe UI"/>
                <w:color w:val="000000" w:themeColor="text1"/>
                <w:szCs w:val="18"/>
              </w:rPr>
              <w:t>1400</w:t>
            </w:r>
          </w:p>
        </w:tc>
        <w:tc>
          <w:tcPr>
            <w:tcW w:w="2060" w:type="dxa"/>
            <w:vAlign w:val="center"/>
          </w:tcPr>
          <w:p w:rsidR="00DF2E7F" w:rsidRPr="002123CF" w:rsidRDefault="00DF2E7F" w:rsidP="0019337E">
            <w:pPr>
              <w:pStyle w:val="ProductList-Body"/>
              <w:jc w:val="center"/>
              <w:rPr>
                <w:rFonts w:ascii="Segoe UI" w:hAnsi="Segoe UI"/>
                <w:color w:val="000000" w:themeColor="text1"/>
                <w:szCs w:val="18"/>
              </w:rPr>
            </w:pPr>
            <w:r>
              <w:rPr>
                <w:rFonts w:ascii="Segoe UI" w:hAnsi="Segoe UI"/>
                <w:color w:val="000000" w:themeColor="text1"/>
                <w:szCs w:val="18"/>
              </w:rPr>
              <w:t>700</w:t>
            </w:r>
          </w:p>
        </w:tc>
      </w:tr>
    </w:tbl>
    <w:p w:rsidR="00DF2E7F" w:rsidRPr="00483B32" w:rsidRDefault="00DF2E7F" w:rsidP="00DF2E7F">
      <w:pPr>
        <w:pStyle w:val="Thirdheading"/>
        <w:rPr>
          <w:rFonts w:eastAsiaTheme="majorEastAsia"/>
        </w:rPr>
      </w:pPr>
      <w:r>
        <w:rPr>
          <w:rFonts w:eastAsiaTheme="majorEastAsia" w:cstheme="majorBidi"/>
          <w:b/>
          <w:bCs/>
          <w:color w:val="FFC000" w:themeColor="accent4"/>
          <w:sz w:val="18"/>
          <w:szCs w:val="18"/>
        </w:rPr>
        <w:t>Využití dní poukázky na školení</w:t>
      </w:r>
    </w:p>
    <w:p w:rsidR="00DF2E7F" w:rsidRPr="00483B32" w:rsidRDefault="00DF2E7F" w:rsidP="00DF2E7F">
      <w:pPr>
        <w:pStyle w:val="BodyText"/>
        <w:numPr>
          <w:ilvl w:val="0"/>
          <w:numId w:val="16"/>
        </w:numPr>
        <w:spacing w:after="0"/>
      </w:pPr>
      <w:r>
        <w:rPr>
          <w:color w:val="000000" w:themeColor="text1"/>
          <w:szCs w:val="18"/>
        </w:rPr>
        <w:t>N</w:t>
      </w:r>
      <w:r>
        <w:t>ěkteré kurzy nejsou k dispozici ve všech jazycích.</w:t>
      </w:r>
    </w:p>
    <w:p w:rsidR="00DF2E7F" w:rsidRPr="00483B32" w:rsidRDefault="00DF2E7F" w:rsidP="00DF2E7F">
      <w:pPr>
        <w:pStyle w:val="BodyText"/>
        <w:numPr>
          <w:ilvl w:val="0"/>
          <w:numId w:val="16"/>
        </w:numPr>
        <w:spacing w:after="0"/>
      </w:pPr>
      <w:r>
        <w:t>Platí zásady a podmínky užívání stanovené partnerem společnosti Microsoft pro vzdělávání.</w:t>
      </w:r>
    </w:p>
    <w:p w:rsidR="00DF2E7F" w:rsidRPr="00483B32" w:rsidRDefault="00DF2E7F" w:rsidP="00DF2E7F">
      <w:pPr>
        <w:pStyle w:val="BodyText"/>
        <w:numPr>
          <w:ilvl w:val="0"/>
          <w:numId w:val="16"/>
        </w:numPr>
        <w:spacing w:after="0"/>
      </w:pPr>
      <w:r>
        <w:t>Správci výhod mohou zrušit poukázku v přiřazeném stavu, a to až do data zrušení lekce stanoveného partnerem společnosti Microsoft pro vzdělávání.</w:t>
      </w:r>
    </w:p>
    <w:p w:rsidR="00DF2E7F" w:rsidRPr="00483B32" w:rsidRDefault="00DF2E7F" w:rsidP="00DF2E7F">
      <w:pPr>
        <w:pStyle w:val="BodyText"/>
        <w:numPr>
          <w:ilvl w:val="0"/>
          <w:numId w:val="16"/>
        </w:numPr>
        <w:spacing w:after="0"/>
      </w:pPr>
      <w:r>
        <w:t>Dny kurzu, které nejsou zahrnuty do poukázky, musí zaplatit osoba, která školení absolvuje.</w:t>
      </w:r>
    </w:p>
    <w:p w:rsidR="00DF2E7F" w:rsidRPr="00483B32" w:rsidRDefault="00DF2E7F" w:rsidP="00DF2E7F">
      <w:pPr>
        <w:pStyle w:val="BodyText"/>
        <w:numPr>
          <w:ilvl w:val="0"/>
          <w:numId w:val="16"/>
        </w:numPr>
        <w:spacing w:after="0"/>
      </w:pPr>
      <w:r>
        <w:t>Dny poukázky nad rámec dní platných pro konkrétní třídu budou vráceny mezi dostupné dny a budou znovu přiděleny správci výhody.</w:t>
      </w:r>
    </w:p>
    <w:p w:rsidR="00DF2E7F" w:rsidRPr="00483B32" w:rsidRDefault="00DF2E7F" w:rsidP="00DF2E7F">
      <w:pPr>
        <w:pStyle w:val="BodyText"/>
        <w:numPr>
          <w:ilvl w:val="0"/>
          <w:numId w:val="16"/>
        </w:numPr>
        <w:spacing w:after="0"/>
      </w:pPr>
      <w:r>
        <w:t>Kurzy poskytované ve zrychleném formátu vyžadují, aby se dny poukázky rovnaly počtu dní kurzu v případě běžného způsobu poskytnutí kurzu.</w:t>
      </w:r>
    </w:p>
    <w:p w:rsidR="00DF2E7F" w:rsidRPr="00483B32" w:rsidRDefault="00DF2E7F" w:rsidP="00DF2E7F">
      <w:pPr>
        <w:pStyle w:val="BodyText"/>
        <w:numPr>
          <w:ilvl w:val="0"/>
          <w:numId w:val="16"/>
        </w:numPr>
        <w:spacing w:after="0"/>
      </w:pPr>
      <w:r>
        <w:t xml:space="preserve">Poukázku lze využít pouze pro dny školení vedeného instruktorem u kvalifikovaných partnerů pro vzdělávání společnosti Microsoft a pro schválené kurzy. Tyto poukázky se nevztahují na uživatelské kurzy (kromě urychlených poskytnutí schválených kurzů nebo uživatelských kurzů sestavených výhradně ze schválených kurzů). Informace o schválených kurzech naleznete na adrese </w:t>
      </w:r>
      <w:hyperlink r:id="rId22" w:history="1">
        <w:r>
          <w:rPr>
            <w:rStyle w:val="Hyperlink"/>
            <w:szCs w:val="18"/>
          </w:rPr>
          <w:t>http://www.microsoft.com/learning/sa/training.mspx</w:t>
        </w:r>
      </w:hyperlink>
      <w:r>
        <w:rPr>
          <w:color w:val="000000" w:themeColor="text1"/>
          <w:szCs w:val="18"/>
        </w:rPr>
        <w:t xml:space="preserve">. </w:t>
      </w:r>
    </w:p>
    <w:p w:rsidR="00DF2E7F" w:rsidRPr="00483B32" w:rsidRDefault="00DF2E7F" w:rsidP="00DF2E7F">
      <w:pPr>
        <w:pStyle w:val="BodyText"/>
        <w:numPr>
          <w:ilvl w:val="0"/>
          <w:numId w:val="16"/>
        </w:numPr>
        <w:spacing w:after="0"/>
      </w:pPr>
      <w:r>
        <w:t xml:space="preserve">Poukázky nelze použít na uhrazení poplatků souvisejících se skutečností, že se vyhrazeného kurzu nezúčastníte. Za úhradu všech poplatků v případě absence účastníka nesete odpovědnost vy. </w:t>
      </w:r>
    </w:p>
    <w:p w:rsidR="00DF2E7F" w:rsidRPr="00483B32" w:rsidRDefault="00DF2E7F" w:rsidP="00DF2E7F">
      <w:pPr>
        <w:pStyle w:val="BodyText"/>
        <w:numPr>
          <w:ilvl w:val="0"/>
          <w:numId w:val="16"/>
        </w:numPr>
        <w:spacing w:after="0"/>
      </w:pPr>
      <w:r>
        <w:t xml:space="preserve">Poukázky mohou být využity pouze osobou, kterou vaše organizace schválila. </w:t>
      </w:r>
    </w:p>
    <w:p w:rsidR="00DF2E7F" w:rsidRPr="00483B32" w:rsidRDefault="00DF2E7F" w:rsidP="00DF2E7F">
      <w:pPr>
        <w:pStyle w:val="BodyText"/>
        <w:numPr>
          <w:ilvl w:val="0"/>
          <w:numId w:val="16"/>
        </w:numPr>
        <w:spacing w:after="0"/>
      </w:pPr>
      <w:r>
        <w:t>Poukázky nelze vyměnit za hotovost, peněžní prostředky ani jiné cenné položky.</w:t>
      </w:r>
    </w:p>
    <w:p w:rsidR="00DF2E7F" w:rsidRPr="00483B32" w:rsidRDefault="00DF2E7F" w:rsidP="00DF2E7F">
      <w:pPr>
        <w:pStyle w:val="BodyText"/>
        <w:numPr>
          <w:ilvl w:val="0"/>
          <w:numId w:val="16"/>
        </w:numPr>
        <w:spacing w:after="0"/>
      </w:pPr>
      <w:r>
        <w:t>Poukázky je nutné přiřadit během období krytí SA.</w:t>
      </w:r>
    </w:p>
    <w:p w:rsidR="00DF2E7F" w:rsidRPr="00483B32" w:rsidRDefault="00DF2E7F" w:rsidP="00DF2E7F">
      <w:pPr>
        <w:pStyle w:val="BodyText"/>
        <w:numPr>
          <w:ilvl w:val="0"/>
          <w:numId w:val="16"/>
        </w:numPr>
        <w:spacing w:after="0"/>
      </w:pPr>
      <w:r>
        <w:t>Platnost poukázek vyprší 180 dní od data přidělení poukázky, a to nezávisle na uplynutí doby účinnosti krytí SA. Před vypršením poukázky musejí být dodány všechny služby (školení musí být absolvováno a poukázka musí být využita). Poukázky, které vyprší před uplynutím doby účinnosti krytí SA, budou znovu zařazeny do dostupného počtu dní poukázky na školení.</w:t>
      </w:r>
    </w:p>
    <w:p w:rsidR="00DF2E7F" w:rsidRPr="00483B32" w:rsidRDefault="00DF2E7F" w:rsidP="00DF2E7F">
      <w:pPr>
        <w:pStyle w:val="BodyText"/>
        <w:numPr>
          <w:ilvl w:val="0"/>
          <w:numId w:val="16"/>
        </w:numPr>
        <w:spacing w:after="0"/>
      </w:pPr>
      <w:r>
        <w:t>S výjimkou ukázkových setkání se jeden den poukázky na školení rovná ekvivalentu jednoho dne setkání v rámci školení. V případě ukázkových setkání se jeden den poukázky na školení rovná jednomu ukázkovému setkání.</w:t>
      </w:r>
    </w:p>
    <w:p w:rsidR="00DF2E7F" w:rsidRPr="00483B32" w:rsidRDefault="00DF2E7F" w:rsidP="00DF2E7F">
      <w:pPr>
        <w:pStyle w:val="BodyText"/>
        <w:numPr>
          <w:ilvl w:val="0"/>
          <w:numId w:val="16"/>
        </w:numPr>
        <w:spacing w:after="0"/>
      </w:pPr>
      <w:r>
        <w:t>Poukázky na školení musíte využít pro ukázková setkání v sadě po čtyřech a více.</w:t>
      </w:r>
    </w:p>
    <w:p w:rsidR="00DF2E7F" w:rsidRPr="00483B32" w:rsidRDefault="00DF2E7F" w:rsidP="00DF2E7F">
      <w:pPr>
        <w:pStyle w:val="BodyText"/>
        <w:numPr>
          <w:ilvl w:val="0"/>
          <w:numId w:val="16"/>
        </w:numPr>
        <w:spacing w:after="0"/>
      </w:pPr>
      <w:r>
        <w:t>Poukázky na školení využité pro ukázková setkání nejsou na rozdíl od poukázek na školení pro ostatní školicí setkání omezena na jednu osobu.</w:t>
      </w:r>
    </w:p>
    <w:p w:rsidR="00DF2E7F" w:rsidRPr="00483B32" w:rsidRDefault="00DF2E7F" w:rsidP="00DF2E7F">
      <w:pPr>
        <w:pStyle w:val="BodyText"/>
        <w:numPr>
          <w:ilvl w:val="0"/>
          <w:numId w:val="16"/>
        </w:numPr>
        <w:spacing w:after="0"/>
      </w:pPr>
      <w:r>
        <w:t xml:space="preserve">Poukázky lze použít k vyhrazení školení vždy pouze s jedním kvalifikovaným partnerem pro vzdělávání společnosti Microsoft. </w:t>
      </w:r>
    </w:p>
    <w:p w:rsidR="00DF2E7F" w:rsidRPr="00483B32" w:rsidRDefault="00DF2E7F" w:rsidP="00DF2E7F">
      <w:pPr>
        <w:pStyle w:val="BodyText"/>
        <w:numPr>
          <w:ilvl w:val="0"/>
          <w:numId w:val="16"/>
        </w:numPr>
        <w:spacing w:after="0"/>
      </w:pPr>
      <w:r>
        <w:t>Partner pro vzdělávání společnosti Microsoft si vyhrazuje právo zrušit třídu v souladu s místními postupy.</w:t>
      </w:r>
    </w:p>
    <w:p w:rsidR="00DF2E7F" w:rsidRPr="00483B32" w:rsidRDefault="00DF2E7F" w:rsidP="00DF2E7F">
      <w:pPr>
        <w:pStyle w:val="BodyText"/>
        <w:numPr>
          <w:ilvl w:val="0"/>
          <w:numId w:val="16"/>
        </w:numPr>
        <w:spacing w:after="0"/>
      </w:pPr>
      <w:r>
        <w:t xml:space="preserve">Poukázky lze využít pouze u zúčastněných partnerů pro vzdělávání společnosti Microsoft. Lze je využít u jakéhokoli kvalifikovaného partnera pro vzdělávání společnosti Microsoft po celém světě. </w:t>
      </w:r>
    </w:p>
    <w:p w:rsidR="00DF2E7F" w:rsidRPr="00483B32" w:rsidRDefault="00DF2E7F" w:rsidP="00DF2E7F">
      <w:pPr>
        <w:pStyle w:val="BodyText"/>
        <w:numPr>
          <w:ilvl w:val="0"/>
          <w:numId w:val="16"/>
        </w:numPr>
        <w:spacing w:after="0"/>
      </w:pPr>
      <w:r>
        <w:t xml:space="preserve">Partnerovi pro vzdělávání společnosti Microsoft musíte poskytnout informace o poukázce, kterou by rádi využili v souvislosti s kurzem, a to do konce kurzu, aby poukázku bylo možné využít k úhradě kurzu. </w:t>
      </w:r>
    </w:p>
    <w:p w:rsidR="00DF2E7F" w:rsidRPr="00483B32" w:rsidRDefault="00DF2E7F" w:rsidP="00DF2E7F">
      <w:pPr>
        <w:pStyle w:val="BodyText"/>
        <w:numPr>
          <w:ilvl w:val="0"/>
          <w:numId w:val="16"/>
        </w:numPr>
        <w:spacing w:after="0"/>
      </w:pPr>
      <w:r>
        <w:t>Společnost Microsoft nenese odpovědnost za ztracené, odcizené nebo zneužité poukázky.</w:t>
      </w:r>
    </w:p>
    <w:p w:rsidR="00DF2E7F" w:rsidRPr="00483B32" w:rsidRDefault="00DF2E7F" w:rsidP="00DF2E7F">
      <w:pPr>
        <w:pStyle w:val="BodyText"/>
        <w:numPr>
          <w:ilvl w:val="0"/>
          <w:numId w:val="16"/>
        </w:numPr>
        <w:spacing w:after="0"/>
      </w:pPr>
      <w:r>
        <w:t>Snížení počtu kvalifikujících licencí, pro které je krytí SA pořízeno, v důsledku vrácení nebo jiných změn fakturace, je-li povoleno, může snížit nárok úrovně služby pro vaše poukázky na školení.</w:t>
      </w:r>
    </w:p>
    <w:p w:rsidR="00DF2E7F" w:rsidRPr="00483B32" w:rsidRDefault="00DF2E7F" w:rsidP="00DF2E7F">
      <w:pPr>
        <w:pStyle w:val="BodyText"/>
        <w:numPr>
          <w:ilvl w:val="0"/>
          <w:numId w:val="16"/>
        </w:numPr>
        <w:spacing w:after="0"/>
      </w:pPr>
      <w:r>
        <w:t>Poukázky může využít pouze organizace, která je oprávněna výhodu využívat.</w:t>
      </w:r>
    </w:p>
    <w:p w:rsidR="00DF2E7F" w:rsidRPr="00483B32" w:rsidRDefault="00DF2E7F" w:rsidP="00DF2E7F">
      <w:pPr>
        <w:pStyle w:val="BodyText"/>
        <w:numPr>
          <w:ilvl w:val="0"/>
          <w:numId w:val="16"/>
        </w:numPr>
        <w:spacing w:after="0"/>
      </w:pPr>
      <w:r>
        <w:t>Služby poskytované v rámci poukázek jsou poskytovány na základě smlouvy mezi vámi a partnerem služeb plánování; společnost Microsoft nenese odpovědnost za žádnou práci ani selhání kvalifikovaného partnera služeb plánování v souvislosti se službami.</w:t>
      </w:r>
    </w:p>
    <w:p w:rsidR="00DF2E7F" w:rsidRPr="00483B32" w:rsidRDefault="00DF2E7F" w:rsidP="00DF2E7F">
      <w:pPr>
        <w:pStyle w:val="BodyText"/>
        <w:numPr>
          <w:ilvl w:val="0"/>
          <w:numId w:val="16"/>
        </w:numPr>
        <w:spacing w:after="0"/>
      </w:pPr>
      <w:r>
        <w:t>V tabulce výše jsou uvedeny dny školení dostupné na základě plného tříletého nákupu v rámci nákupní jednotky. Pokud je krytí SA sjednáno na méně než tři roky, počet dní školení, na které máte nárok, bude příslušným způsobem poměrně upraven.</w:t>
      </w:r>
    </w:p>
    <w:p w:rsidR="00DF2E7F" w:rsidRPr="00483B32" w:rsidRDefault="00DF2E7F" w:rsidP="00DF2E7F">
      <w:pPr>
        <w:pStyle w:val="Heading2"/>
      </w:pPr>
      <w:bookmarkStart w:id="44" w:name="_24x7_Problem_Resolution_1"/>
      <w:bookmarkStart w:id="45" w:name="_Toc403380305"/>
      <w:bookmarkStart w:id="46" w:name="_Toc403985023"/>
      <w:bookmarkStart w:id="47" w:name="_Toc428180922"/>
      <w:bookmarkEnd w:id="44"/>
      <w:r>
        <w:t>Nepřetržitá podpora řešení problémů</w:t>
      </w:r>
      <w:bookmarkEnd w:id="45"/>
      <w:bookmarkEnd w:id="46"/>
      <w:bookmarkEnd w:id="47"/>
      <w:r>
        <w:t xml:space="preserve"> </w:t>
      </w:r>
    </w:p>
    <w:p w:rsidR="00DF2E7F" w:rsidRPr="00483B32" w:rsidRDefault="00DF2E7F" w:rsidP="00DF2E7F">
      <w:r>
        <w:rPr>
          <w:color w:val="000000" w:themeColor="text1"/>
          <w:szCs w:val="18"/>
        </w:rPr>
        <w:t xml:space="preserve">Pokud máte krytí SA, vaše nákupy se kvalifikují pro neomezenou nepřetržitou podporu řešení problémů. Nepřetržitá podpora řešení problémů poskytuje pomoc při problémech s určitými symptomy, ke kterým dojde během užívání produktů společnosti Microsoft, pokud lze důvodně očekávat, že příčinou problémů jsou produkty společnosti Microsoft. Společnost Microsoft vynaloží veškeré úsilí, aby vám pomohla s žádostmi o podporu, a to způsobem konzistentním se zásadami produktové podpory společnosti Microsoft. Společnost Microsoft si vyhrazuje právo odmítnout nepřiměřené žádosti o služby podpory a občas vás může odkázat na dodatečnou smlouvu SLA, za kterou může být účtován dodatečný poplatek. </w:t>
      </w:r>
    </w:p>
    <w:p w:rsidR="00DF2E7F" w:rsidRPr="00483B32" w:rsidRDefault="00DF2E7F" w:rsidP="00DF2E7F">
      <w:pPr>
        <w:spacing w:before="120"/>
      </w:pPr>
      <w:r>
        <w:rPr>
          <w:color w:val="000000" w:themeColor="text1"/>
          <w:szCs w:val="18"/>
        </w:rPr>
        <w:lastRenderedPageBreak/>
        <w:t xml:space="preserve">Společnost Microsoft může přidat podporu pro nové produkty nebo ukončit podporu stávajících produktů. Mohou nastat případy, kdy společnost Microsoft nebude moci účinně poskytnout podporu pro implementaci produktů společnosti Microsoft vaší organizací. Pokud k takové situaci dojde, společnost Microsoft vás o tom bude informovat v rámci poskytování služeb podpory. Jestliže vaše organizace svou implementaci neupraví do 30 kalendářních dnů po obdržení příslušného sdělení tak, aby jí bylo možné podporu účinně poskytnout, společnost Microsoft nebude povinna pro tuto implementaci poskytovat další služby podpory; služby podpory pro případné jiné podporovatelné implementace, na které se vztahují tyto podmínky a ujednání. </w:t>
      </w:r>
    </w:p>
    <w:p w:rsidR="00DF2E7F" w:rsidRPr="00483B32" w:rsidRDefault="00DF2E7F" w:rsidP="00DF2E7F">
      <w:pPr>
        <w:spacing w:before="120"/>
      </w:pPr>
      <w:r>
        <w:rPr>
          <w:color w:val="000000" w:themeColor="text1"/>
          <w:szCs w:val="18"/>
        </w:rPr>
        <w:t>Podpora při odstranění problému (označuje se také jako incident) je definována jako jeden problém a přiměřené úsilí vyžadované k jeho vyřešení. Jeden problém podpory je problém, který nelze rozdělit do dílčích problémů. Pokud problém zahrnuje několik dílčích problémů, je nutné každý z nich považovat za samostatný incident. V určitých situacích vám můžeme poskytnout modifikaci komerčně dostupného softwarového kódu produktu Microsoft za účelem řešení konkrétních kritických problémů („opravy hotfix“) v reakci na žádost o podporu při odstranění problému. Opravy hotfix jsou určeny k řešení konkrétních problémů a nejsou testovány na regresi. Není-li zde uvedeno jinak, opravy hotfix nesmí být bez písemného souhlasu společnosti Microsoft distribuovány třetím stranám, které nejsou afilacemi.</w:t>
      </w:r>
    </w:p>
    <w:p w:rsidR="00DF2E7F" w:rsidRPr="00483B32" w:rsidRDefault="00DF2E7F" w:rsidP="00DF2E7F">
      <w:pPr>
        <w:spacing w:before="120" w:after="120"/>
      </w:pPr>
      <w:r>
        <w:rPr>
          <w:color w:val="000000" w:themeColor="text1"/>
          <w:szCs w:val="18"/>
        </w:rPr>
        <w:t>Produkty dostupné v rámci multilicenčního programu, které jsou momentálně zahrnuty do standardní podpory podle popisu v zásadách životního cyklu podpory společnosti Microsoft, mají nárok na nepřetržitou podporu řešení problémů. Nárok produktu na telefonickou podporu je spojen s dostupností nabídky krytí SA pro daný produkt. Pokud pro servery není k dispozici žádná možnost SA, ale krytí je k dispozici pro licence CAL, body pro licence CAL zákazníků se započítávají do incidentů, které budou použity pro ostatní kvalifikované produkty podle popisu níže v oddíle Incidenty telefonické podpory. Zásady pro služby a podporu naleznete v podmínkách produktu v konkrétní části pro daný produkt. Předchozí verze produktů, které jsou aktuálně zahrnuty ve standardní podpoře a které se rozhodnete používat namísto aktuální licencované verze, jsou také kvalifikované. Edice pro vývojáře pro všechny servery, produkty HED a odběry MSDN jsou vyloučeny.</w:t>
      </w:r>
    </w:p>
    <w:p w:rsidR="00DF2E7F" w:rsidRPr="00483B32" w:rsidRDefault="00DF2E7F" w:rsidP="00DF2E7F">
      <w:r>
        <w:rPr>
          <w:color w:val="000000" w:themeColor="text1"/>
          <w:szCs w:val="18"/>
        </w:rPr>
        <w:t xml:space="preserve">V rámci nepřetržité podpory řešení problémů máte nárok na počet incidentů a kontaktů k inicializaci těchto incidentů podle popisu níže. Podporu lze inicializovat odesláním incidentů, a to buď elektronicky, prostřednictvím webu, nebo telefonicky. Na každý typ média se vztahují různá ustanovení. </w:t>
      </w:r>
    </w:p>
    <w:p w:rsidR="00DF2E7F" w:rsidRPr="00483B32" w:rsidRDefault="00DF2E7F" w:rsidP="00DF2E7F">
      <w:pPr>
        <w:pStyle w:val="Thirdheading"/>
      </w:pPr>
      <w:r>
        <w:rPr>
          <w:b/>
        </w:rPr>
        <w:t>Incidenty telefonické podpory</w:t>
      </w:r>
    </w:p>
    <w:p w:rsidR="00DF2E7F" w:rsidRPr="00483B32" w:rsidRDefault="00DF2E7F" w:rsidP="00DF2E7F">
      <w:r>
        <w:rPr>
          <w:color w:val="000000" w:themeColor="text1"/>
          <w:szCs w:val="18"/>
        </w:rPr>
        <w:t>Počet povolených incidentů pro telefonickou podporu se liší na základě vašich získaných bodů výhod SA. Pokud máte krytí SA pro minimálně jeden kvalifikující serverový produkt, máte nárok na doplňkový incident.</w:t>
      </w:r>
      <w:r>
        <w:rPr>
          <w:rFonts w:cs="Tahoma"/>
          <w:color w:val="000000" w:themeColor="text1"/>
          <w:szCs w:val="18"/>
        </w:rPr>
        <w:t xml:space="preserve"> Počet dní incidentů telefonické podpory, na které máte nárok, je založen na všech vypočtených bodech získaných </w:t>
      </w:r>
      <w:r>
        <w:rPr>
          <w:color w:val="000000" w:themeColor="text1"/>
          <w:szCs w:val="18"/>
        </w:rPr>
        <w:t>prostřednictvím vaší nákupní jednotky, viz níže (viz část Výpočet bodů výhod Software Assurance pro smlouvu MPSA tohoto dokumentu, kde naleznete podrobnosti o způsobu výpočtu bodů výhod SA):</w:t>
      </w:r>
    </w:p>
    <w:tbl>
      <w:tblPr>
        <w:tblStyle w:val="TableGrid"/>
        <w:tblW w:w="0" w:type="auto"/>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060"/>
        <w:gridCol w:w="3240"/>
      </w:tblGrid>
      <w:tr w:rsidR="00DF2E7F" w:rsidRPr="005B13F2" w:rsidTr="0019337E">
        <w:trPr>
          <w:tblHeader/>
        </w:trPr>
        <w:tc>
          <w:tcPr>
            <w:tcW w:w="3060" w:type="dxa"/>
            <w:shd w:val="clear" w:color="auto" w:fill="BF8F00" w:themeFill="accent4" w:themeFillShade="BF"/>
            <w:vAlign w:val="center"/>
          </w:tcPr>
          <w:p w:rsidR="00DF2E7F" w:rsidRPr="005B13F2" w:rsidRDefault="00DF2E7F" w:rsidP="0019337E">
            <w:pPr>
              <w:pStyle w:val="ProductList-Body"/>
              <w:spacing w:before="20" w:after="20"/>
              <w:rPr>
                <w:color w:val="FFFFFF" w:themeColor="background1"/>
                <w:szCs w:val="18"/>
              </w:rPr>
            </w:pPr>
            <w:r>
              <w:rPr>
                <w:color w:val="FFFFFF" w:themeColor="background1"/>
                <w:szCs w:val="18"/>
              </w:rPr>
              <w:t>Skupina</w:t>
            </w:r>
          </w:p>
        </w:tc>
        <w:tc>
          <w:tcPr>
            <w:tcW w:w="3240" w:type="dxa"/>
            <w:shd w:val="clear" w:color="auto" w:fill="BF8F00" w:themeFill="accent4" w:themeFillShade="BF"/>
            <w:vAlign w:val="center"/>
          </w:tcPr>
          <w:p w:rsidR="00DF2E7F" w:rsidRPr="005B13F2" w:rsidRDefault="00DF2E7F" w:rsidP="0019337E">
            <w:pPr>
              <w:pStyle w:val="ProductList-Body"/>
              <w:spacing w:before="20" w:after="20"/>
              <w:jc w:val="center"/>
              <w:rPr>
                <w:color w:val="FFFFFF" w:themeColor="background1"/>
                <w:szCs w:val="18"/>
              </w:rPr>
            </w:pPr>
            <w:r>
              <w:rPr>
                <w:color w:val="FFFFFF" w:themeColor="background1"/>
                <w:szCs w:val="18"/>
              </w:rPr>
              <w:t>Body na incident telefonické podpory</w:t>
            </w:r>
          </w:p>
        </w:tc>
      </w:tr>
      <w:tr w:rsidR="00DF2E7F" w:rsidRPr="005B13F2" w:rsidTr="0019337E">
        <w:trPr>
          <w:trHeight w:val="60"/>
        </w:trPr>
        <w:tc>
          <w:tcPr>
            <w:tcW w:w="3060" w:type="dxa"/>
          </w:tcPr>
          <w:p w:rsidR="00DF2E7F" w:rsidRPr="00C118D4" w:rsidRDefault="00DF2E7F" w:rsidP="0019337E">
            <w:pPr>
              <w:pStyle w:val="ProductList-Body"/>
              <w:rPr>
                <w:color w:val="000000" w:themeColor="text1"/>
                <w:szCs w:val="18"/>
              </w:rPr>
            </w:pPr>
            <w:r>
              <w:rPr>
                <w:rFonts w:cs="Tahoma"/>
                <w:color w:val="000000" w:themeColor="text1"/>
                <w:szCs w:val="18"/>
              </w:rPr>
              <w:t>Aplikace a systémy (kombinované)</w:t>
            </w:r>
          </w:p>
        </w:tc>
        <w:tc>
          <w:tcPr>
            <w:tcW w:w="3240" w:type="dxa"/>
            <w:vAlign w:val="center"/>
          </w:tcPr>
          <w:p w:rsidR="00DF2E7F" w:rsidRPr="00C118D4" w:rsidRDefault="00DF2E7F" w:rsidP="0019337E">
            <w:pPr>
              <w:pStyle w:val="ProductList-Body"/>
              <w:jc w:val="center"/>
              <w:rPr>
                <w:color w:val="000000" w:themeColor="text1"/>
                <w:szCs w:val="18"/>
              </w:rPr>
            </w:pPr>
            <w:r>
              <w:rPr>
                <w:color w:val="000000" w:themeColor="text1"/>
                <w:szCs w:val="18"/>
              </w:rPr>
              <w:t>2000</w:t>
            </w:r>
          </w:p>
        </w:tc>
      </w:tr>
      <w:tr w:rsidR="00DF2E7F" w:rsidRPr="005B13F2" w:rsidTr="0019337E">
        <w:trPr>
          <w:trHeight w:val="60"/>
        </w:trPr>
        <w:tc>
          <w:tcPr>
            <w:tcW w:w="3060" w:type="dxa"/>
          </w:tcPr>
          <w:p w:rsidR="00DF2E7F" w:rsidRPr="00C118D4" w:rsidRDefault="00DF2E7F" w:rsidP="0019337E">
            <w:pPr>
              <w:pStyle w:val="ProductList-Body"/>
              <w:rPr>
                <w:rFonts w:cs="Tahoma"/>
                <w:color w:val="000000" w:themeColor="text1"/>
                <w:szCs w:val="18"/>
              </w:rPr>
            </w:pPr>
            <w:r>
              <w:rPr>
                <w:rFonts w:cs="Tahoma"/>
                <w:color w:val="000000" w:themeColor="text1"/>
                <w:szCs w:val="18"/>
              </w:rPr>
              <w:t>Serverové</w:t>
            </w:r>
          </w:p>
        </w:tc>
        <w:tc>
          <w:tcPr>
            <w:tcW w:w="3240" w:type="dxa"/>
            <w:vAlign w:val="center"/>
          </w:tcPr>
          <w:p w:rsidR="00DF2E7F" w:rsidRPr="00C118D4" w:rsidRDefault="00DF2E7F" w:rsidP="0019337E">
            <w:pPr>
              <w:pStyle w:val="ProductList-Body"/>
              <w:jc w:val="center"/>
              <w:rPr>
                <w:color w:val="000000" w:themeColor="text1"/>
                <w:szCs w:val="18"/>
              </w:rPr>
            </w:pPr>
            <w:r>
              <w:rPr>
                <w:color w:val="000000" w:themeColor="text1"/>
                <w:szCs w:val="18"/>
              </w:rPr>
              <w:t>400</w:t>
            </w:r>
          </w:p>
        </w:tc>
      </w:tr>
      <w:tr w:rsidR="00DF2E7F" w:rsidRPr="005B13F2" w:rsidTr="0019337E">
        <w:trPr>
          <w:trHeight w:val="60"/>
        </w:trPr>
        <w:tc>
          <w:tcPr>
            <w:tcW w:w="3060" w:type="dxa"/>
          </w:tcPr>
          <w:p w:rsidR="00DF2E7F" w:rsidRPr="00C118D4" w:rsidRDefault="00DF2E7F" w:rsidP="0019337E">
            <w:pPr>
              <w:pStyle w:val="ProductList-Body"/>
              <w:rPr>
                <w:rFonts w:cs="Tahoma"/>
                <w:color w:val="000000" w:themeColor="text1"/>
                <w:szCs w:val="18"/>
              </w:rPr>
            </w:pPr>
            <w:r>
              <w:rPr>
                <w:rFonts w:cs="Tahoma"/>
                <w:color w:val="000000" w:themeColor="text1"/>
                <w:szCs w:val="18"/>
              </w:rPr>
              <w:t>CAL</w:t>
            </w:r>
          </w:p>
        </w:tc>
        <w:tc>
          <w:tcPr>
            <w:tcW w:w="3240" w:type="dxa"/>
            <w:vAlign w:val="center"/>
          </w:tcPr>
          <w:p w:rsidR="00DF2E7F" w:rsidRPr="00C118D4" w:rsidRDefault="00DF2E7F" w:rsidP="0019337E">
            <w:pPr>
              <w:pStyle w:val="ProductList-Body"/>
              <w:jc w:val="center"/>
              <w:rPr>
                <w:color w:val="000000" w:themeColor="text1"/>
                <w:szCs w:val="18"/>
              </w:rPr>
            </w:pPr>
            <w:r>
              <w:rPr>
                <w:color w:val="000000" w:themeColor="text1"/>
                <w:szCs w:val="18"/>
              </w:rPr>
              <w:t>400</w:t>
            </w:r>
          </w:p>
        </w:tc>
      </w:tr>
    </w:tbl>
    <w:p w:rsidR="00DF2E7F" w:rsidRPr="00483B32" w:rsidRDefault="00DF2E7F" w:rsidP="00DF2E7F">
      <w:pPr>
        <w:ind w:firstLine="180"/>
      </w:pPr>
    </w:p>
    <w:p w:rsidR="00DF2E7F" w:rsidRPr="00483B32" w:rsidRDefault="00DF2E7F" w:rsidP="00DF2E7F">
      <w:pPr>
        <w:pStyle w:val="ProductList-Body"/>
        <w:spacing w:after="120"/>
      </w:pPr>
      <w:r>
        <w:rPr>
          <w:rFonts w:ascii="Segoe UI" w:hAnsi="Segoe UI"/>
          <w:color w:val="000000" w:themeColor="text1"/>
          <w:szCs w:val="18"/>
        </w:rPr>
        <w:t>Incidenty mají nárok v průběhu doby krytí SA a lze je využít od začátku krytí SA, bez ohledu na to, zda jste si zvolili rozložené platby, či nikoli. Nákupy provedené po úvodní objednávce způsobí přepočet udělených incidentů a ročního přidělení. Nevyužité incidenty telefonické podpory vyprší současně s uplynutím doby účinnosti krytí SA. Incidenty telefonické podpory nelze převádět mezi jednotlivými nákupními jednotkami.</w:t>
      </w:r>
    </w:p>
    <w:p w:rsidR="00DF2E7F" w:rsidRPr="00483B32" w:rsidRDefault="00DF2E7F" w:rsidP="00DF2E7F">
      <w:pPr>
        <w:pStyle w:val="ProductList-Body"/>
      </w:pPr>
      <w:r>
        <w:rPr>
          <w:rFonts w:ascii="Segoe UI" w:hAnsi="Segoe UI"/>
          <w:color w:val="000000" w:themeColor="text1"/>
          <w:szCs w:val="18"/>
        </w:rPr>
        <w:t xml:space="preserve">Přístup k místní telefonické podpoře je k dispozici během pracovní doby uvedené na webu </w:t>
      </w:r>
      <w:hyperlink r:id="rId23" w:history="1">
        <w:r>
          <w:rPr>
            <w:rStyle w:val="Hyperlink"/>
            <w:rFonts w:ascii="Segoe UI" w:hAnsi="Segoe UI"/>
            <w:szCs w:val="18"/>
          </w:rPr>
          <w:t>http://support.microsoft.com/gp/saphone</w:t>
        </w:r>
      </w:hyperlink>
      <w:r>
        <w:rPr>
          <w:rFonts w:ascii="Segoe UI" w:hAnsi="Segoe UI"/>
          <w:color w:val="000000" w:themeColor="text1"/>
          <w:szCs w:val="18"/>
        </w:rPr>
        <w:t>. Telefonická podpora po pracovní době může být poskytována prostřednictvím regionálních a mezinárodních center podpory. Telefonickou podporu po pracovní době lze použít pouze k iniciaci požadavků na kritickou podnikovou podporu. Pracovní doba je stanovena pro jednotlivé regiony zvlášť. Telefonická podpora je k dispozici pouze v některých regionech a určitých jazycích.</w:t>
      </w:r>
    </w:p>
    <w:p w:rsidR="00DF2E7F" w:rsidRPr="00483B32" w:rsidRDefault="00DF2E7F" w:rsidP="00DF2E7F">
      <w:pPr>
        <w:pStyle w:val="Thirdheading"/>
      </w:pPr>
      <w:r>
        <w:rPr>
          <w:b/>
        </w:rPr>
        <w:t xml:space="preserve">Webové incidenty </w:t>
      </w:r>
    </w:p>
    <w:p w:rsidR="00DF2E7F" w:rsidRPr="00483B32" w:rsidRDefault="00DF2E7F" w:rsidP="00DF2E7F">
      <w:pPr>
        <w:pStyle w:val="ProductList-Body"/>
      </w:pPr>
      <w:r>
        <w:rPr>
          <w:rFonts w:ascii="Segoe UI" w:hAnsi="Segoe UI"/>
          <w:color w:val="000000" w:themeColor="text1"/>
          <w:szCs w:val="18"/>
        </w:rPr>
        <w:t>Nákupy s edicemi Standard, Enterprise a Datacenter serverového softwaru zahrnutými do krytí SA mají dle potřeby přístup ke službám elektronické webové podpory řešení problémů. Přístup k webům elektronické podpory je k dispozici 24 hodin denně, 7 dní v týdnu; odpovědi však budou poskytovány během pracovní doby. Pracovní dobu pro jednotlivé regiony naleznete v oddílu „Incidenty telefonické podpory“ výše.</w:t>
      </w:r>
    </w:p>
    <w:p w:rsidR="00DF2E7F" w:rsidRPr="00483B32" w:rsidRDefault="00DF2E7F" w:rsidP="00DF2E7F">
      <w:pPr>
        <w:pStyle w:val="ProductList-Body"/>
        <w:spacing w:before="120" w:after="120"/>
      </w:pPr>
      <w:r>
        <w:rPr>
          <w:rFonts w:ascii="Segoe UI" w:hAnsi="Segoe UI"/>
          <w:color w:val="000000" w:themeColor="text1"/>
          <w:szCs w:val="18"/>
        </w:rPr>
        <w:t xml:space="preserve">Incidenty inicializované telefonicky se po vyřešení započítávají do dostupného zůstatku telefonických incidentů. Incidenty inicializované prostřednictvím webu jsou realizovány dle potřeby prostřednictvím webu, e-mailu nebo jiných elektronických prostředků. Incidenty </w:t>
      </w:r>
      <w:r>
        <w:rPr>
          <w:rFonts w:ascii="Segoe UI" w:hAnsi="Segoe UI"/>
          <w:color w:val="000000" w:themeColor="text1"/>
          <w:szCs w:val="18"/>
        </w:rPr>
        <w:lastRenderedPageBreak/>
        <w:t xml:space="preserve">inicializované prostřednictvím webu a následně vámi převedené na řešení po telefonu se po vyřešení započítávají do dostupného zůstatku telefonických incidentů. Incidenty inicializované prostřednictvím webu a následně dokončené telefonicky společností Microsoft se nezapočítávají do dostupného zůstatku telefonických incidentů, pokud se v řešení pokračuje na webu, e-mailem nebo jinými elektronickými prostředky. </w:t>
      </w:r>
    </w:p>
    <w:p w:rsidR="00DF2E7F" w:rsidRPr="007E7A10" w:rsidRDefault="00DF2E7F" w:rsidP="00DF2E7F">
      <w:pPr>
        <w:pStyle w:val="ProductList-Body"/>
        <w:rPr>
          <w:rFonts w:ascii="Segoe UI" w:hAnsi="Segoe UI"/>
          <w:color w:val="000000" w:themeColor="text1"/>
          <w:szCs w:val="18"/>
        </w:rPr>
      </w:pPr>
      <w:r>
        <w:rPr>
          <w:rFonts w:ascii="Segoe UI" w:hAnsi="Segoe UI"/>
          <w:color w:val="000000" w:themeColor="text1"/>
          <w:szCs w:val="18"/>
        </w:rPr>
        <w:t xml:space="preserve">V případě incidentů webové podpory je pro serverový software a související licence CAL vyžadováno krytí SA. Smíte předkládat žádosti o webovou podporu řešení problémů pouze pro tyto licencované kopie serverového softwaru zahrnuté do krytí SA. Incidenty webové podpory nelze převádět v rámci licencí. </w:t>
      </w:r>
      <w:r w:rsidRPr="007E7A10">
        <w:rPr>
          <w:rFonts w:ascii="Segoe UI" w:hAnsi="Segoe UI"/>
          <w:color w:val="000000" w:themeColor="text1"/>
          <w:szCs w:val="18"/>
        </w:rPr>
        <w:t>Další informace o přidělování nebo změně přidělení licencí pro fyzické servery naleznete v podmínky produktu.</w:t>
      </w:r>
    </w:p>
    <w:p w:rsidR="00DF2E7F" w:rsidRPr="00483B32" w:rsidRDefault="00DF2E7F" w:rsidP="00DF2E7F">
      <w:pPr>
        <w:pStyle w:val="Thirdheading"/>
      </w:pPr>
      <w:r>
        <w:rPr>
          <w:b/>
        </w:rPr>
        <w:t>Kontakty podpory</w:t>
      </w:r>
    </w:p>
    <w:p w:rsidR="00DF2E7F" w:rsidRPr="00483B32" w:rsidRDefault="00DF2E7F" w:rsidP="00DF2E7F">
      <w:pPr>
        <w:spacing w:line="240" w:lineRule="auto"/>
      </w:pPr>
      <w:r>
        <w:rPr>
          <w:color w:val="000000" w:themeColor="text1"/>
          <w:szCs w:val="18"/>
        </w:rPr>
        <w:t>Počet</w:t>
      </w:r>
      <w:r>
        <w:rPr>
          <w:rFonts w:cs="Tahoma"/>
          <w:color w:val="000000" w:themeColor="text1"/>
          <w:szCs w:val="18"/>
        </w:rPr>
        <w:t xml:space="preserve"> povolených kontaktů podpory podle nákupní jednotky je uveden níže. Kontakty musí být definované osoby a mohou zahrnovat jednotlivce také mimo vaši organizaci. Jako kontakt však nemůže být uvedena organizace, oddělení ani název skupiny.</w:t>
      </w:r>
    </w:p>
    <w:p w:rsidR="00DF2E7F" w:rsidRPr="00483B32" w:rsidRDefault="00DF2E7F" w:rsidP="00DF2E7F">
      <w:pPr>
        <w:spacing w:line="240" w:lineRule="auto"/>
      </w:pPr>
    </w:p>
    <w:tbl>
      <w:tblPr>
        <w:tblW w:w="6570" w:type="dxa"/>
        <w:tblInd w:w="9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1E0" w:firstRow="1" w:lastRow="1" w:firstColumn="1" w:lastColumn="1" w:noHBand="0" w:noVBand="0"/>
      </w:tblPr>
      <w:tblGrid>
        <w:gridCol w:w="4680"/>
        <w:gridCol w:w="1890"/>
      </w:tblGrid>
      <w:tr w:rsidR="00DF2E7F" w:rsidRPr="005B13F2" w:rsidTr="0019337E">
        <w:trPr>
          <w:trHeight w:val="178"/>
          <w:tblHeader/>
        </w:trPr>
        <w:tc>
          <w:tcPr>
            <w:tcW w:w="4680" w:type="dxa"/>
            <w:shd w:val="clear" w:color="auto" w:fill="8064A2"/>
            <w:vAlign w:val="center"/>
          </w:tcPr>
          <w:p w:rsidR="00DF2E7F" w:rsidRPr="002123CF" w:rsidRDefault="00DF2E7F" w:rsidP="0019337E">
            <w:pPr>
              <w:pStyle w:val="ProductList-Body"/>
              <w:rPr>
                <w:rFonts w:ascii="Segoe UI" w:hAnsi="Segoe UI"/>
                <w:color w:val="FFFFFF" w:themeColor="background1"/>
                <w:szCs w:val="18"/>
              </w:rPr>
            </w:pPr>
            <w:r>
              <w:rPr>
                <w:rFonts w:ascii="Segoe UI" w:hAnsi="Segoe UI"/>
                <w:color w:val="FFFFFF" w:themeColor="background1"/>
                <w:szCs w:val="18"/>
              </w:rPr>
              <w:t>Výhody</w:t>
            </w:r>
          </w:p>
        </w:tc>
        <w:tc>
          <w:tcPr>
            <w:tcW w:w="1890" w:type="dxa"/>
            <w:shd w:val="clear" w:color="auto" w:fill="8064A2"/>
            <w:vAlign w:val="center"/>
          </w:tcPr>
          <w:p w:rsidR="00DF2E7F" w:rsidRPr="002123CF" w:rsidRDefault="00DF2E7F" w:rsidP="0019337E">
            <w:pPr>
              <w:pStyle w:val="ProductList-Body"/>
              <w:spacing w:before="20" w:after="20"/>
              <w:jc w:val="center"/>
              <w:rPr>
                <w:rFonts w:ascii="Segoe UI" w:hAnsi="Segoe UI"/>
                <w:color w:val="FFFFFF" w:themeColor="background1"/>
                <w:szCs w:val="18"/>
              </w:rPr>
            </w:pPr>
            <w:r>
              <w:rPr>
                <w:rFonts w:ascii="Segoe UI" w:hAnsi="Segoe UI"/>
                <w:color w:val="FFFFFF" w:themeColor="background1"/>
                <w:szCs w:val="18"/>
              </w:rPr>
              <w:t>Na nákupní jednotku</w:t>
            </w:r>
          </w:p>
        </w:tc>
      </w:tr>
      <w:tr w:rsidR="00DF2E7F" w:rsidRPr="005B13F2" w:rsidTr="0019337E">
        <w:trPr>
          <w:trHeight w:val="236"/>
        </w:trPr>
        <w:tc>
          <w:tcPr>
            <w:tcW w:w="4680" w:type="dxa"/>
            <w:vAlign w:val="center"/>
          </w:tcPr>
          <w:p w:rsidR="00DF2E7F" w:rsidRPr="002123CF" w:rsidRDefault="00DF2E7F" w:rsidP="0019337E">
            <w:pPr>
              <w:pStyle w:val="ProductList-Body"/>
              <w:rPr>
                <w:rFonts w:ascii="Segoe UI" w:hAnsi="Segoe UI"/>
                <w:color w:val="000000" w:themeColor="text1"/>
                <w:szCs w:val="18"/>
              </w:rPr>
            </w:pPr>
            <w:r>
              <w:rPr>
                <w:rFonts w:ascii="Segoe UI" w:hAnsi="Segoe UI"/>
                <w:color w:val="000000" w:themeColor="text1"/>
                <w:szCs w:val="18"/>
              </w:rPr>
              <w:t>Počet kontaktů podpory telefonického řešení problémů</w:t>
            </w:r>
          </w:p>
        </w:tc>
        <w:tc>
          <w:tcPr>
            <w:tcW w:w="1890" w:type="dxa"/>
            <w:vAlign w:val="center"/>
          </w:tcPr>
          <w:p w:rsidR="00DF2E7F" w:rsidRPr="002123CF" w:rsidRDefault="00DF2E7F" w:rsidP="0019337E">
            <w:pPr>
              <w:pStyle w:val="ProductList-Body"/>
              <w:jc w:val="center"/>
              <w:rPr>
                <w:rFonts w:ascii="Segoe UI" w:hAnsi="Segoe UI"/>
                <w:color w:val="000000" w:themeColor="text1"/>
                <w:szCs w:val="18"/>
              </w:rPr>
            </w:pPr>
            <w:r>
              <w:rPr>
                <w:rFonts w:ascii="Segoe UI" w:hAnsi="Segoe UI"/>
                <w:color w:val="000000" w:themeColor="text1"/>
                <w:szCs w:val="18"/>
              </w:rPr>
              <w:t>Podle potřeby</w:t>
            </w:r>
          </w:p>
        </w:tc>
      </w:tr>
      <w:tr w:rsidR="00DF2E7F" w:rsidRPr="005B13F2" w:rsidTr="0019337E">
        <w:trPr>
          <w:trHeight w:val="236"/>
        </w:trPr>
        <w:tc>
          <w:tcPr>
            <w:tcW w:w="4680" w:type="dxa"/>
            <w:vAlign w:val="center"/>
          </w:tcPr>
          <w:p w:rsidR="00DF2E7F" w:rsidRPr="002123CF" w:rsidRDefault="00DF2E7F" w:rsidP="0019337E">
            <w:pPr>
              <w:pStyle w:val="ProductList-Body"/>
              <w:rPr>
                <w:rFonts w:ascii="Segoe UI" w:hAnsi="Segoe UI"/>
                <w:color w:val="000000" w:themeColor="text1"/>
                <w:szCs w:val="18"/>
              </w:rPr>
            </w:pPr>
            <w:r>
              <w:rPr>
                <w:rFonts w:ascii="Segoe UI" w:hAnsi="Segoe UI"/>
                <w:color w:val="000000" w:themeColor="text1"/>
                <w:szCs w:val="18"/>
              </w:rPr>
              <w:t>Počet autorizovaných kontaktů webové podpory</w:t>
            </w:r>
          </w:p>
        </w:tc>
        <w:tc>
          <w:tcPr>
            <w:tcW w:w="1890" w:type="dxa"/>
            <w:vAlign w:val="center"/>
          </w:tcPr>
          <w:p w:rsidR="00DF2E7F" w:rsidRPr="002123CF" w:rsidRDefault="00DF2E7F" w:rsidP="0019337E">
            <w:pPr>
              <w:pStyle w:val="ProductList-Body"/>
              <w:jc w:val="center"/>
              <w:rPr>
                <w:rFonts w:ascii="Segoe UI" w:hAnsi="Segoe UI"/>
                <w:color w:val="000000" w:themeColor="text1"/>
                <w:szCs w:val="18"/>
              </w:rPr>
            </w:pPr>
            <w:r>
              <w:rPr>
                <w:rFonts w:ascii="Segoe UI" w:hAnsi="Segoe UI"/>
                <w:color w:val="000000" w:themeColor="text1"/>
                <w:szCs w:val="18"/>
              </w:rPr>
              <w:t>4</w:t>
            </w:r>
          </w:p>
        </w:tc>
      </w:tr>
    </w:tbl>
    <w:p w:rsidR="00DF2E7F" w:rsidRPr="00483B32" w:rsidRDefault="00DF2E7F" w:rsidP="00DF2E7F">
      <w:pPr>
        <w:pStyle w:val="Thirdheading"/>
      </w:pPr>
      <w:bookmarkStart w:id="48" w:name="_Toc240899166"/>
      <w:r>
        <w:rPr>
          <w:b/>
        </w:rPr>
        <w:t>Úroveň služby pro zákazníky Software Assurance</w:t>
      </w:r>
      <w:bookmarkEnd w:id="48"/>
    </w:p>
    <w:p w:rsidR="00DF2E7F" w:rsidRPr="00483B32" w:rsidRDefault="00DF2E7F" w:rsidP="00DF2E7F">
      <w:pPr>
        <w:pStyle w:val="ProductList-Body"/>
      </w:pPr>
      <w:r>
        <w:rPr>
          <w:rFonts w:ascii="Segoe UI" w:hAnsi="Segoe UI"/>
          <w:color w:val="000000" w:themeColor="text1"/>
          <w:szCs w:val="18"/>
        </w:rPr>
        <w:t>Žádosti o podporu mohou být oznamovány telefonicky nebo elektronicky určenými kontaktními osobami vašich organizací, a to s výjimkou úrovně závažnosti A a B, u kterých je třeba oznámení provést telefonicky, jak je uvedeno níže. Vaší povinností je nastavit počáteční úroveň závažnosti na základě konzultace s námi. Úroveň závažnosti můžeme kdykoli na základě vaší žádosti změnit. Odhadované doby reakce podle úrovně závažnosti a vašich odpovědností jsou definovány v následující tabulce:</w:t>
      </w:r>
    </w:p>
    <w:p w:rsidR="00DF2E7F" w:rsidRPr="00483B32" w:rsidRDefault="00DF2E7F" w:rsidP="00DF2E7F">
      <w:pPr>
        <w:pStyle w:val="ProductList-Body"/>
      </w:pPr>
    </w:p>
    <w:tbl>
      <w:tblPr>
        <w:tblW w:w="1053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00" w:firstRow="0" w:lastRow="0" w:firstColumn="0" w:lastColumn="0" w:noHBand="0" w:noVBand="0"/>
      </w:tblPr>
      <w:tblGrid>
        <w:gridCol w:w="1170"/>
        <w:gridCol w:w="2790"/>
        <w:gridCol w:w="3690"/>
        <w:gridCol w:w="2880"/>
      </w:tblGrid>
      <w:tr w:rsidR="00DF2E7F" w:rsidRPr="00717EC0" w:rsidTr="0019337E">
        <w:trPr>
          <w:trHeight w:val="160"/>
          <w:tblHeader/>
        </w:trPr>
        <w:tc>
          <w:tcPr>
            <w:tcW w:w="1170" w:type="dxa"/>
            <w:shd w:val="clear" w:color="auto" w:fill="FFC000" w:themeFill="accent4"/>
            <w:tcMar>
              <w:top w:w="0" w:type="dxa"/>
              <w:left w:w="108" w:type="dxa"/>
              <w:bottom w:w="0" w:type="dxa"/>
              <w:right w:w="108" w:type="dxa"/>
            </w:tcMar>
            <w:vAlign w:val="center"/>
          </w:tcPr>
          <w:p w:rsidR="00DF2E7F" w:rsidRPr="002123CF" w:rsidRDefault="00DF2E7F" w:rsidP="0019337E">
            <w:pPr>
              <w:pStyle w:val="ProductList-Body"/>
              <w:spacing w:before="20" w:after="20"/>
              <w:rPr>
                <w:rFonts w:ascii="Segoe UI" w:hAnsi="Segoe UI"/>
                <w:color w:val="FFFFFF" w:themeColor="background1"/>
                <w:szCs w:val="18"/>
              </w:rPr>
            </w:pPr>
            <w:r>
              <w:rPr>
                <w:rFonts w:ascii="Segoe UI" w:hAnsi="Segoe UI"/>
                <w:color w:val="FFFFFF" w:themeColor="background1"/>
                <w:szCs w:val="18"/>
              </w:rPr>
              <w:t>Závažnost</w:t>
            </w:r>
          </w:p>
        </w:tc>
        <w:tc>
          <w:tcPr>
            <w:tcW w:w="2790" w:type="dxa"/>
            <w:shd w:val="clear" w:color="auto" w:fill="FFC000" w:themeFill="accent4"/>
            <w:tcMar>
              <w:top w:w="0" w:type="dxa"/>
              <w:left w:w="108" w:type="dxa"/>
              <w:bottom w:w="0" w:type="dxa"/>
              <w:right w:w="108" w:type="dxa"/>
            </w:tcMar>
            <w:vAlign w:val="center"/>
          </w:tcPr>
          <w:p w:rsidR="00DF2E7F" w:rsidRPr="002123CF" w:rsidRDefault="00DF2E7F" w:rsidP="0019337E">
            <w:pPr>
              <w:pStyle w:val="ProductList-Body"/>
              <w:spacing w:before="20" w:after="20"/>
              <w:rPr>
                <w:rFonts w:ascii="Segoe UI" w:hAnsi="Segoe UI"/>
                <w:color w:val="FFFFFF" w:themeColor="background1"/>
                <w:szCs w:val="18"/>
              </w:rPr>
            </w:pPr>
            <w:r>
              <w:rPr>
                <w:rFonts w:ascii="Segoe UI" w:hAnsi="Segoe UI"/>
                <w:color w:val="FFFFFF" w:themeColor="background1"/>
                <w:szCs w:val="18"/>
              </w:rPr>
              <w:t>Situace</w:t>
            </w:r>
          </w:p>
        </w:tc>
        <w:tc>
          <w:tcPr>
            <w:tcW w:w="3690" w:type="dxa"/>
            <w:shd w:val="clear" w:color="auto" w:fill="FFC000" w:themeFill="accent4"/>
            <w:tcMar>
              <w:top w:w="0" w:type="dxa"/>
              <w:left w:w="108" w:type="dxa"/>
              <w:bottom w:w="0" w:type="dxa"/>
              <w:right w:w="108" w:type="dxa"/>
            </w:tcMar>
            <w:vAlign w:val="center"/>
          </w:tcPr>
          <w:p w:rsidR="00DF2E7F" w:rsidRPr="002123CF" w:rsidRDefault="00DF2E7F" w:rsidP="0019337E">
            <w:pPr>
              <w:pStyle w:val="ProductList-Body"/>
              <w:spacing w:before="20" w:after="20"/>
              <w:rPr>
                <w:rFonts w:ascii="Segoe UI" w:hAnsi="Segoe UI"/>
                <w:color w:val="FFFFFF" w:themeColor="background1"/>
                <w:szCs w:val="18"/>
              </w:rPr>
            </w:pPr>
            <w:r>
              <w:rPr>
                <w:rFonts w:ascii="Segoe UI" w:hAnsi="Segoe UI"/>
                <w:color w:val="FFFFFF" w:themeColor="background1"/>
                <w:szCs w:val="18"/>
              </w:rPr>
              <w:t>Naše očekávaná reakce</w:t>
            </w:r>
          </w:p>
        </w:tc>
        <w:tc>
          <w:tcPr>
            <w:tcW w:w="2880" w:type="dxa"/>
            <w:shd w:val="clear" w:color="auto" w:fill="FFC000" w:themeFill="accent4"/>
            <w:tcMar>
              <w:top w:w="0" w:type="dxa"/>
              <w:left w:w="108" w:type="dxa"/>
              <w:bottom w:w="0" w:type="dxa"/>
              <w:right w:w="108" w:type="dxa"/>
            </w:tcMar>
            <w:vAlign w:val="center"/>
          </w:tcPr>
          <w:p w:rsidR="00DF2E7F" w:rsidRPr="002123CF" w:rsidRDefault="00DF2E7F" w:rsidP="0019337E">
            <w:pPr>
              <w:pStyle w:val="ProductList-Body"/>
              <w:spacing w:before="20" w:after="20"/>
              <w:rPr>
                <w:rFonts w:ascii="Segoe UI" w:hAnsi="Segoe UI"/>
                <w:color w:val="FFFFFF" w:themeColor="background1"/>
                <w:szCs w:val="18"/>
              </w:rPr>
            </w:pPr>
            <w:r>
              <w:rPr>
                <w:rFonts w:ascii="Segoe UI" w:hAnsi="Segoe UI"/>
                <w:color w:val="FFFFFF" w:themeColor="background1"/>
                <w:szCs w:val="18"/>
              </w:rPr>
              <w:t>Vaše očekávaná reakce</w:t>
            </w:r>
          </w:p>
        </w:tc>
      </w:tr>
      <w:tr w:rsidR="00DF2E7F" w:rsidRPr="00717EC0" w:rsidTr="0019337E">
        <w:tc>
          <w:tcPr>
            <w:tcW w:w="1170" w:type="dxa"/>
            <w:tcMar>
              <w:top w:w="0" w:type="dxa"/>
              <w:left w:w="108" w:type="dxa"/>
              <w:bottom w:w="0" w:type="dxa"/>
              <w:right w:w="108" w:type="dxa"/>
            </w:tcMar>
          </w:tcPr>
          <w:p w:rsidR="00DF2E7F" w:rsidRPr="002123CF" w:rsidRDefault="00DF2E7F" w:rsidP="0019337E">
            <w:pPr>
              <w:pStyle w:val="ProductList-Body"/>
              <w:rPr>
                <w:rFonts w:ascii="Segoe UI" w:hAnsi="Segoe UI"/>
                <w:color w:val="000000" w:themeColor="text1"/>
                <w:szCs w:val="18"/>
              </w:rPr>
            </w:pPr>
            <w:r>
              <w:rPr>
                <w:rFonts w:ascii="Segoe UI" w:hAnsi="Segoe UI"/>
                <w:color w:val="000000" w:themeColor="text1"/>
                <w:szCs w:val="18"/>
              </w:rPr>
              <w:t xml:space="preserve">A. Oznámení telefonicky </w:t>
            </w:r>
          </w:p>
        </w:tc>
        <w:tc>
          <w:tcPr>
            <w:tcW w:w="2790" w:type="dxa"/>
            <w:tcMar>
              <w:top w:w="0" w:type="dxa"/>
              <w:left w:w="108" w:type="dxa"/>
              <w:bottom w:w="0" w:type="dxa"/>
              <w:right w:w="108" w:type="dxa"/>
            </w:tcMar>
          </w:tcPr>
          <w:p w:rsidR="00DF2E7F" w:rsidRPr="00483B32" w:rsidRDefault="00DF2E7F" w:rsidP="0019337E">
            <w:pPr>
              <w:pStyle w:val="ProductList-Body"/>
            </w:pPr>
            <w:r>
              <w:rPr>
                <w:rFonts w:ascii="Segoe UI" w:hAnsi="Segoe UI"/>
                <w:color w:val="000000" w:themeColor="text1"/>
                <w:szCs w:val="18"/>
              </w:rPr>
              <w:t xml:space="preserve">Kritický dopad na firmu: </w:t>
            </w:r>
          </w:p>
          <w:p w:rsidR="00DF2E7F" w:rsidRPr="002123CF" w:rsidRDefault="00DF2E7F" w:rsidP="0019337E">
            <w:pPr>
              <w:pStyle w:val="ProductList-Body"/>
              <w:rPr>
                <w:rFonts w:ascii="Segoe UI" w:hAnsi="Segoe UI"/>
                <w:color w:val="000000" w:themeColor="text1"/>
                <w:szCs w:val="18"/>
              </w:rPr>
            </w:pPr>
            <w:r>
              <w:rPr>
                <w:rFonts w:ascii="Segoe UI" w:hAnsi="Segoe UI"/>
                <w:color w:val="000000" w:themeColor="text1"/>
                <w:szCs w:val="18"/>
              </w:rPr>
              <w:t>Vaše společnost zaznamenala významnou ztrátu nebo zhoršení úrovně služeb</w:t>
            </w:r>
          </w:p>
        </w:tc>
        <w:tc>
          <w:tcPr>
            <w:tcW w:w="3690" w:type="dxa"/>
            <w:tcMar>
              <w:top w:w="0" w:type="dxa"/>
              <w:left w:w="108" w:type="dxa"/>
              <w:bottom w:w="0" w:type="dxa"/>
              <w:right w:w="108" w:type="dxa"/>
            </w:tcMar>
          </w:tcPr>
          <w:p w:rsidR="00DF2E7F" w:rsidRPr="00483B32" w:rsidRDefault="00DF2E7F" w:rsidP="0019337E">
            <w:pPr>
              <w:pStyle w:val="ProductList-Body"/>
            </w:pPr>
            <w:r>
              <w:rPr>
                <w:rFonts w:ascii="Segoe UI" w:hAnsi="Segoe UI"/>
                <w:color w:val="000000" w:themeColor="text1"/>
                <w:szCs w:val="18"/>
              </w:rPr>
              <w:t>První telefonická reakce do dvou hodin nebo dříve na základě nabídky podpory</w:t>
            </w:r>
          </w:p>
          <w:p w:rsidR="00DF2E7F" w:rsidRPr="00483B32" w:rsidRDefault="00DF2E7F" w:rsidP="0019337E">
            <w:pPr>
              <w:pStyle w:val="ProductList-Body"/>
            </w:pPr>
            <w:r>
              <w:rPr>
                <w:rFonts w:ascii="Segoe UI" w:hAnsi="Segoe UI"/>
                <w:color w:val="000000" w:themeColor="text1"/>
                <w:szCs w:val="18"/>
              </w:rPr>
              <w:t>Zaměstnanci společnosti Microsoft se podle potřeby dostaví na vaše pracoviště.</w:t>
            </w:r>
          </w:p>
          <w:p w:rsidR="00DF2E7F" w:rsidRPr="00483B32" w:rsidRDefault="00DF2E7F" w:rsidP="0019337E">
            <w:pPr>
              <w:pStyle w:val="ProductList-Body"/>
            </w:pPr>
            <w:r>
              <w:rPr>
                <w:rFonts w:ascii="Segoe UI" w:hAnsi="Segoe UI"/>
                <w:color w:val="000000" w:themeColor="text1"/>
                <w:szCs w:val="18"/>
              </w:rPr>
              <w:t>Nepřetržité úsilí 24 h/7 dní v týdnu</w:t>
            </w:r>
          </w:p>
          <w:p w:rsidR="00DF2E7F" w:rsidRPr="002123CF" w:rsidRDefault="00DF2E7F" w:rsidP="0019337E">
            <w:pPr>
              <w:pStyle w:val="ProductList-Body"/>
              <w:rPr>
                <w:rFonts w:ascii="Segoe UI" w:hAnsi="Segoe UI"/>
                <w:color w:val="000000" w:themeColor="text1"/>
                <w:szCs w:val="18"/>
              </w:rPr>
            </w:pPr>
            <w:r>
              <w:rPr>
                <w:rFonts w:ascii="Segoe UI" w:hAnsi="Segoe UI"/>
                <w:color w:val="000000" w:themeColor="text1"/>
                <w:szCs w:val="18"/>
              </w:rPr>
              <w:t>Upozornění senior manažerů společnosti Microsoft na základě nabídky podpory</w:t>
            </w:r>
          </w:p>
        </w:tc>
        <w:tc>
          <w:tcPr>
            <w:tcW w:w="2880" w:type="dxa"/>
            <w:tcMar>
              <w:top w:w="0" w:type="dxa"/>
              <w:left w:w="108" w:type="dxa"/>
              <w:bottom w:w="0" w:type="dxa"/>
              <w:right w:w="108" w:type="dxa"/>
            </w:tcMar>
          </w:tcPr>
          <w:p w:rsidR="00DF2E7F" w:rsidRPr="00483B32" w:rsidRDefault="00DF2E7F" w:rsidP="0019337E">
            <w:pPr>
              <w:pStyle w:val="ProductList-Body"/>
            </w:pPr>
            <w:r>
              <w:rPr>
                <w:rFonts w:ascii="Segoe UI" w:hAnsi="Segoe UI"/>
                <w:color w:val="000000" w:themeColor="text1"/>
                <w:szCs w:val="18"/>
              </w:rPr>
              <w:t>Přiřazení příslušných zaměstnanců, aby bylo možné zajistit nepřetržité úsilí</w:t>
            </w:r>
            <w:r>
              <w:rPr>
                <w:rFonts w:ascii="Segoe UI" w:hAnsi="Segoe UI"/>
                <w:color w:val="000000" w:themeColor="text1"/>
                <w:szCs w:val="18"/>
                <w:vertAlign w:val="superscript"/>
              </w:rPr>
              <w:t>2</w:t>
            </w:r>
          </w:p>
          <w:p w:rsidR="00DF2E7F" w:rsidRPr="00483B32" w:rsidRDefault="00DF2E7F" w:rsidP="0019337E">
            <w:pPr>
              <w:pStyle w:val="ProductList-Body"/>
            </w:pPr>
            <w:r>
              <w:rPr>
                <w:rFonts w:ascii="Segoe UI" w:hAnsi="Segoe UI"/>
                <w:color w:val="000000" w:themeColor="text1"/>
                <w:szCs w:val="18"/>
              </w:rPr>
              <w:t>Rychlý přístup a reakce osoby s oprávněním k řízení změn</w:t>
            </w:r>
          </w:p>
          <w:p w:rsidR="00DF2E7F" w:rsidRPr="002123CF" w:rsidRDefault="00DF2E7F" w:rsidP="0019337E">
            <w:pPr>
              <w:pStyle w:val="ProductList-Body"/>
              <w:rPr>
                <w:rFonts w:ascii="Segoe UI" w:hAnsi="Segoe UI"/>
                <w:color w:val="000000" w:themeColor="text1"/>
                <w:szCs w:val="18"/>
              </w:rPr>
            </w:pPr>
            <w:r>
              <w:rPr>
                <w:rFonts w:ascii="Segoe UI" w:hAnsi="Segoe UI"/>
                <w:color w:val="000000" w:themeColor="text1"/>
                <w:szCs w:val="18"/>
              </w:rPr>
              <w:t>Oznámení situace vašemu managementu</w:t>
            </w:r>
          </w:p>
        </w:tc>
      </w:tr>
      <w:tr w:rsidR="00DF2E7F" w:rsidRPr="00717EC0" w:rsidTr="0019337E">
        <w:tc>
          <w:tcPr>
            <w:tcW w:w="1170" w:type="dxa"/>
            <w:tcMar>
              <w:top w:w="0" w:type="dxa"/>
              <w:left w:w="108" w:type="dxa"/>
              <w:bottom w:w="0" w:type="dxa"/>
              <w:right w:w="108" w:type="dxa"/>
            </w:tcMar>
          </w:tcPr>
          <w:p w:rsidR="00DF2E7F" w:rsidRPr="002123CF" w:rsidRDefault="00DF2E7F" w:rsidP="0019337E">
            <w:pPr>
              <w:pStyle w:val="ProductList-Body"/>
              <w:rPr>
                <w:rFonts w:ascii="Segoe UI" w:hAnsi="Segoe UI"/>
                <w:color w:val="000000" w:themeColor="text1"/>
                <w:szCs w:val="18"/>
              </w:rPr>
            </w:pPr>
            <w:r>
              <w:rPr>
                <w:rFonts w:ascii="Segoe UI" w:hAnsi="Segoe UI"/>
                <w:color w:val="000000" w:themeColor="text1"/>
                <w:szCs w:val="18"/>
              </w:rPr>
              <w:t xml:space="preserve">B. Oznámení telefonicky </w:t>
            </w:r>
          </w:p>
        </w:tc>
        <w:tc>
          <w:tcPr>
            <w:tcW w:w="2790" w:type="dxa"/>
            <w:tcMar>
              <w:top w:w="0" w:type="dxa"/>
              <w:left w:w="108" w:type="dxa"/>
              <w:bottom w:w="0" w:type="dxa"/>
              <w:right w:w="108" w:type="dxa"/>
            </w:tcMar>
          </w:tcPr>
          <w:p w:rsidR="00DF2E7F" w:rsidRPr="00483B32" w:rsidRDefault="00DF2E7F" w:rsidP="0019337E">
            <w:pPr>
              <w:pStyle w:val="ProductList-Body"/>
            </w:pPr>
            <w:r>
              <w:rPr>
                <w:rFonts w:ascii="Segoe UI" w:hAnsi="Segoe UI"/>
                <w:color w:val="000000" w:themeColor="text1"/>
                <w:szCs w:val="18"/>
              </w:rPr>
              <w:t xml:space="preserve">Střední dopad na firmu: </w:t>
            </w:r>
          </w:p>
          <w:p w:rsidR="00DF2E7F" w:rsidRPr="002123CF" w:rsidRDefault="00DF2E7F" w:rsidP="0019337E">
            <w:pPr>
              <w:pStyle w:val="ProductList-Body"/>
              <w:rPr>
                <w:rFonts w:ascii="Segoe UI" w:hAnsi="Segoe UI"/>
                <w:color w:val="000000" w:themeColor="text1"/>
                <w:szCs w:val="18"/>
              </w:rPr>
            </w:pPr>
            <w:r>
              <w:rPr>
                <w:rFonts w:ascii="Segoe UI" w:hAnsi="Segoe UI"/>
                <w:color w:val="000000" w:themeColor="text1"/>
                <w:szCs w:val="18"/>
              </w:rPr>
              <w:t>Vaše společnost zaznamenala střední ztrátu nebo zhoršení kvality služeb, ale práce mohou přiměřeně na snížené úrovni pokračovat.</w:t>
            </w:r>
          </w:p>
        </w:tc>
        <w:tc>
          <w:tcPr>
            <w:tcW w:w="3690" w:type="dxa"/>
            <w:tcMar>
              <w:top w:w="0" w:type="dxa"/>
              <w:left w:w="108" w:type="dxa"/>
              <w:bottom w:w="0" w:type="dxa"/>
              <w:right w:w="108" w:type="dxa"/>
            </w:tcMar>
          </w:tcPr>
          <w:p w:rsidR="00DF2E7F" w:rsidRPr="00483B32" w:rsidRDefault="00DF2E7F" w:rsidP="0019337E">
            <w:pPr>
              <w:pStyle w:val="ProductList-Body"/>
            </w:pPr>
            <w:r>
              <w:rPr>
                <w:rFonts w:ascii="Segoe UI" w:hAnsi="Segoe UI"/>
                <w:color w:val="000000" w:themeColor="text1"/>
                <w:szCs w:val="18"/>
              </w:rPr>
              <w:t>První telefonická reakce do čtyř hodin nebo dříve na základě nabídky podpory</w:t>
            </w:r>
          </w:p>
          <w:p w:rsidR="00DF2E7F" w:rsidRPr="00483B32" w:rsidRDefault="00DF2E7F" w:rsidP="0019337E">
            <w:pPr>
              <w:pStyle w:val="ProductList-Body"/>
            </w:pPr>
            <w:r>
              <w:rPr>
                <w:rFonts w:ascii="Segoe UI" w:hAnsi="Segoe UI"/>
                <w:color w:val="000000" w:themeColor="text1"/>
                <w:szCs w:val="18"/>
              </w:rPr>
              <w:t>Úsilí pouze během pracovní doby</w:t>
            </w:r>
            <w:r>
              <w:rPr>
                <w:rFonts w:ascii="Segoe UI" w:hAnsi="Segoe UI"/>
                <w:color w:val="000000" w:themeColor="text1"/>
                <w:szCs w:val="18"/>
                <w:vertAlign w:val="superscript"/>
              </w:rPr>
              <w:t>1</w:t>
            </w:r>
          </w:p>
          <w:p w:rsidR="00DF2E7F" w:rsidRPr="002123CF" w:rsidRDefault="00DF2E7F" w:rsidP="0019337E">
            <w:pPr>
              <w:pStyle w:val="ProductList-Body"/>
              <w:rPr>
                <w:rFonts w:ascii="Segoe UI" w:hAnsi="Segoe UI"/>
                <w:color w:val="000000" w:themeColor="text1"/>
                <w:szCs w:val="18"/>
              </w:rPr>
            </w:pPr>
          </w:p>
        </w:tc>
        <w:tc>
          <w:tcPr>
            <w:tcW w:w="2880" w:type="dxa"/>
            <w:tcMar>
              <w:top w:w="0" w:type="dxa"/>
              <w:left w:w="108" w:type="dxa"/>
              <w:bottom w:w="0" w:type="dxa"/>
              <w:right w:w="108" w:type="dxa"/>
            </w:tcMar>
          </w:tcPr>
          <w:p w:rsidR="00DF2E7F" w:rsidRPr="00483B32" w:rsidRDefault="00DF2E7F" w:rsidP="0019337E">
            <w:pPr>
              <w:pStyle w:val="ProductList-Body"/>
            </w:pPr>
            <w:r>
              <w:rPr>
                <w:rFonts w:ascii="Segoe UI" w:hAnsi="Segoe UI"/>
                <w:color w:val="000000" w:themeColor="text1"/>
                <w:szCs w:val="18"/>
              </w:rPr>
              <w:t>Přiřazení příslušných zaměstnanců, aby bylo možné zajistit nepřetržité úsilí v rámci pracovní doby</w:t>
            </w:r>
            <w:r>
              <w:rPr>
                <w:rFonts w:ascii="Segoe UI" w:hAnsi="Segoe UI"/>
                <w:color w:val="000000" w:themeColor="text1"/>
                <w:szCs w:val="18"/>
                <w:vertAlign w:val="superscript"/>
              </w:rPr>
              <w:t>1</w:t>
            </w:r>
          </w:p>
          <w:p w:rsidR="00DF2E7F" w:rsidRPr="002123CF" w:rsidRDefault="00DF2E7F" w:rsidP="0019337E">
            <w:pPr>
              <w:pStyle w:val="ProductList-Body"/>
              <w:rPr>
                <w:rFonts w:ascii="Segoe UI" w:hAnsi="Segoe UI"/>
                <w:color w:val="000000" w:themeColor="text1"/>
                <w:szCs w:val="18"/>
              </w:rPr>
            </w:pPr>
            <w:r>
              <w:rPr>
                <w:rFonts w:ascii="Segoe UI" w:hAnsi="Segoe UI"/>
                <w:color w:val="000000" w:themeColor="text1"/>
                <w:szCs w:val="18"/>
              </w:rPr>
              <w:t>Přístup a reakce osoby s oprávněním k řízení změn do čtyř pracovních hodin</w:t>
            </w:r>
            <w:r>
              <w:rPr>
                <w:rFonts w:ascii="Segoe UI" w:hAnsi="Segoe UI"/>
                <w:color w:val="000000" w:themeColor="text1"/>
                <w:szCs w:val="18"/>
                <w:vertAlign w:val="superscript"/>
              </w:rPr>
              <w:t>1</w:t>
            </w:r>
          </w:p>
        </w:tc>
      </w:tr>
      <w:tr w:rsidR="00DF2E7F" w:rsidRPr="00717EC0" w:rsidTr="0019337E">
        <w:tc>
          <w:tcPr>
            <w:tcW w:w="1170" w:type="dxa"/>
            <w:tcMar>
              <w:top w:w="0" w:type="dxa"/>
              <w:left w:w="108" w:type="dxa"/>
              <w:bottom w:w="0" w:type="dxa"/>
              <w:right w:w="108" w:type="dxa"/>
            </w:tcMar>
          </w:tcPr>
          <w:p w:rsidR="00DF2E7F" w:rsidRPr="002123CF" w:rsidRDefault="00DF2E7F" w:rsidP="0019337E">
            <w:pPr>
              <w:pStyle w:val="ProductList-Body"/>
              <w:rPr>
                <w:rFonts w:ascii="Segoe UI" w:hAnsi="Segoe UI"/>
                <w:color w:val="000000" w:themeColor="text1"/>
                <w:szCs w:val="18"/>
              </w:rPr>
            </w:pPr>
            <w:r>
              <w:rPr>
                <w:rFonts w:ascii="Segoe UI" w:hAnsi="Segoe UI"/>
                <w:color w:val="000000" w:themeColor="text1"/>
                <w:szCs w:val="18"/>
              </w:rPr>
              <w:t>C. Oznámení telefonicky nebo na webu</w:t>
            </w:r>
          </w:p>
        </w:tc>
        <w:tc>
          <w:tcPr>
            <w:tcW w:w="2790" w:type="dxa"/>
            <w:tcMar>
              <w:top w:w="0" w:type="dxa"/>
              <w:left w:w="108" w:type="dxa"/>
              <w:bottom w:w="0" w:type="dxa"/>
              <w:right w:w="108" w:type="dxa"/>
            </w:tcMar>
          </w:tcPr>
          <w:p w:rsidR="00DF2E7F" w:rsidRPr="00483B32" w:rsidRDefault="00DF2E7F" w:rsidP="0019337E">
            <w:pPr>
              <w:pStyle w:val="ProductList-Body"/>
            </w:pPr>
            <w:r>
              <w:rPr>
                <w:rFonts w:ascii="Segoe UI" w:hAnsi="Segoe UI"/>
                <w:color w:val="000000" w:themeColor="text1"/>
                <w:szCs w:val="18"/>
              </w:rPr>
              <w:t xml:space="preserve">Minimální dopad na firmu: </w:t>
            </w:r>
          </w:p>
          <w:p w:rsidR="00DF2E7F" w:rsidRPr="002123CF" w:rsidRDefault="00DF2E7F" w:rsidP="0019337E">
            <w:pPr>
              <w:pStyle w:val="ProductList-Body"/>
              <w:rPr>
                <w:rFonts w:ascii="Segoe UI" w:hAnsi="Segoe UI"/>
                <w:color w:val="000000" w:themeColor="text1"/>
                <w:szCs w:val="18"/>
              </w:rPr>
            </w:pPr>
            <w:r>
              <w:rPr>
                <w:rFonts w:ascii="Segoe UI" w:hAnsi="Segoe UI"/>
                <w:color w:val="000000" w:themeColor="text1"/>
                <w:szCs w:val="18"/>
              </w:rPr>
              <w:t>Vaše firma v podstatě funguje s menšími nebo žádnými omezeními služeb</w:t>
            </w:r>
          </w:p>
        </w:tc>
        <w:tc>
          <w:tcPr>
            <w:tcW w:w="3690" w:type="dxa"/>
            <w:tcMar>
              <w:top w:w="0" w:type="dxa"/>
              <w:left w:w="108" w:type="dxa"/>
              <w:bottom w:w="0" w:type="dxa"/>
              <w:right w:w="108" w:type="dxa"/>
            </w:tcMar>
          </w:tcPr>
          <w:p w:rsidR="00DF2E7F" w:rsidRPr="00483B32" w:rsidRDefault="00DF2E7F" w:rsidP="0019337E">
            <w:pPr>
              <w:pStyle w:val="ProductList-Body"/>
            </w:pPr>
            <w:r>
              <w:rPr>
                <w:rFonts w:ascii="Segoe UI" w:hAnsi="Segoe UI"/>
                <w:color w:val="000000" w:themeColor="text1"/>
                <w:szCs w:val="18"/>
              </w:rPr>
              <w:t>První telefonická reakce do jednoho pracovního dne nebo dříve na základě nabídky podpory</w:t>
            </w:r>
          </w:p>
          <w:p w:rsidR="00DF2E7F" w:rsidRPr="00483B32" w:rsidRDefault="00DF2E7F" w:rsidP="0019337E">
            <w:pPr>
              <w:pStyle w:val="ProductList-Body"/>
            </w:pPr>
            <w:r>
              <w:rPr>
                <w:rFonts w:ascii="Segoe UI" w:hAnsi="Segoe UI"/>
                <w:color w:val="000000" w:themeColor="text1"/>
                <w:szCs w:val="18"/>
              </w:rPr>
              <w:t>Úsilí pouze během pracovní doby</w:t>
            </w:r>
            <w:r>
              <w:rPr>
                <w:rFonts w:ascii="Segoe UI" w:hAnsi="Segoe UI"/>
                <w:color w:val="000000" w:themeColor="text1"/>
                <w:szCs w:val="18"/>
                <w:vertAlign w:val="superscript"/>
              </w:rPr>
              <w:t>1</w:t>
            </w:r>
          </w:p>
          <w:p w:rsidR="00DF2E7F" w:rsidRPr="002123CF" w:rsidRDefault="00DF2E7F" w:rsidP="0019337E">
            <w:pPr>
              <w:pStyle w:val="ProductList-Body"/>
              <w:rPr>
                <w:rFonts w:ascii="Segoe UI" w:hAnsi="Segoe UI"/>
                <w:color w:val="000000" w:themeColor="text1"/>
                <w:szCs w:val="18"/>
              </w:rPr>
            </w:pPr>
          </w:p>
        </w:tc>
        <w:tc>
          <w:tcPr>
            <w:tcW w:w="2880" w:type="dxa"/>
            <w:tcMar>
              <w:top w:w="0" w:type="dxa"/>
              <w:left w:w="108" w:type="dxa"/>
              <w:bottom w:w="0" w:type="dxa"/>
              <w:right w:w="108" w:type="dxa"/>
            </w:tcMar>
          </w:tcPr>
          <w:p w:rsidR="00DF2E7F" w:rsidRPr="00483B32" w:rsidRDefault="00DF2E7F" w:rsidP="0019337E">
            <w:pPr>
              <w:pStyle w:val="ProductList-Body"/>
            </w:pPr>
            <w:r>
              <w:rPr>
                <w:rFonts w:ascii="Segoe UI" w:hAnsi="Segoe UI"/>
                <w:color w:val="000000" w:themeColor="text1"/>
                <w:szCs w:val="18"/>
              </w:rPr>
              <w:t>Přesné kontaktní údaje vlastníka případu</w:t>
            </w:r>
          </w:p>
          <w:p w:rsidR="00DF2E7F" w:rsidRPr="002123CF" w:rsidRDefault="00DF2E7F" w:rsidP="0019337E">
            <w:pPr>
              <w:pStyle w:val="ProductList-Body"/>
              <w:rPr>
                <w:rFonts w:ascii="Segoe UI" w:hAnsi="Segoe UI"/>
                <w:color w:val="000000" w:themeColor="text1"/>
                <w:szCs w:val="18"/>
              </w:rPr>
            </w:pPr>
            <w:r>
              <w:rPr>
                <w:rFonts w:ascii="Segoe UI" w:hAnsi="Segoe UI"/>
                <w:color w:val="000000" w:themeColor="text1"/>
                <w:szCs w:val="18"/>
              </w:rPr>
              <w:t>Reakce do jednoho pracovního dne</w:t>
            </w:r>
          </w:p>
        </w:tc>
      </w:tr>
    </w:tbl>
    <w:p w:rsidR="00DF2E7F" w:rsidRPr="00483B32" w:rsidRDefault="00DF2E7F" w:rsidP="00DF2E7F">
      <w:pPr>
        <w:pStyle w:val="ProductList-Body"/>
        <w:tabs>
          <w:tab w:val="clear" w:pos="158"/>
          <w:tab w:val="left" w:pos="180"/>
        </w:tabs>
      </w:pPr>
      <w:r>
        <w:rPr>
          <w:rFonts w:ascii="Segoe UI" w:hAnsi="Segoe UI"/>
          <w:color w:val="000000" w:themeColor="text1"/>
          <w:szCs w:val="18"/>
        </w:rPr>
        <w:t>1 Místní pracovní dobu vám sdělí zástupce společnosti Microsoft.</w:t>
      </w:r>
    </w:p>
    <w:p w:rsidR="00DF2E7F" w:rsidRPr="00483B32" w:rsidRDefault="00DF2E7F" w:rsidP="00DF2E7F">
      <w:pPr>
        <w:pStyle w:val="ProductList-Body"/>
        <w:tabs>
          <w:tab w:val="clear" w:pos="158"/>
          <w:tab w:val="left" w:pos="180"/>
        </w:tabs>
      </w:pPr>
      <w:r>
        <w:rPr>
          <w:rFonts w:ascii="Segoe UI" w:hAnsi="Segoe UI"/>
          <w:color w:val="000000" w:themeColor="text1"/>
          <w:szCs w:val="18"/>
        </w:rPr>
        <w:t>2 Pokud nezajistíte dostatečný počet zaměstnanců nebo nebudete dostatečně reagovat, abychom mohli pokračovat v řešení problému, můžeme být nuceni snížit stupeň závažnosti.</w:t>
      </w:r>
    </w:p>
    <w:p w:rsidR="00DF2E7F" w:rsidRPr="00483B32" w:rsidRDefault="00DF2E7F" w:rsidP="00DF2E7F">
      <w:pPr>
        <w:pStyle w:val="ProductList-Body"/>
        <w:spacing w:before="120" w:after="120"/>
      </w:pPr>
      <w:r>
        <w:rPr>
          <w:rFonts w:ascii="Segoe UI" w:hAnsi="Segoe UI"/>
          <w:color w:val="000000" w:themeColor="text1"/>
          <w:szCs w:val="18"/>
        </w:rPr>
        <w:t xml:space="preserve">Můžete být požádáni o provedení určení problému a jeho řešení mohou zahrnovat trasování sítě, zachycení chybových zpráv, shromáždění informací o konfiguraci, změnu konfigurace produktů, instalaci nových verzí softwaru nebo nových komponent či úpravu procesu. </w:t>
      </w:r>
    </w:p>
    <w:p w:rsidR="00DF2E7F" w:rsidRPr="00483B32" w:rsidRDefault="00DF2E7F" w:rsidP="00DF2E7F">
      <w:pPr>
        <w:pStyle w:val="ProductList-Body"/>
      </w:pPr>
      <w:r>
        <w:rPr>
          <w:rFonts w:ascii="Segoe UI" w:hAnsi="Segoe UI"/>
          <w:color w:val="000000" w:themeColor="text1"/>
          <w:szCs w:val="18"/>
        </w:rPr>
        <w:t>Nesete odpovědnost za implementaci procedur nezbytných k zabezpečení integrity a bezpečnosti svého softwaru a dat před neoprávněným přístupem a k obnově ztracených nebo pozměněných souborů v důsledku selhání.</w:t>
      </w:r>
    </w:p>
    <w:p w:rsidR="00DF2E7F" w:rsidRPr="00483B32" w:rsidRDefault="00DF2E7F" w:rsidP="00DF2E7F">
      <w:pPr>
        <w:pStyle w:val="ProductList-Body"/>
      </w:pPr>
      <w:r>
        <w:rPr>
          <w:rFonts w:ascii="Segoe UI" w:hAnsi="Segoe UI"/>
          <w:color w:val="000000" w:themeColor="text1"/>
          <w:szCs w:val="18"/>
        </w:rPr>
        <w:lastRenderedPageBreak/>
        <w:t xml:space="preserve">Tato výhoda podpory je spojena s investicí krytí SA, nikoli s verzí. </w:t>
      </w:r>
    </w:p>
    <w:p w:rsidR="00DF2E7F" w:rsidRPr="00483B32" w:rsidRDefault="00DF2E7F" w:rsidP="00DF2E7F">
      <w:pPr>
        <w:pStyle w:val="Hdg1noborder"/>
        <w:spacing w:before="120"/>
        <w:rPr>
          <w:rFonts w:eastAsiaTheme="majorEastAsia"/>
        </w:rPr>
      </w:pPr>
      <w:bookmarkStart w:id="49" w:name="_New_Version_Rights_1"/>
      <w:bookmarkStart w:id="50" w:name="_Toc403380306"/>
      <w:bookmarkStart w:id="51" w:name="_Toc403985024"/>
      <w:bookmarkStart w:id="52" w:name="_Toc428180923"/>
      <w:bookmarkEnd w:id="49"/>
      <w:r>
        <w:rPr>
          <w:rFonts w:asciiTheme="majorHAnsi" w:eastAsiaTheme="majorEastAsia" w:hAnsiTheme="majorHAnsi" w:cstheme="majorBidi"/>
          <w:bCs/>
          <w:color w:val="FFC000" w:themeColor="accent4"/>
          <w:sz w:val="28"/>
          <w:szCs w:val="26"/>
        </w:rPr>
        <w:t>Výhody kvalifikujících produktů</w:t>
      </w:r>
      <w:bookmarkEnd w:id="50"/>
      <w:bookmarkEnd w:id="51"/>
      <w:bookmarkEnd w:id="52"/>
    </w:p>
    <w:p w:rsidR="00DF2E7F" w:rsidRPr="00483B32" w:rsidRDefault="00DF2E7F" w:rsidP="00DF2E7F">
      <w:pPr>
        <w:pStyle w:val="Heading2"/>
      </w:pPr>
      <w:bookmarkStart w:id="53" w:name="_Práva_k_nové"/>
      <w:bookmarkStart w:id="54" w:name="_Toc403380307"/>
      <w:bookmarkStart w:id="55" w:name="_Toc403985025"/>
      <w:bookmarkStart w:id="56" w:name="_Toc428180924"/>
      <w:bookmarkEnd w:id="53"/>
      <w:r>
        <w:t>Práva k nové verzi</w:t>
      </w:r>
      <w:bookmarkEnd w:id="54"/>
      <w:bookmarkEnd w:id="55"/>
      <w:bookmarkEnd w:id="56"/>
    </w:p>
    <w:p w:rsidR="00DF2E7F" w:rsidRPr="00483B32" w:rsidRDefault="00DF2E7F" w:rsidP="00DF2E7F">
      <w:pPr>
        <w:pStyle w:val="ProductList-Body"/>
      </w:pPr>
      <w:r>
        <w:rPr>
          <w:rFonts w:ascii="Segoe UI" w:hAnsi="Segoe UI"/>
          <w:color w:val="000000" w:themeColor="text1"/>
          <w:szCs w:val="18"/>
        </w:rPr>
        <w:t>Práva k nové verzi znamenají pro libovolný základní licencovaný produkt, pro který je objednáno krytí SA, právo upgradovat na nejnovější verzi produktu, kterou zpřístupníme v období krytí, a provozovat ji místo původního licencovaného produktu. Používání nové verze se řídí licenčními podmínkami k dané verzi. Když prostřednictvím krytí SA získáte časově neomezené licence, můžete upgrady nasadit po uplynutí doby účinnosti pokrytí.</w:t>
      </w:r>
    </w:p>
    <w:p w:rsidR="00DF2E7F" w:rsidRPr="00483B32" w:rsidRDefault="00DF2E7F" w:rsidP="00DF2E7F">
      <w:pPr>
        <w:pStyle w:val="Heading2"/>
      </w:pPr>
      <w:bookmarkStart w:id="57" w:name="_Office_Multi_Language_1"/>
      <w:bookmarkStart w:id="58" w:name="_Toc403380308"/>
      <w:bookmarkStart w:id="59" w:name="_Toc403985026"/>
      <w:bookmarkStart w:id="60" w:name="_Toc428180925"/>
      <w:bookmarkEnd w:id="57"/>
      <w:r>
        <w:t>Office Multi Language Pack</w:t>
      </w:r>
      <w:bookmarkEnd w:id="58"/>
      <w:bookmarkEnd w:id="59"/>
      <w:bookmarkEnd w:id="60"/>
    </w:p>
    <w:p w:rsidR="00DF2E7F" w:rsidRPr="00483B32" w:rsidRDefault="00DF2E7F" w:rsidP="00DF2E7F">
      <w:pPr>
        <w:pStyle w:val="ProductList-Body"/>
      </w:pPr>
      <w:r>
        <w:rPr>
          <w:rFonts w:ascii="Segoe UI" w:hAnsi="Segoe UI"/>
          <w:color w:val="000000" w:themeColor="text1"/>
          <w:szCs w:val="18"/>
        </w:rPr>
        <w:t>Tato výhoda vám umožňuje používat nejnovější verzi balíčku Office Multi Language Pack s kopiemi softwaru Office System (viz tabulku níže), které jste oprávněni používat v rámci kvalifikujících licencí. Máte-li práva na užívání softwaru na základě kvalifikující licence, budete oprávněni s daným softwarem používat balíček Office Multi Language Pack. Právo na užívání balíčku Office Multi Language Pack vyprší po vypršení platnosti práv v rámci kvalifikující licence k systému Office.</w:t>
      </w:r>
    </w:p>
    <w:tbl>
      <w:tblPr>
        <w:tblW w:w="1080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600"/>
        <w:gridCol w:w="3600"/>
        <w:gridCol w:w="3600"/>
      </w:tblGrid>
      <w:tr w:rsidR="00DF2E7F" w:rsidRPr="00717EC0" w:rsidTr="0019337E">
        <w:trPr>
          <w:trHeight w:val="60"/>
          <w:tblHeader/>
        </w:trPr>
        <w:tc>
          <w:tcPr>
            <w:tcW w:w="10800" w:type="dxa"/>
            <w:gridSpan w:val="3"/>
            <w:shd w:val="clear" w:color="auto" w:fill="FFC000" w:themeFill="accent4"/>
            <w:vAlign w:val="center"/>
          </w:tcPr>
          <w:p w:rsidR="00DF2E7F" w:rsidRPr="002123CF" w:rsidRDefault="00DF2E7F" w:rsidP="0019337E">
            <w:pPr>
              <w:pStyle w:val="ProductList-Body"/>
              <w:rPr>
                <w:rFonts w:ascii="Segoe UI" w:hAnsi="Segoe UI"/>
                <w:color w:val="000000" w:themeColor="text1"/>
                <w:szCs w:val="18"/>
              </w:rPr>
            </w:pPr>
            <w:r>
              <w:rPr>
                <w:rFonts w:ascii="Segoe UI" w:hAnsi="Segoe UI"/>
                <w:color w:val="FFFFFF" w:themeColor="background1"/>
                <w:szCs w:val="18"/>
              </w:rPr>
              <w:t>Produkty skupiny aplikací systému Office</w:t>
            </w:r>
          </w:p>
        </w:tc>
      </w:tr>
      <w:tr w:rsidR="00DF2E7F" w:rsidRPr="00717EC0" w:rsidTr="0019337E">
        <w:trPr>
          <w:trHeight w:val="438"/>
        </w:trPr>
        <w:tc>
          <w:tcPr>
            <w:tcW w:w="3600" w:type="dxa"/>
          </w:tcPr>
          <w:p w:rsidR="00DF2E7F" w:rsidRPr="00483B32" w:rsidRDefault="00DF2E7F" w:rsidP="0019337E">
            <w:pPr>
              <w:pStyle w:val="ProductList-Body"/>
            </w:pPr>
            <w:r>
              <w:rPr>
                <w:rFonts w:ascii="Segoe UI" w:hAnsi="Segoe UI"/>
                <w:color w:val="000000" w:themeColor="text1"/>
                <w:szCs w:val="18"/>
              </w:rPr>
              <w:t>Office Standard 2013</w:t>
            </w:r>
            <w:r>
              <w:fldChar w:fldCharType="begin"/>
            </w:r>
            <w:r>
              <w:instrText>XE "Office Standard 2013"</w:instrText>
            </w:r>
            <w:r>
              <w:fldChar w:fldCharType="end"/>
            </w:r>
          </w:p>
          <w:p w:rsidR="00DF2E7F" w:rsidRPr="00483B32" w:rsidRDefault="00DF2E7F" w:rsidP="0019337E">
            <w:pPr>
              <w:pStyle w:val="ProductList-Body"/>
            </w:pPr>
            <w:r>
              <w:rPr>
                <w:rFonts w:ascii="Segoe UI" w:hAnsi="Segoe UI"/>
                <w:color w:val="000000" w:themeColor="text1"/>
                <w:szCs w:val="18"/>
              </w:rPr>
              <w:t>Office Professional Plus 2013</w:t>
            </w:r>
            <w:r>
              <w:fldChar w:fldCharType="begin"/>
            </w:r>
            <w:r>
              <w:instrText>XE "Office Professional Plus 2013"</w:instrText>
            </w:r>
            <w:r>
              <w:fldChar w:fldCharType="end"/>
            </w:r>
            <w:r>
              <w:rPr>
                <w:rFonts w:ascii="Segoe UI" w:hAnsi="Segoe UI"/>
                <w:color w:val="000000" w:themeColor="text1"/>
                <w:szCs w:val="18"/>
              </w:rPr>
              <w:t xml:space="preserve"> </w:t>
            </w:r>
          </w:p>
          <w:p w:rsidR="00DF2E7F" w:rsidRPr="00483B32" w:rsidRDefault="00DF2E7F" w:rsidP="0019337E">
            <w:pPr>
              <w:pStyle w:val="ProductList-Body"/>
            </w:pPr>
            <w:r>
              <w:rPr>
                <w:rFonts w:ascii="Segoe UI" w:hAnsi="Segoe UI"/>
                <w:color w:val="000000" w:themeColor="text1"/>
                <w:szCs w:val="18"/>
              </w:rPr>
              <w:t>Project Standard 2013</w:t>
            </w:r>
            <w:r>
              <w:fldChar w:fldCharType="begin"/>
            </w:r>
            <w:r>
              <w:instrText>XE "Project Standard 2013"</w:instrText>
            </w:r>
            <w:r>
              <w:fldChar w:fldCharType="end"/>
            </w:r>
          </w:p>
          <w:p w:rsidR="00DF2E7F" w:rsidRPr="00483B32" w:rsidRDefault="00DF2E7F" w:rsidP="0019337E">
            <w:pPr>
              <w:pStyle w:val="ProductList-Body"/>
            </w:pPr>
            <w:r>
              <w:rPr>
                <w:rFonts w:ascii="Segoe UI" w:hAnsi="Segoe UI"/>
                <w:color w:val="000000" w:themeColor="text1"/>
                <w:szCs w:val="18"/>
              </w:rPr>
              <w:t>Project Professional 2013</w:t>
            </w:r>
            <w:r>
              <w:fldChar w:fldCharType="begin"/>
            </w:r>
            <w:r>
              <w:instrText>XE "Project Professional 2013"</w:instrText>
            </w:r>
            <w:r>
              <w:fldChar w:fldCharType="end"/>
            </w:r>
          </w:p>
          <w:p w:rsidR="00DF2E7F" w:rsidRPr="00483B32" w:rsidRDefault="00DF2E7F" w:rsidP="0019337E">
            <w:pPr>
              <w:pStyle w:val="ProductList-Body"/>
            </w:pPr>
            <w:r>
              <w:rPr>
                <w:rFonts w:ascii="Segoe UI" w:hAnsi="Segoe UI"/>
                <w:color w:val="000000" w:themeColor="text1"/>
                <w:szCs w:val="18"/>
              </w:rPr>
              <w:t>Visio Standard 2013</w:t>
            </w:r>
            <w:r>
              <w:fldChar w:fldCharType="begin"/>
            </w:r>
            <w:r>
              <w:instrText>XE "Visio Standard 2013"</w:instrText>
            </w:r>
            <w:r>
              <w:fldChar w:fldCharType="end"/>
            </w:r>
          </w:p>
          <w:p w:rsidR="00DF2E7F" w:rsidRPr="002123CF" w:rsidRDefault="00DF2E7F" w:rsidP="0019337E">
            <w:pPr>
              <w:pStyle w:val="ProductList-Body"/>
              <w:rPr>
                <w:rFonts w:ascii="Segoe UI" w:hAnsi="Segoe UI"/>
                <w:color w:val="000000" w:themeColor="text1"/>
                <w:szCs w:val="18"/>
              </w:rPr>
            </w:pPr>
            <w:r>
              <w:rPr>
                <w:rFonts w:ascii="Segoe UI" w:hAnsi="Segoe UI"/>
                <w:color w:val="000000" w:themeColor="text1"/>
                <w:szCs w:val="18"/>
              </w:rPr>
              <w:t>Visio Professional 2013</w:t>
            </w:r>
            <w:r>
              <w:fldChar w:fldCharType="begin"/>
            </w:r>
            <w:r>
              <w:instrText>XE "Visio Professional 2013"</w:instrText>
            </w:r>
            <w:r>
              <w:fldChar w:fldCharType="end"/>
            </w:r>
          </w:p>
        </w:tc>
        <w:tc>
          <w:tcPr>
            <w:tcW w:w="3600" w:type="dxa"/>
          </w:tcPr>
          <w:p w:rsidR="00DF2E7F" w:rsidRPr="00483B32" w:rsidRDefault="00DF2E7F" w:rsidP="0019337E">
            <w:pPr>
              <w:pStyle w:val="ProductList-Body"/>
            </w:pPr>
            <w:r>
              <w:rPr>
                <w:rFonts w:ascii="Segoe UI" w:hAnsi="Segoe UI"/>
                <w:color w:val="000000" w:themeColor="text1"/>
                <w:szCs w:val="18"/>
              </w:rPr>
              <w:t>Access 2013</w:t>
            </w:r>
            <w:r>
              <w:fldChar w:fldCharType="begin"/>
            </w:r>
            <w:r>
              <w:instrText>XE "Access 2013"</w:instrText>
            </w:r>
            <w:r>
              <w:fldChar w:fldCharType="end"/>
            </w:r>
          </w:p>
          <w:p w:rsidR="00DF2E7F" w:rsidRPr="00483B32" w:rsidRDefault="00DF2E7F" w:rsidP="0019337E">
            <w:pPr>
              <w:pStyle w:val="ProductList-Body"/>
            </w:pPr>
            <w:r>
              <w:rPr>
                <w:rFonts w:ascii="Segoe UI" w:hAnsi="Segoe UI"/>
                <w:color w:val="000000" w:themeColor="text1"/>
                <w:szCs w:val="18"/>
              </w:rPr>
              <w:t>Excel 2013</w:t>
            </w:r>
            <w:r>
              <w:fldChar w:fldCharType="begin"/>
            </w:r>
            <w:r>
              <w:instrText>XE "Excel 2013"</w:instrText>
            </w:r>
            <w:r>
              <w:fldChar w:fldCharType="end"/>
            </w:r>
            <w:r>
              <w:rPr>
                <w:rFonts w:ascii="Segoe UI" w:hAnsi="Segoe UI"/>
                <w:color w:val="000000" w:themeColor="text1"/>
                <w:szCs w:val="18"/>
              </w:rPr>
              <w:t xml:space="preserve"> </w:t>
            </w:r>
          </w:p>
          <w:p w:rsidR="00DF2E7F" w:rsidRPr="00483B32" w:rsidRDefault="00DF2E7F" w:rsidP="0019337E">
            <w:pPr>
              <w:pStyle w:val="ProductList-Body"/>
            </w:pPr>
            <w:r>
              <w:rPr>
                <w:rFonts w:ascii="Segoe UI" w:hAnsi="Segoe UI"/>
                <w:color w:val="000000" w:themeColor="text1"/>
                <w:szCs w:val="18"/>
              </w:rPr>
              <w:t>InfoPath 2013</w:t>
            </w:r>
            <w:r>
              <w:fldChar w:fldCharType="begin"/>
            </w:r>
            <w:r>
              <w:instrText>XE "InfoPath 2013"</w:instrText>
            </w:r>
            <w:r>
              <w:fldChar w:fldCharType="end"/>
            </w:r>
          </w:p>
          <w:p w:rsidR="00DF2E7F" w:rsidRPr="00483B32" w:rsidRDefault="00DF2E7F" w:rsidP="0019337E">
            <w:pPr>
              <w:pStyle w:val="ProductList-Body"/>
            </w:pPr>
            <w:r>
              <w:rPr>
                <w:rFonts w:ascii="Segoe UI" w:hAnsi="Segoe UI"/>
                <w:color w:val="000000" w:themeColor="text1"/>
                <w:szCs w:val="18"/>
              </w:rPr>
              <w:t>Lync 2013</w:t>
            </w:r>
            <w:r>
              <w:fldChar w:fldCharType="begin"/>
            </w:r>
            <w:r>
              <w:instrText>XE "Lync 2013"</w:instrText>
            </w:r>
            <w:r>
              <w:fldChar w:fldCharType="end"/>
            </w:r>
          </w:p>
          <w:p w:rsidR="00DF2E7F" w:rsidRPr="00483B32" w:rsidRDefault="00DF2E7F" w:rsidP="0019337E">
            <w:pPr>
              <w:pStyle w:val="ProductList-Body"/>
            </w:pPr>
            <w:r>
              <w:rPr>
                <w:rFonts w:ascii="Segoe UI" w:hAnsi="Segoe UI"/>
                <w:color w:val="000000" w:themeColor="text1"/>
                <w:szCs w:val="18"/>
              </w:rPr>
              <w:t>OneNote 2013</w:t>
            </w:r>
            <w:r>
              <w:fldChar w:fldCharType="begin"/>
            </w:r>
            <w:r>
              <w:instrText>XE "OneNote 2013"</w:instrText>
            </w:r>
            <w:r>
              <w:fldChar w:fldCharType="end"/>
            </w:r>
          </w:p>
          <w:p w:rsidR="00DF2E7F" w:rsidRPr="00483B32" w:rsidRDefault="00DF2E7F" w:rsidP="0019337E">
            <w:pPr>
              <w:pStyle w:val="ProductList-Body"/>
            </w:pPr>
            <w:r>
              <w:rPr>
                <w:rFonts w:ascii="Segoe UI" w:hAnsi="Segoe UI"/>
                <w:color w:val="000000" w:themeColor="text1"/>
                <w:szCs w:val="18"/>
              </w:rPr>
              <w:t>Outlook 2013</w:t>
            </w:r>
            <w:r>
              <w:fldChar w:fldCharType="begin"/>
            </w:r>
            <w:r>
              <w:instrText>XE "Outlook 2013"</w:instrText>
            </w:r>
            <w:r>
              <w:fldChar w:fldCharType="end"/>
            </w:r>
          </w:p>
          <w:p w:rsidR="00DF2E7F" w:rsidRPr="00483B32" w:rsidRDefault="00DF2E7F" w:rsidP="0019337E">
            <w:pPr>
              <w:pStyle w:val="ProductList-Body"/>
            </w:pPr>
            <w:r>
              <w:rPr>
                <w:rFonts w:ascii="Segoe UI" w:hAnsi="Segoe UI"/>
                <w:color w:val="000000" w:themeColor="text1"/>
                <w:szCs w:val="18"/>
              </w:rPr>
              <w:t>PowerPoint 2013</w:t>
            </w:r>
            <w:r>
              <w:fldChar w:fldCharType="begin"/>
            </w:r>
            <w:r>
              <w:instrText>XE "PowerPoint 2013"</w:instrText>
            </w:r>
            <w:r>
              <w:fldChar w:fldCharType="end"/>
            </w:r>
          </w:p>
          <w:p w:rsidR="00DF2E7F" w:rsidRPr="00483B32" w:rsidRDefault="00DF2E7F" w:rsidP="0019337E">
            <w:pPr>
              <w:pStyle w:val="ProductList-Body"/>
            </w:pPr>
            <w:r>
              <w:rPr>
                <w:rFonts w:ascii="Segoe UI" w:hAnsi="Segoe UI"/>
                <w:color w:val="000000" w:themeColor="text1"/>
                <w:szCs w:val="18"/>
              </w:rPr>
              <w:t>Publisher 2013</w:t>
            </w:r>
            <w:r>
              <w:fldChar w:fldCharType="begin"/>
            </w:r>
            <w:r>
              <w:instrText>XE "Publisher 2013"</w:instrText>
            </w:r>
            <w:r>
              <w:fldChar w:fldCharType="end"/>
            </w:r>
          </w:p>
          <w:p w:rsidR="00DF2E7F" w:rsidRPr="002123CF" w:rsidRDefault="00DF2E7F" w:rsidP="0019337E">
            <w:pPr>
              <w:pStyle w:val="ProductList-Body"/>
              <w:rPr>
                <w:rFonts w:ascii="Segoe UI" w:hAnsi="Segoe UI"/>
                <w:color w:val="000000" w:themeColor="text1"/>
                <w:szCs w:val="18"/>
              </w:rPr>
            </w:pPr>
            <w:r>
              <w:rPr>
                <w:rFonts w:ascii="Segoe UI" w:hAnsi="Segoe UI"/>
                <w:color w:val="000000" w:themeColor="text1"/>
                <w:szCs w:val="18"/>
              </w:rPr>
              <w:t>Word 2013</w:t>
            </w:r>
            <w:r>
              <w:fldChar w:fldCharType="begin"/>
            </w:r>
            <w:r>
              <w:instrText>XE "Word 2013"</w:instrText>
            </w:r>
            <w:r>
              <w:fldChar w:fldCharType="end"/>
            </w:r>
          </w:p>
        </w:tc>
        <w:tc>
          <w:tcPr>
            <w:tcW w:w="3600" w:type="dxa"/>
          </w:tcPr>
          <w:p w:rsidR="00DF2E7F" w:rsidRPr="00483B32" w:rsidRDefault="00DF2E7F" w:rsidP="0019337E">
            <w:pPr>
              <w:pStyle w:val="ProductList-Body"/>
            </w:pPr>
            <w:r>
              <w:rPr>
                <w:rFonts w:ascii="Segoe UI" w:hAnsi="Segoe UI"/>
                <w:color w:val="000000" w:themeColor="text1"/>
                <w:szCs w:val="18"/>
              </w:rPr>
              <w:t>Office for Mac Standard 2011</w:t>
            </w:r>
            <w:r>
              <w:fldChar w:fldCharType="begin"/>
            </w:r>
            <w:r>
              <w:instrText>XE "Office pro Mac Standard 2011"</w:instrText>
            </w:r>
            <w:r>
              <w:fldChar w:fldCharType="end"/>
            </w:r>
            <w:r>
              <w:rPr>
                <w:rFonts w:ascii="Segoe UI" w:hAnsi="Segoe UI"/>
                <w:color w:val="000000" w:themeColor="text1"/>
                <w:szCs w:val="18"/>
              </w:rPr>
              <w:t xml:space="preserve"> </w:t>
            </w:r>
          </w:p>
          <w:p w:rsidR="00DF2E7F" w:rsidRPr="00483B32" w:rsidRDefault="00DF2E7F" w:rsidP="0019337E">
            <w:pPr>
              <w:pStyle w:val="ProductList-Body"/>
            </w:pPr>
            <w:r>
              <w:rPr>
                <w:rFonts w:ascii="Segoe UI" w:hAnsi="Segoe UI"/>
                <w:color w:val="000000" w:themeColor="text1"/>
                <w:szCs w:val="18"/>
              </w:rPr>
              <w:t>Lync pro Mac 2011</w:t>
            </w:r>
            <w:r>
              <w:fldChar w:fldCharType="begin"/>
            </w:r>
            <w:r>
              <w:instrText>XE "Lync pro Mac 2011"</w:instrText>
            </w:r>
            <w:r>
              <w:fldChar w:fldCharType="end"/>
            </w:r>
          </w:p>
          <w:p w:rsidR="00DF2E7F" w:rsidRPr="00483B32" w:rsidRDefault="00DF2E7F" w:rsidP="0019337E">
            <w:pPr>
              <w:pStyle w:val="ProductList-Body"/>
            </w:pPr>
            <w:r>
              <w:rPr>
                <w:rFonts w:ascii="Segoe UI" w:hAnsi="Segoe UI"/>
                <w:color w:val="000000" w:themeColor="text1"/>
                <w:szCs w:val="18"/>
              </w:rPr>
              <w:t>Outlook pro Mac 2011</w:t>
            </w:r>
            <w:r>
              <w:fldChar w:fldCharType="begin"/>
            </w:r>
            <w:r>
              <w:instrText>XE "Outlook pro Mac 2011"</w:instrText>
            </w:r>
            <w:r>
              <w:fldChar w:fldCharType="end"/>
            </w:r>
          </w:p>
          <w:p w:rsidR="00DF2E7F" w:rsidRPr="00483B32" w:rsidRDefault="00DF2E7F" w:rsidP="0019337E">
            <w:pPr>
              <w:pStyle w:val="ProductList-Body"/>
            </w:pPr>
            <w:r>
              <w:rPr>
                <w:rFonts w:ascii="Segoe UI" w:hAnsi="Segoe UI"/>
                <w:color w:val="000000" w:themeColor="text1"/>
                <w:szCs w:val="18"/>
              </w:rPr>
              <w:t>PowerPoint pro Mac 2011</w:t>
            </w:r>
            <w:r>
              <w:fldChar w:fldCharType="begin"/>
            </w:r>
            <w:r>
              <w:instrText>XE "PowerPoint pro Mac 2011"</w:instrText>
            </w:r>
            <w:r>
              <w:fldChar w:fldCharType="end"/>
            </w:r>
          </w:p>
          <w:p w:rsidR="00DF2E7F" w:rsidRPr="00483B32" w:rsidRDefault="00DF2E7F" w:rsidP="0019337E">
            <w:pPr>
              <w:pStyle w:val="ProductList-Body"/>
            </w:pPr>
            <w:r>
              <w:rPr>
                <w:rFonts w:ascii="Segoe UI" w:hAnsi="Segoe UI"/>
                <w:color w:val="000000" w:themeColor="text1"/>
                <w:szCs w:val="18"/>
              </w:rPr>
              <w:t>Excel pro Mac 2011</w:t>
            </w:r>
            <w:r>
              <w:fldChar w:fldCharType="begin"/>
            </w:r>
            <w:r>
              <w:instrText>XE "Excel pro Mac 2011"</w:instrText>
            </w:r>
            <w:r>
              <w:fldChar w:fldCharType="end"/>
            </w:r>
          </w:p>
          <w:p w:rsidR="00DF2E7F" w:rsidRPr="002123CF" w:rsidRDefault="00DF2E7F" w:rsidP="0019337E">
            <w:pPr>
              <w:pStyle w:val="ProductList-Body"/>
              <w:rPr>
                <w:rFonts w:ascii="Segoe UI" w:hAnsi="Segoe UI"/>
                <w:color w:val="000000" w:themeColor="text1"/>
                <w:szCs w:val="18"/>
              </w:rPr>
            </w:pPr>
            <w:r>
              <w:rPr>
                <w:rFonts w:ascii="Segoe UI" w:hAnsi="Segoe UI"/>
                <w:color w:val="000000" w:themeColor="text1"/>
                <w:szCs w:val="18"/>
              </w:rPr>
              <w:t>Word pro Mac 2011</w:t>
            </w:r>
            <w:r>
              <w:fldChar w:fldCharType="begin"/>
            </w:r>
            <w:r>
              <w:instrText>XE "Word pro Mac 2011"</w:instrText>
            </w:r>
            <w:r>
              <w:fldChar w:fldCharType="end"/>
            </w:r>
          </w:p>
        </w:tc>
      </w:tr>
    </w:tbl>
    <w:p w:rsidR="00DF2E7F" w:rsidRPr="00483B32" w:rsidRDefault="00DF2E7F" w:rsidP="00DF2E7F">
      <w:pPr>
        <w:pStyle w:val="ProductList-Body"/>
        <w:tabs>
          <w:tab w:val="clear" w:pos="158"/>
          <w:tab w:val="left" w:pos="180"/>
        </w:tabs>
      </w:pPr>
      <w:r>
        <w:rPr>
          <w:rFonts w:ascii="Segoe UI" w:hAnsi="Segoe UI"/>
          <w:color w:val="000000" w:themeColor="text1"/>
          <w:szCs w:val="18"/>
        </w:rPr>
        <w:t>Poznámka: Seznam produktů skupiny Aplikace systému Office se může změnit.</w:t>
      </w:r>
    </w:p>
    <w:p w:rsidR="00DF2E7F" w:rsidRPr="00483B32" w:rsidRDefault="00DF2E7F" w:rsidP="00DF2E7F">
      <w:bookmarkStart w:id="61" w:name="_Office_Online_1"/>
      <w:bookmarkStart w:id="62" w:name="_Enhanced_Edition_Benefits_1"/>
      <w:bookmarkEnd w:id="43"/>
      <w:bookmarkEnd w:id="61"/>
      <w:bookmarkEnd w:id="62"/>
    </w:p>
    <w:p w:rsidR="00DF2E7F" w:rsidRPr="00483B32" w:rsidRDefault="00DF2E7F" w:rsidP="00DF2E7F">
      <w:pPr>
        <w:pStyle w:val="Heading2"/>
      </w:pPr>
      <w:bookmarkStart w:id="63" w:name="_Windows_Companion_Subscription"/>
      <w:bookmarkStart w:id="64" w:name="_Training_Vouchers"/>
      <w:bookmarkStart w:id="65" w:name="_E-Learning"/>
      <w:bookmarkStart w:id="66" w:name="_Toc403380310"/>
      <w:bookmarkStart w:id="67" w:name="_Toc403985028"/>
      <w:bookmarkStart w:id="68" w:name="_Toc428180926"/>
      <w:bookmarkEnd w:id="63"/>
      <w:bookmarkEnd w:id="64"/>
      <w:bookmarkEnd w:id="65"/>
      <w:r>
        <w:t>E-Learning</w:t>
      </w:r>
      <w:bookmarkEnd w:id="66"/>
      <w:bookmarkEnd w:id="67"/>
      <w:bookmarkEnd w:id="68"/>
    </w:p>
    <w:p w:rsidR="00DF2E7F" w:rsidRPr="00483B32" w:rsidRDefault="00DF2E7F" w:rsidP="00DF2E7F">
      <w:pPr>
        <w:pStyle w:val="ProductList-Body"/>
      </w:pPr>
      <w:r>
        <w:rPr>
          <w:rFonts w:ascii="Segoe UI" w:hAnsi="Segoe UI"/>
          <w:color w:val="000000" w:themeColor="text1"/>
          <w:szCs w:val="18"/>
        </w:rPr>
        <w:t xml:space="preserve">Pokud si zakoupíte produkt, který vám nabízí e-learning, získáte nárok na jeden přístupový kód na skupinu aplikací (skupiny Aplikace, Systémy a Server) a na nákupní jednotku. Můžete si také stáhnout e-learningové soubory pouze s obsahem, který splňuje požadavky SCORM (pro vybrané aplikace a systémy) z MVLC pro účely importu do systému Learning Management System (LMS). Ke stažení souborů z MVLC není vyžadován žádný přístupový kód. </w:t>
      </w:r>
    </w:p>
    <w:p w:rsidR="00DF2E7F" w:rsidRPr="00483B32" w:rsidRDefault="00DF2E7F" w:rsidP="00DF2E7F">
      <w:pPr>
        <w:pStyle w:val="ProductList-Body"/>
        <w:spacing w:before="120" w:after="120"/>
      </w:pPr>
      <w:r>
        <w:rPr>
          <w:rFonts w:ascii="Segoe UI" w:hAnsi="Segoe UI"/>
          <w:color w:val="000000" w:themeColor="text1"/>
          <w:szCs w:val="18"/>
        </w:rPr>
        <w:t xml:space="preserve">Maximální počet uživatelů, pro které můžete použít e-learningové školení, se rovná počtu licencovaných kopií s krytím Software Assurance, které máte pro odpovídající produkty nabízející e-learning. Každému uživateli je třeba přiřadit jednu licenci. Přístup nelze převádět z jednoho uživatele na jiného. </w:t>
      </w:r>
    </w:p>
    <w:p w:rsidR="00DF2E7F" w:rsidRPr="00483B32" w:rsidRDefault="00DF2E7F" w:rsidP="00DF2E7F">
      <w:pPr>
        <w:pStyle w:val="ProductList-Body"/>
      </w:pPr>
      <w:r>
        <w:rPr>
          <w:rFonts w:ascii="Segoe UI" w:hAnsi="Segoe UI"/>
          <w:color w:val="000000" w:themeColor="text1"/>
          <w:szCs w:val="18"/>
        </w:rPr>
        <w:t xml:space="preserve">Pokud online možnost nestačí a pokud máte oprávnění, můžete si zakoupit e-learningové sady v regionálním centru dodávek. </w:t>
      </w:r>
    </w:p>
    <w:p w:rsidR="00DF2E7F" w:rsidRPr="00483B32" w:rsidRDefault="00DF2E7F" w:rsidP="00DF2E7F">
      <w:pPr>
        <w:pStyle w:val="ProductList-Body"/>
      </w:pPr>
      <w:r>
        <w:rPr>
          <w:rFonts w:ascii="Segoe UI" w:hAnsi="Segoe UI"/>
          <w:color w:val="000000" w:themeColor="text1"/>
          <w:szCs w:val="18"/>
        </w:rPr>
        <w:t xml:space="preserve">Vaše nasazení a používání e-learningových kurzů podléhá podmínkám a ujednáním vaší licenční smlouvy. </w:t>
      </w:r>
    </w:p>
    <w:p w:rsidR="00DF2E7F" w:rsidRPr="00483B32" w:rsidRDefault="00DF2E7F" w:rsidP="00DF2E7F">
      <w:pPr>
        <w:pStyle w:val="ProductList-Body"/>
        <w:rPr>
          <w:highlight w:val="yellow"/>
        </w:rPr>
      </w:pPr>
    </w:p>
    <w:p w:rsidR="00DF2E7F" w:rsidRPr="00483B32" w:rsidRDefault="00DF2E7F" w:rsidP="00DF2E7F">
      <w:pPr>
        <w:pStyle w:val="ProductList-Body"/>
      </w:pPr>
      <w:r>
        <w:rPr>
          <w:rFonts w:ascii="Segoe UI" w:hAnsi="Segoe UI"/>
          <w:color w:val="000000" w:themeColor="text1"/>
          <w:szCs w:val="18"/>
        </w:rPr>
        <w:t>Pokud máte krytí SA pro kvalifikující aplikační nebo systémové produkty, jste oprávněni používat hostované e-learningové kurzy a obsah splňující požadavky SCORM. Pokud máte krytí SA pro kvalifikující serverové produkty, jste oprávněni používat serverové e-learningové kurzy, ale nikoli obsah splňující požadavky SCORM.</w:t>
      </w:r>
    </w:p>
    <w:p w:rsidR="00DF2E7F" w:rsidRPr="00483B32" w:rsidRDefault="00DF2E7F" w:rsidP="00DF2E7F">
      <w:pPr>
        <w:pStyle w:val="Heading2"/>
      </w:pPr>
      <w:bookmarkStart w:id="69" w:name="_Home_Use_Program"/>
      <w:bookmarkStart w:id="70" w:name="_Toc403380311"/>
      <w:bookmarkStart w:id="71" w:name="_Toc403985029"/>
      <w:bookmarkStart w:id="72" w:name="_Toc428180927"/>
      <w:bookmarkEnd w:id="69"/>
      <w:r>
        <w:t>Program domácího používání</w:t>
      </w:r>
      <w:bookmarkEnd w:id="70"/>
      <w:bookmarkEnd w:id="71"/>
      <w:bookmarkEnd w:id="72"/>
    </w:p>
    <w:p w:rsidR="00DF2E7F" w:rsidRPr="00483B32" w:rsidRDefault="00DF2E7F" w:rsidP="00DF2E7F">
      <w:pPr>
        <w:pStyle w:val="ProductList-Body"/>
        <w:spacing w:after="120"/>
      </w:pPr>
      <w:r>
        <w:rPr>
          <w:rFonts w:ascii="Segoe UI" w:hAnsi="Segoe UI"/>
          <w:color w:val="000000" w:themeColor="text1"/>
          <w:szCs w:val="18"/>
        </w:rPr>
        <w:t xml:space="preserve">Pokud získáte aktivní krytí SA pro kvalifikující produkty aplikací pro stolní počítače, máte nárok na účast v Programu domácího používání**, který umožňuje vašim zaměstnancům, kteří jsou uživateli licencovaných kvalifikujících aplikací, získat jednu licenci pro odpovídající software Programu domácího používání k instalaci až na dvou zařízeních (buď 2 PC, nebo 2 počítače Mac, podle zakoupeného softwaru), a to pro každou licenci příslušné aplikace pro stolní počítače, kterou získáte. Pokud nejprve od společnosti Microsoft získáte příslušné klíče Product Key pro Program domácího používání, smíte povolit svým zaměstnancům nainstalovat odpovídající software Programu domácího používání, který jste pořídili v rámci své smlouvy MPSA, a to na domácích počítačích zaměstnanců a na přenosných zařízeních v místě vaší organizace. Pokud bude během kvalifikovaného období používání vydána nová </w:t>
      </w:r>
      <w:r>
        <w:rPr>
          <w:rFonts w:ascii="Segoe UI" w:hAnsi="Segoe UI"/>
          <w:color w:val="000000" w:themeColor="text1"/>
          <w:szCs w:val="18"/>
        </w:rPr>
        <w:lastRenderedPageBreak/>
        <w:t>verze, mohou primární uživatelé získat nejnovější verzi a nahradit jí aktuálně nainstalovanou verzi. Aplikace pro stolní počítače, které opravňují k účasti na Programu domácího používání a které jsou k dispozici v rámci tohoto programu, jsou uvedeny v tabulce níže.</w:t>
      </w:r>
    </w:p>
    <w:p w:rsidR="00DF2E7F" w:rsidRPr="00483B32" w:rsidRDefault="00DF2E7F" w:rsidP="00DF2E7F">
      <w:pPr>
        <w:pStyle w:val="ProductList-Body"/>
      </w:pPr>
      <w:r>
        <w:rPr>
          <w:rFonts w:ascii="Segoe UI" w:hAnsi="Segoe UI"/>
          <w:color w:val="000000" w:themeColor="text1"/>
          <w:szCs w:val="18"/>
        </w:rPr>
        <w:t xml:space="preserve">Společnost Microsoft je oprávněna ukončit vaši účast v Programu domácího používání, a to ihned a bez oznámení, v souvislosti s neoprávněným přístupem k webu Programu domácího používání nebo licencováním prostřednictvím tohoto webu ve spojení s vaším programovým kódem. </w:t>
      </w:r>
    </w:p>
    <w:p w:rsidR="00DF2E7F" w:rsidRPr="00483B32" w:rsidRDefault="00DF2E7F" w:rsidP="00DF2E7F">
      <w:pPr>
        <w:pStyle w:val="ProductList-Body"/>
        <w:spacing w:before="120" w:after="120"/>
      </w:pPr>
      <w:r>
        <w:rPr>
          <w:rFonts w:ascii="Segoe UI" w:hAnsi="Segoe UI"/>
          <w:color w:val="000000" w:themeColor="text1"/>
          <w:szCs w:val="18"/>
        </w:rPr>
        <w:t>Platnost licencí k domácímu používání vyprší s ukončením zaměstnaneckého poměru, ukončením nebo vypršením krytí SA pro kopii odpovídající aplikace pro stolní počítače, kterou zaměstnanec používá v práci, pokud zaměstnanec již není uživatelem licencované kopie softwaru, nebo pokud zaměstnanec nainstaluje nebo použije jakoukoli předchozí nebo pozdější verzi dané aplikace pro stolní počítače v souladu s licencí Programu domácího používání.</w:t>
      </w:r>
    </w:p>
    <w:p w:rsidR="00DF2E7F" w:rsidRPr="00483B32" w:rsidRDefault="00DF2E7F" w:rsidP="00DF2E7F">
      <w:pPr>
        <w:pStyle w:val="ProductList-Body"/>
      </w:pPr>
      <w:r>
        <w:rPr>
          <w:rFonts w:ascii="Segoe UI" w:hAnsi="Segoe UI"/>
          <w:color w:val="000000" w:themeColor="text1"/>
          <w:szCs w:val="18"/>
        </w:rPr>
        <w:t>Podmínky použití softwaru Programu domácího používání jsou sjednány mezi společností Microsoft a vaším zaměstnancem a jsou přístupné na webu programu. Tyto podmínky se mohou lišit od práv poskytnutých na základě smlouvy MPSA. Musíte přístup k Programu domácího používání omezit na zaměstnance a informovat je, kdy by měli používání softwaru Programu domácího používání ukončit v souvislosti s vypršením krytí SA nebo ukončením zaměstnaneckého poměru.</w:t>
      </w:r>
    </w:p>
    <w:p w:rsidR="00DF2E7F" w:rsidRPr="00483B32" w:rsidRDefault="00DF2E7F" w:rsidP="00DF2E7F">
      <w:pPr>
        <w:pStyle w:val="ProductList-Body"/>
        <w:spacing w:before="120"/>
      </w:pPr>
      <w:r>
        <w:rPr>
          <w:rFonts w:ascii="Segoe UI" w:hAnsi="Segoe UI"/>
          <w:color w:val="000000" w:themeColor="text1"/>
          <w:szCs w:val="18"/>
        </w:rPr>
        <w:t>Účast v tomto programu může mít pro vaši organizaci a vaše zaměstnance daňové dopady. Společnost Microsoft nepřijímá žádnou odpovědnost za dodržení povinností souvisejících se zaměstnaneckými výhodami, daněmi či vykazováním vaší organizace nebo vašich zaměstnanců. Na zákazníky na Novém Zélandě se vztahují dodatečné podmínky uvedené níže:</w:t>
      </w:r>
    </w:p>
    <w:p w:rsidR="00DF2E7F" w:rsidRPr="00483B32" w:rsidRDefault="00DF2E7F" w:rsidP="00DF2E7F">
      <w:pPr>
        <w:pStyle w:val="BodyText"/>
        <w:numPr>
          <w:ilvl w:val="0"/>
          <w:numId w:val="16"/>
        </w:numPr>
        <w:spacing w:after="0"/>
      </w:pPr>
      <w:r>
        <w:t xml:space="preserve">V souvislosti s HUP nesmíte od zaměstnanců vyžadovat platbu ani jinou kompenzaci, ani nesmíte učinit či opomenout nic, co by mohlo vést k navýšení celkových nákladů výhody HUP pro jakéhokoli zaměstnance na Novém Zélandu nad rámec částky účtované společností Microsoft. </w:t>
      </w:r>
    </w:p>
    <w:p w:rsidR="00DF2E7F" w:rsidRPr="00483B32" w:rsidRDefault="00DF2E7F" w:rsidP="00DF2E7F">
      <w:pPr>
        <w:pStyle w:val="BodyText"/>
        <w:numPr>
          <w:ilvl w:val="0"/>
          <w:numId w:val="16"/>
        </w:numPr>
        <w:spacing w:after="0"/>
      </w:pPr>
      <w:r>
        <w:t xml:space="preserve">Jste povinni odškodnit a chránit společnost Microsoft a její afilace před jakýmikoli náklady, výdaji, ztrátami nebo škodami, které by společnosti Microsoft či jejím afilacím mohly vzniknout v důsledku neplnění povinností obsažených v tomto oddílu ze strany vaší organizace. </w:t>
      </w:r>
    </w:p>
    <w:p w:rsidR="00DF2E7F" w:rsidRPr="00483B32" w:rsidRDefault="00DF2E7F" w:rsidP="00DF2E7F">
      <w:pPr>
        <w:pStyle w:val="BodyText"/>
        <w:spacing w:after="0"/>
      </w:pPr>
    </w:p>
    <w:p w:rsidR="00DF2E7F" w:rsidRPr="00483B32" w:rsidRDefault="00DF2E7F" w:rsidP="00DF2E7F">
      <w:pPr>
        <w:pStyle w:val="ProductList-Body"/>
      </w:pPr>
      <w:r>
        <w:rPr>
          <w:rFonts w:ascii="Segoe UI" w:hAnsi="Segoe UI"/>
          <w:color w:val="000000" w:themeColor="text1"/>
          <w:szCs w:val="18"/>
        </w:rPr>
        <w:t xml:space="preserve">Aplikace pro stolní počítače, které opravňují k účasti a jsou k dispozici v rámci programu domácího používání, jsou uvedeny zde: </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5341"/>
        <w:gridCol w:w="5341"/>
      </w:tblGrid>
      <w:tr w:rsidR="00DF2E7F" w:rsidRPr="00E23144" w:rsidTr="0019337E">
        <w:trPr>
          <w:trHeight w:val="60"/>
          <w:tblHeader/>
        </w:trPr>
        <w:tc>
          <w:tcPr>
            <w:tcW w:w="5355" w:type="dxa"/>
            <w:shd w:val="clear" w:color="auto" w:fill="FFC000" w:themeFill="accent4"/>
            <w:tcMar>
              <w:top w:w="0" w:type="dxa"/>
              <w:left w:w="108" w:type="dxa"/>
              <w:bottom w:w="0" w:type="dxa"/>
              <w:right w:w="108" w:type="dxa"/>
            </w:tcMar>
            <w:vAlign w:val="center"/>
          </w:tcPr>
          <w:p w:rsidR="00DF2E7F" w:rsidRPr="002123CF" w:rsidRDefault="00DF2E7F" w:rsidP="0019337E">
            <w:pPr>
              <w:pStyle w:val="ProductList-Body"/>
              <w:spacing w:before="20" w:after="20"/>
              <w:rPr>
                <w:rFonts w:ascii="Segoe UI" w:hAnsi="Segoe UI"/>
                <w:color w:val="FFFFFF" w:themeColor="background1"/>
                <w:szCs w:val="18"/>
              </w:rPr>
            </w:pPr>
            <w:r>
              <w:rPr>
                <w:rFonts w:ascii="Segoe UI" w:hAnsi="Segoe UI"/>
                <w:color w:val="FFFFFF" w:themeColor="background1"/>
                <w:szCs w:val="18"/>
              </w:rPr>
              <w:t>Kvalifikující aplikace pro stolní počítače</w:t>
            </w:r>
          </w:p>
        </w:tc>
        <w:tc>
          <w:tcPr>
            <w:tcW w:w="5355" w:type="dxa"/>
            <w:shd w:val="clear" w:color="auto" w:fill="FFC000" w:themeFill="accent4"/>
            <w:tcMar>
              <w:top w:w="0" w:type="dxa"/>
              <w:left w:w="108" w:type="dxa"/>
              <w:bottom w:w="0" w:type="dxa"/>
              <w:right w:w="108" w:type="dxa"/>
            </w:tcMar>
            <w:vAlign w:val="center"/>
          </w:tcPr>
          <w:p w:rsidR="00DF2E7F" w:rsidRPr="002123CF" w:rsidRDefault="00DF2E7F" w:rsidP="0019337E">
            <w:pPr>
              <w:pStyle w:val="ProductList-Body"/>
              <w:spacing w:before="20" w:after="20"/>
              <w:rPr>
                <w:rFonts w:ascii="Segoe UI" w:hAnsi="Segoe UI"/>
                <w:color w:val="FFFFFF" w:themeColor="background1"/>
                <w:szCs w:val="18"/>
              </w:rPr>
            </w:pPr>
            <w:r>
              <w:rPr>
                <w:rFonts w:ascii="Segoe UI" w:hAnsi="Segoe UI"/>
                <w:color w:val="FFFFFF" w:themeColor="background1"/>
                <w:szCs w:val="18"/>
              </w:rPr>
              <w:t>Odpovídající licence Programu domácího používání</w:t>
            </w:r>
          </w:p>
        </w:tc>
      </w:tr>
      <w:tr w:rsidR="00DF2E7F" w:rsidRPr="00E23144" w:rsidTr="0019337E">
        <w:trPr>
          <w:trHeight w:val="438"/>
        </w:trPr>
        <w:tc>
          <w:tcPr>
            <w:tcW w:w="5355" w:type="dxa"/>
            <w:tcMar>
              <w:top w:w="0" w:type="dxa"/>
              <w:left w:w="108" w:type="dxa"/>
              <w:bottom w:w="0" w:type="dxa"/>
              <w:right w:w="108" w:type="dxa"/>
            </w:tcMar>
            <w:vAlign w:val="center"/>
          </w:tcPr>
          <w:p w:rsidR="00DF2E7F" w:rsidRPr="00483B32" w:rsidRDefault="00DF2E7F" w:rsidP="0019337E">
            <w:pPr>
              <w:pStyle w:val="ProductList-Body"/>
            </w:pPr>
            <w:r>
              <w:rPr>
                <w:rFonts w:ascii="Segoe UI" w:hAnsi="Segoe UI"/>
                <w:color w:val="000000" w:themeColor="text1"/>
                <w:szCs w:val="18"/>
              </w:rPr>
              <w:t>Office Standard 2010/2013</w:t>
            </w:r>
          </w:p>
          <w:p w:rsidR="00DF2E7F" w:rsidRPr="00483B32" w:rsidRDefault="00DF2E7F" w:rsidP="0019337E">
            <w:pPr>
              <w:pStyle w:val="ProductList-Body"/>
            </w:pPr>
            <w:r>
              <w:rPr>
                <w:rFonts w:ascii="Segoe UI" w:hAnsi="Segoe UI"/>
                <w:color w:val="000000" w:themeColor="text1"/>
                <w:szCs w:val="18"/>
              </w:rPr>
              <w:t>Office Professional Plus 2010</w:t>
            </w:r>
            <w:r>
              <w:fldChar w:fldCharType="begin"/>
            </w:r>
            <w:r>
              <w:instrText>XE "Office Professional Plus 2010"</w:instrText>
            </w:r>
            <w:r>
              <w:fldChar w:fldCharType="end"/>
            </w:r>
            <w:r>
              <w:rPr>
                <w:rFonts w:ascii="Segoe UI" w:hAnsi="Segoe UI"/>
                <w:color w:val="000000" w:themeColor="text1"/>
                <w:szCs w:val="18"/>
              </w:rPr>
              <w:t>/2013</w:t>
            </w:r>
          </w:p>
          <w:p w:rsidR="00DF2E7F" w:rsidRPr="002123CF" w:rsidRDefault="00DF2E7F" w:rsidP="0019337E">
            <w:pPr>
              <w:pStyle w:val="ProductList-Body"/>
              <w:rPr>
                <w:rFonts w:ascii="Segoe UI" w:hAnsi="Segoe UI"/>
                <w:color w:val="000000" w:themeColor="text1"/>
                <w:szCs w:val="18"/>
              </w:rPr>
            </w:pPr>
            <w:r>
              <w:rPr>
                <w:rFonts w:ascii="Segoe UI" w:hAnsi="Segoe UI"/>
                <w:color w:val="000000" w:themeColor="text1"/>
                <w:szCs w:val="18"/>
              </w:rPr>
              <w:t>Office for Mac Standard 2011/Office 2016 for Mac Standard</w:t>
            </w:r>
            <w:r>
              <w:fldChar w:fldCharType="begin"/>
            </w:r>
            <w:r>
              <w:instrText>XE "Office pro Mac Standard 2011"</w:instrText>
            </w:r>
            <w:r>
              <w:fldChar w:fldCharType="end"/>
            </w:r>
            <w:r>
              <w:rPr>
                <w:rFonts w:ascii="Segoe UI" w:hAnsi="Segoe UI"/>
                <w:color w:val="000000" w:themeColor="text1"/>
                <w:szCs w:val="18"/>
              </w:rPr>
              <w:t xml:space="preserve"> </w:t>
            </w:r>
          </w:p>
        </w:tc>
        <w:tc>
          <w:tcPr>
            <w:tcW w:w="5355" w:type="dxa"/>
            <w:tcMar>
              <w:top w:w="0" w:type="dxa"/>
              <w:left w:w="108" w:type="dxa"/>
              <w:bottom w:w="0" w:type="dxa"/>
              <w:right w:w="108" w:type="dxa"/>
            </w:tcMar>
            <w:vAlign w:val="center"/>
          </w:tcPr>
          <w:p w:rsidR="00DF2E7F" w:rsidRPr="00483B32" w:rsidRDefault="00DF2E7F" w:rsidP="0019337E">
            <w:pPr>
              <w:pStyle w:val="ProductList-Body"/>
            </w:pPr>
            <w:r>
              <w:rPr>
                <w:rFonts w:ascii="Segoe UI" w:hAnsi="Segoe UI"/>
                <w:color w:val="000000" w:themeColor="text1"/>
                <w:szCs w:val="18"/>
              </w:rPr>
              <w:t>Office Professional Plus 2013</w:t>
            </w:r>
            <w:r>
              <w:fldChar w:fldCharType="begin"/>
            </w:r>
            <w:r>
              <w:instrText>XE "Office Professional Plus 2013"</w:instrText>
            </w:r>
            <w:r>
              <w:fldChar w:fldCharType="end"/>
            </w:r>
            <w:r>
              <w:rPr>
                <w:rFonts w:ascii="Segoe UI" w:hAnsi="Segoe UI"/>
                <w:color w:val="000000" w:themeColor="text1"/>
                <w:szCs w:val="18"/>
              </w:rPr>
              <w:t xml:space="preserve"> HUP nebo</w:t>
            </w:r>
          </w:p>
          <w:p w:rsidR="00DF2E7F" w:rsidRPr="002123CF" w:rsidRDefault="00DF2E7F" w:rsidP="0019337E">
            <w:pPr>
              <w:pStyle w:val="ProductList-Body"/>
              <w:rPr>
                <w:rFonts w:ascii="Segoe UI" w:hAnsi="Segoe UI"/>
                <w:color w:val="000000" w:themeColor="text1"/>
                <w:szCs w:val="18"/>
              </w:rPr>
            </w:pPr>
            <w:r>
              <w:rPr>
                <w:rFonts w:ascii="Segoe UI" w:hAnsi="Segoe UI"/>
                <w:color w:val="000000" w:themeColor="text1"/>
                <w:szCs w:val="18"/>
              </w:rPr>
              <w:t>Office 2016 for Mac Home a Business with Lync DL HUP</w:t>
            </w:r>
          </w:p>
        </w:tc>
      </w:tr>
      <w:tr w:rsidR="00DF2E7F" w:rsidRPr="00E23144" w:rsidTr="0019337E">
        <w:trPr>
          <w:trHeight w:val="438"/>
        </w:trPr>
        <w:tc>
          <w:tcPr>
            <w:tcW w:w="5355" w:type="dxa"/>
            <w:tcMar>
              <w:top w:w="0" w:type="dxa"/>
              <w:left w:w="108" w:type="dxa"/>
              <w:bottom w:w="0" w:type="dxa"/>
              <w:right w:w="108" w:type="dxa"/>
            </w:tcMar>
            <w:vAlign w:val="center"/>
          </w:tcPr>
          <w:p w:rsidR="00DF2E7F" w:rsidRPr="00483B32" w:rsidRDefault="00DF2E7F" w:rsidP="0019337E">
            <w:pPr>
              <w:pStyle w:val="ProductList-Body"/>
            </w:pPr>
            <w:r>
              <w:rPr>
                <w:rFonts w:ascii="Segoe UI" w:hAnsi="Segoe UI"/>
                <w:color w:val="000000" w:themeColor="text1"/>
                <w:szCs w:val="18"/>
              </w:rPr>
              <w:t>Access 2010/2013</w:t>
            </w:r>
          </w:p>
          <w:p w:rsidR="00DF2E7F" w:rsidRPr="00483B32" w:rsidRDefault="00DF2E7F" w:rsidP="0019337E">
            <w:pPr>
              <w:pStyle w:val="ProductList-Body"/>
            </w:pPr>
            <w:r>
              <w:rPr>
                <w:rFonts w:ascii="Segoe UI" w:hAnsi="Segoe UI"/>
                <w:color w:val="000000" w:themeColor="text1"/>
                <w:szCs w:val="18"/>
              </w:rPr>
              <w:t>Excel 2010/2013</w:t>
            </w:r>
          </w:p>
          <w:p w:rsidR="00DF2E7F" w:rsidRPr="00483B32" w:rsidRDefault="00DF2E7F" w:rsidP="0019337E">
            <w:pPr>
              <w:pStyle w:val="ProductList-Body"/>
            </w:pPr>
            <w:r>
              <w:rPr>
                <w:rFonts w:ascii="Segoe UI" w:hAnsi="Segoe UI"/>
                <w:color w:val="000000" w:themeColor="text1"/>
                <w:szCs w:val="18"/>
              </w:rPr>
              <w:t>PowerPoint 2010/2013</w:t>
            </w:r>
          </w:p>
          <w:p w:rsidR="00DF2E7F" w:rsidRPr="00483B32" w:rsidRDefault="00DF2E7F" w:rsidP="0019337E">
            <w:pPr>
              <w:pStyle w:val="ProductList-Body"/>
            </w:pPr>
            <w:r>
              <w:rPr>
                <w:rFonts w:ascii="Segoe UI" w:hAnsi="Segoe UI"/>
                <w:color w:val="000000" w:themeColor="text1"/>
                <w:szCs w:val="18"/>
              </w:rPr>
              <w:t>InfoPath 2010/2013</w:t>
            </w:r>
          </w:p>
          <w:p w:rsidR="00DF2E7F" w:rsidRPr="00702D96" w:rsidRDefault="00DF2E7F" w:rsidP="0019337E">
            <w:pPr>
              <w:pStyle w:val="ProductList-Body"/>
              <w:rPr>
                <w:rFonts w:ascii="Segoe UI" w:hAnsi="Segoe UI"/>
                <w:color w:val="000000" w:themeColor="text1"/>
                <w:szCs w:val="18"/>
              </w:rPr>
            </w:pPr>
            <w:r w:rsidRPr="00702D96">
              <w:rPr>
                <w:rFonts w:ascii="Segoe UI" w:hAnsi="Segoe UI"/>
                <w:color w:val="000000" w:themeColor="text1"/>
                <w:szCs w:val="18"/>
              </w:rPr>
              <w:t>Lync 2010/2013</w:t>
            </w:r>
          </w:p>
          <w:p w:rsidR="00DF2E7F" w:rsidRPr="00483B32" w:rsidRDefault="00DF2E7F" w:rsidP="0019337E">
            <w:pPr>
              <w:pStyle w:val="ProductList-Body"/>
            </w:pPr>
            <w:r>
              <w:rPr>
                <w:rFonts w:ascii="Segoe UI" w:hAnsi="Segoe UI"/>
                <w:color w:val="000000" w:themeColor="text1"/>
                <w:szCs w:val="18"/>
              </w:rPr>
              <w:t>OneNote 2010/2013</w:t>
            </w:r>
          </w:p>
          <w:p w:rsidR="00DF2E7F" w:rsidRPr="00483B32" w:rsidRDefault="00DF2E7F" w:rsidP="0019337E">
            <w:pPr>
              <w:pStyle w:val="ProductList-Body"/>
            </w:pPr>
            <w:r>
              <w:rPr>
                <w:rFonts w:ascii="Segoe UI" w:hAnsi="Segoe UI"/>
                <w:color w:val="000000" w:themeColor="text1"/>
                <w:szCs w:val="18"/>
              </w:rPr>
              <w:t>Outlook 2010/2013</w:t>
            </w:r>
          </w:p>
          <w:p w:rsidR="00DF2E7F" w:rsidRPr="00483B32" w:rsidRDefault="00DF2E7F" w:rsidP="0019337E">
            <w:pPr>
              <w:pStyle w:val="ProductList-Body"/>
            </w:pPr>
            <w:r>
              <w:rPr>
                <w:rFonts w:ascii="Segoe UI" w:hAnsi="Segoe UI"/>
                <w:color w:val="000000" w:themeColor="text1"/>
                <w:szCs w:val="18"/>
              </w:rPr>
              <w:t>Publisher 2010/2013</w:t>
            </w:r>
          </w:p>
          <w:p w:rsidR="00DF2E7F" w:rsidRPr="00483B32" w:rsidRDefault="00DF2E7F" w:rsidP="0019337E">
            <w:pPr>
              <w:pStyle w:val="ProductList-Body"/>
            </w:pPr>
            <w:r>
              <w:rPr>
                <w:rFonts w:ascii="Segoe UI" w:hAnsi="Segoe UI"/>
                <w:color w:val="000000" w:themeColor="text1"/>
                <w:szCs w:val="18"/>
              </w:rPr>
              <w:t>Skype for Business 2015</w:t>
            </w:r>
          </w:p>
          <w:p w:rsidR="00DF2E7F" w:rsidRPr="002123CF" w:rsidRDefault="00DF2E7F" w:rsidP="0019337E">
            <w:pPr>
              <w:pStyle w:val="ProductList-Body"/>
              <w:rPr>
                <w:rFonts w:ascii="Segoe UI" w:hAnsi="Segoe UI"/>
                <w:color w:val="000000" w:themeColor="text1"/>
                <w:szCs w:val="18"/>
              </w:rPr>
            </w:pPr>
            <w:r>
              <w:rPr>
                <w:rFonts w:ascii="Segoe UI" w:hAnsi="Segoe UI"/>
                <w:color w:val="000000" w:themeColor="text1"/>
                <w:szCs w:val="18"/>
              </w:rPr>
              <w:t>Word 2010/2013</w:t>
            </w:r>
          </w:p>
        </w:tc>
        <w:tc>
          <w:tcPr>
            <w:tcW w:w="5355" w:type="dxa"/>
            <w:tcMar>
              <w:top w:w="0" w:type="dxa"/>
              <w:left w:w="108" w:type="dxa"/>
              <w:bottom w:w="0" w:type="dxa"/>
              <w:right w:w="108" w:type="dxa"/>
            </w:tcMar>
            <w:vAlign w:val="center"/>
          </w:tcPr>
          <w:p w:rsidR="00DF2E7F" w:rsidRPr="00483B32" w:rsidRDefault="00DF2E7F" w:rsidP="0019337E">
            <w:pPr>
              <w:pStyle w:val="ProductList-Body"/>
            </w:pPr>
            <w:r>
              <w:rPr>
                <w:rFonts w:ascii="Segoe UI" w:hAnsi="Segoe UI"/>
                <w:color w:val="000000" w:themeColor="text1"/>
                <w:szCs w:val="18"/>
              </w:rPr>
              <w:t>Office Professional Plus 2013</w:t>
            </w:r>
            <w:r>
              <w:fldChar w:fldCharType="begin"/>
            </w:r>
            <w:r>
              <w:instrText>XE "Office Professional Plus 2013"</w:instrText>
            </w:r>
            <w:r>
              <w:fldChar w:fldCharType="end"/>
            </w:r>
            <w:r>
              <w:rPr>
                <w:rFonts w:ascii="Segoe UI" w:hAnsi="Segoe UI"/>
                <w:color w:val="000000" w:themeColor="text1"/>
                <w:szCs w:val="18"/>
              </w:rPr>
              <w:t xml:space="preserve"> HUP nebo</w:t>
            </w:r>
          </w:p>
          <w:p w:rsidR="00DF2E7F" w:rsidRPr="002123CF" w:rsidRDefault="00DF2E7F" w:rsidP="0019337E">
            <w:pPr>
              <w:pStyle w:val="ProductList-Body"/>
              <w:rPr>
                <w:rFonts w:ascii="Segoe UI" w:hAnsi="Segoe UI"/>
                <w:color w:val="000000" w:themeColor="text1"/>
                <w:szCs w:val="18"/>
              </w:rPr>
            </w:pPr>
            <w:r>
              <w:rPr>
                <w:rFonts w:ascii="Segoe UI" w:hAnsi="Segoe UI"/>
                <w:color w:val="000000" w:themeColor="text1"/>
                <w:szCs w:val="18"/>
              </w:rPr>
              <w:t>Office 2016 for Mac Home a Business with Lync DL HUP</w:t>
            </w:r>
          </w:p>
        </w:tc>
      </w:tr>
      <w:tr w:rsidR="00DF2E7F" w:rsidRPr="00E23144" w:rsidTr="0019337E">
        <w:trPr>
          <w:trHeight w:val="438"/>
        </w:trPr>
        <w:tc>
          <w:tcPr>
            <w:tcW w:w="5355" w:type="dxa"/>
            <w:tcMar>
              <w:top w:w="0" w:type="dxa"/>
              <w:left w:w="108" w:type="dxa"/>
              <w:bottom w:w="0" w:type="dxa"/>
              <w:right w:w="108" w:type="dxa"/>
            </w:tcMar>
            <w:vAlign w:val="center"/>
          </w:tcPr>
          <w:p w:rsidR="00DF2E7F" w:rsidRPr="00483B32" w:rsidRDefault="00DF2E7F" w:rsidP="0019337E">
            <w:pPr>
              <w:pStyle w:val="ProductList-Body"/>
            </w:pPr>
            <w:r>
              <w:rPr>
                <w:rFonts w:ascii="Segoe UI" w:hAnsi="Segoe UI"/>
                <w:color w:val="000000" w:themeColor="text1"/>
                <w:szCs w:val="18"/>
              </w:rPr>
              <w:t xml:space="preserve">Visio Standard 2010/2013 </w:t>
            </w:r>
          </w:p>
          <w:p w:rsidR="00DF2E7F" w:rsidRPr="002123CF" w:rsidRDefault="00DF2E7F" w:rsidP="0019337E">
            <w:pPr>
              <w:pStyle w:val="ProductList-Body"/>
              <w:rPr>
                <w:rFonts w:ascii="Segoe UI" w:hAnsi="Segoe UI"/>
                <w:color w:val="000000" w:themeColor="text1"/>
                <w:szCs w:val="18"/>
              </w:rPr>
            </w:pPr>
            <w:r>
              <w:rPr>
                <w:rFonts w:ascii="Segoe UI" w:hAnsi="Segoe UI"/>
                <w:color w:val="000000" w:themeColor="text1"/>
                <w:szCs w:val="18"/>
              </w:rPr>
              <w:t>Visio Professional 2010/2013</w:t>
            </w:r>
          </w:p>
        </w:tc>
        <w:tc>
          <w:tcPr>
            <w:tcW w:w="5355" w:type="dxa"/>
            <w:tcMar>
              <w:top w:w="0" w:type="dxa"/>
              <w:left w:w="108" w:type="dxa"/>
              <w:bottom w:w="0" w:type="dxa"/>
              <w:right w:w="108" w:type="dxa"/>
            </w:tcMar>
            <w:vAlign w:val="center"/>
          </w:tcPr>
          <w:p w:rsidR="00DF2E7F" w:rsidRPr="002123CF" w:rsidRDefault="00DF2E7F" w:rsidP="0019337E">
            <w:pPr>
              <w:pStyle w:val="ProductList-Body"/>
              <w:rPr>
                <w:rFonts w:ascii="Segoe UI" w:hAnsi="Segoe UI"/>
                <w:color w:val="000000" w:themeColor="text1"/>
                <w:szCs w:val="18"/>
              </w:rPr>
            </w:pPr>
            <w:r>
              <w:rPr>
                <w:rFonts w:ascii="Segoe UI" w:hAnsi="Segoe UI"/>
                <w:color w:val="000000" w:themeColor="text1"/>
                <w:szCs w:val="18"/>
              </w:rPr>
              <w:t>Visio Professional 2013</w:t>
            </w:r>
            <w:r>
              <w:fldChar w:fldCharType="begin"/>
            </w:r>
            <w:r>
              <w:instrText>XE "Visio Professional 2013"</w:instrText>
            </w:r>
            <w:r>
              <w:fldChar w:fldCharType="end"/>
            </w:r>
            <w:r>
              <w:rPr>
                <w:rFonts w:ascii="Segoe UI" w:hAnsi="Segoe UI"/>
                <w:color w:val="000000" w:themeColor="text1"/>
                <w:szCs w:val="18"/>
              </w:rPr>
              <w:t xml:space="preserve"> HUP</w:t>
            </w:r>
          </w:p>
        </w:tc>
      </w:tr>
      <w:tr w:rsidR="00DF2E7F" w:rsidRPr="00E23144" w:rsidTr="0019337E">
        <w:trPr>
          <w:trHeight w:val="438"/>
        </w:trPr>
        <w:tc>
          <w:tcPr>
            <w:tcW w:w="5355" w:type="dxa"/>
            <w:tcMar>
              <w:top w:w="0" w:type="dxa"/>
              <w:left w:w="108" w:type="dxa"/>
              <w:bottom w:w="0" w:type="dxa"/>
              <w:right w:w="108" w:type="dxa"/>
            </w:tcMar>
            <w:vAlign w:val="center"/>
          </w:tcPr>
          <w:p w:rsidR="00DF2E7F" w:rsidRPr="00483B32" w:rsidRDefault="00DF2E7F" w:rsidP="0019337E">
            <w:pPr>
              <w:pStyle w:val="ProductList-Body"/>
            </w:pPr>
            <w:r>
              <w:rPr>
                <w:rFonts w:ascii="Segoe UI" w:hAnsi="Segoe UI"/>
                <w:color w:val="000000" w:themeColor="text1"/>
                <w:szCs w:val="18"/>
              </w:rPr>
              <w:t>Project Standard 2010/2013</w:t>
            </w:r>
          </w:p>
          <w:p w:rsidR="00DF2E7F" w:rsidRPr="002123CF" w:rsidRDefault="00DF2E7F" w:rsidP="0019337E">
            <w:pPr>
              <w:pStyle w:val="ProductList-Body"/>
              <w:rPr>
                <w:rFonts w:ascii="Segoe UI" w:hAnsi="Segoe UI"/>
                <w:color w:val="000000" w:themeColor="text1"/>
                <w:szCs w:val="18"/>
              </w:rPr>
            </w:pPr>
            <w:r>
              <w:rPr>
                <w:rFonts w:ascii="Segoe UI" w:hAnsi="Segoe UI"/>
                <w:color w:val="000000" w:themeColor="text1"/>
                <w:szCs w:val="18"/>
              </w:rPr>
              <w:t>Project Professional 2010/2013</w:t>
            </w:r>
          </w:p>
        </w:tc>
        <w:tc>
          <w:tcPr>
            <w:tcW w:w="5355" w:type="dxa"/>
            <w:tcMar>
              <w:top w:w="0" w:type="dxa"/>
              <w:left w:w="108" w:type="dxa"/>
              <w:bottom w:w="0" w:type="dxa"/>
              <w:right w:w="108" w:type="dxa"/>
            </w:tcMar>
            <w:vAlign w:val="center"/>
          </w:tcPr>
          <w:p w:rsidR="00DF2E7F" w:rsidRPr="002123CF" w:rsidRDefault="00DF2E7F" w:rsidP="0019337E">
            <w:pPr>
              <w:pStyle w:val="ProductList-Body"/>
              <w:rPr>
                <w:rFonts w:ascii="Segoe UI" w:hAnsi="Segoe UI"/>
                <w:color w:val="000000" w:themeColor="text1"/>
                <w:szCs w:val="18"/>
              </w:rPr>
            </w:pPr>
            <w:r>
              <w:rPr>
                <w:rFonts w:ascii="Segoe UI" w:hAnsi="Segoe UI"/>
                <w:color w:val="000000" w:themeColor="text1"/>
                <w:szCs w:val="18"/>
              </w:rPr>
              <w:t>Project Professional 2013</w:t>
            </w:r>
            <w:r>
              <w:fldChar w:fldCharType="begin"/>
            </w:r>
            <w:r>
              <w:instrText>XE "Project Standard 2013"</w:instrText>
            </w:r>
            <w:r>
              <w:fldChar w:fldCharType="end"/>
            </w:r>
            <w:r>
              <w:rPr>
                <w:rFonts w:ascii="Segoe UI" w:hAnsi="Segoe UI"/>
                <w:color w:val="000000" w:themeColor="text1"/>
                <w:szCs w:val="18"/>
              </w:rPr>
              <w:t xml:space="preserve"> HUP</w:t>
            </w:r>
          </w:p>
        </w:tc>
      </w:tr>
    </w:tbl>
    <w:p w:rsidR="00DF2E7F" w:rsidRPr="00483B32" w:rsidRDefault="00DF2E7F" w:rsidP="00DF2E7F">
      <w:pPr>
        <w:pStyle w:val="ProductList-Body"/>
        <w:tabs>
          <w:tab w:val="clear" w:pos="158"/>
          <w:tab w:val="left" w:pos="180"/>
        </w:tabs>
      </w:pPr>
      <w:r>
        <w:rPr>
          <w:rFonts w:ascii="Segoe UI" w:hAnsi="Segoe UI"/>
          <w:color w:val="000000" w:themeColor="text1"/>
          <w:szCs w:val="18"/>
        </w:rPr>
        <w:t xml:space="preserve">Další informace, včetně informací o budoucí dostupnosti dodatečného softwaru pro Program domácího používání, naleznete na adrese </w:t>
      </w:r>
      <w:hyperlink r:id="rId24" w:history="1">
        <w:r>
          <w:rPr>
            <w:rStyle w:val="Hyperlink"/>
            <w:rFonts w:ascii="Segoe UI" w:hAnsi="Segoe UI"/>
            <w:szCs w:val="18"/>
          </w:rPr>
          <w:t>http://www.microsoft.com/licensing</w:t>
        </w:r>
      </w:hyperlink>
      <w:r>
        <w:rPr>
          <w:rFonts w:ascii="Segoe UI" w:hAnsi="Segoe UI"/>
          <w:color w:val="000000" w:themeColor="text1"/>
          <w:szCs w:val="18"/>
        </w:rPr>
        <w:t xml:space="preserve">. </w:t>
      </w:r>
    </w:p>
    <w:p w:rsidR="00DF2E7F" w:rsidRPr="00483B32" w:rsidRDefault="00DF2E7F" w:rsidP="00DF2E7F">
      <w:pPr>
        <w:pStyle w:val="Heading2"/>
      </w:pPr>
      <w:bookmarkStart w:id="73" w:name="_Enterprise_Source_Licensing"/>
      <w:bookmarkStart w:id="74" w:name="_Toc379797448"/>
      <w:bookmarkStart w:id="75" w:name="_Toc380513484"/>
      <w:bookmarkStart w:id="76" w:name="_Toc380655534"/>
      <w:bookmarkStart w:id="77" w:name="_Toc394601030"/>
      <w:bookmarkStart w:id="78" w:name="_Toc403380312"/>
      <w:bookmarkStart w:id="79" w:name="_Toc403985030"/>
      <w:bookmarkStart w:id="80" w:name="_Toc428180928"/>
      <w:bookmarkEnd w:id="73"/>
      <w:r>
        <w:t>Program ESLP (Enterprise Source Licensing Program)</w:t>
      </w:r>
      <w:bookmarkEnd w:id="74"/>
      <w:bookmarkEnd w:id="75"/>
      <w:bookmarkEnd w:id="76"/>
      <w:bookmarkEnd w:id="77"/>
      <w:bookmarkEnd w:id="78"/>
      <w:bookmarkEnd w:id="79"/>
      <w:bookmarkEnd w:id="80"/>
      <w:r>
        <w:t xml:space="preserve"> </w:t>
      </w:r>
    </w:p>
    <w:p w:rsidR="00DF2E7F" w:rsidRPr="00483B32" w:rsidRDefault="00DF2E7F" w:rsidP="00DF2E7F">
      <w:pPr>
        <w:pStyle w:val="ProductList-Body"/>
      </w:pPr>
      <w:r>
        <w:rPr>
          <w:rFonts w:ascii="Segoe UI" w:hAnsi="Segoe UI"/>
          <w:color w:val="000000" w:themeColor="text1"/>
          <w:szCs w:val="18"/>
        </w:rPr>
        <w:t>Pokud má vaše nákupní jednotka 10 000 a více licencí s krytím SA ve skupině systémů, můžete mít nárok na účast v programu ESLP (Enterprise Source Licensing Program), který poskytuje přístup ke zdrojovému kódu systému Microsoft Windows pro interní vývoj a podporu a je poskytován na nákupní jednotku. Podrobnosti o nároku a dostupnosti v jednotlivých zemích naleznete na adrese</w:t>
      </w:r>
      <w:r>
        <w:t xml:space="preserve"> </w:t>
      </w:r>
      <w:hyperlink r:id="rId25" w:history="1">
        <w:r>
          <w:rPr>
            <w:rStyle w:val="Hyperlink"/>
          </w:rPr>
          <w:t>http://www.microsoft.com/en-us/sharedsource/enterprise-source-licensing-program.aspx</w:t>
        </w:r>
      </w:hyperlink>
      <w:r>
        <w:t>.</w:t>
      </w:r>
      <w:r>
        <w:rPr>
          <w:strike/>
        </w:rPr>
        <w:t xml:space="preserve"> </w:t>
      </w:r>
    </w:p>
    <w:p w:rsidR="00DF2E7F" w:rsidRPr="00483B32" w:rsidRDefault="00DF2E7F" w:rsidP="00DF2E7F">
      <w:pPr>
        <w:pStyle w:val="ProductList-Body"/>
      </w:pPr>
      <w:bookmarkStart w:id="81" w:name="_24x7_Problem_Resolution"/>
      <w:bookmarkStart w:id="82" w:name="__System_Center"/>
      <w:bookmarkStart w:id="83" w:name="__System_Center_1"/>
      <w:bookmarkStart w:id="84" w:name="_Back-up_for_Disaster"/>
      <w:bookmarkStart w:id="85" w:name="_Toc336338239"/>
      <w:bookmarkStart w:id="86" w:name="_Toc372892146"/>
      <w:bookmarkStart w:id="87" w:name="_Toc379797451"/>
      <w:bookmarkStart w:id="88" w:name="_Toc380513487"/>
      <w:bookmarkStart w:id="89" w:name="_Toc380655537"/>
      <w:bookmarkStart w:id="90" w:name="_Toc394601033"/>
      <w:bookmarkEnd w:id="81"/>
      <w:bookmarkEnd w:id="82"/>
      <w:bookmarkEnd w:id="83"/>
      <w:bookmarkEnd w:id="84"/>
    </w:p>
    <w:p w:rsidR="00DF2E7F" w:rsidRPr="00483B32" w:rsidRDefault="00DF2E7F" w:rsidP="00DF2E7F">
      <w:pPr>
        <w:pStyle w:val="Heading2"/>
      </w:pPr>
      <w:bookmarkStart w:id="91" w:name="_Záloha_pro_obnovení"/>
      <w:bookmarkStart w:id="92" w:name="_Toc403380314"/>
      <w:bookmarkStart w:id="93" w:name="_Toc403985032"/>
      <w:bookmarkStart w:id="94" w:name="_Toc428180929"/>
      <w:bookmarkEnd w:id="91"/>
      <w:r>
        <w:lastRenderedPageBreak/>
        <w:t>Záloha pro obnovení při zhroucení</w:t>
      </w:r>
      <w:bookmarkEnd w:id="85"/>
      <w:bookmarkEnd w:id="86"/>
      <w:bookmarkEnd w:id="87"/>
      <w:bookmarkEnd w:id="88"/>
      <w:bookmarkEnd w:id="89"/>
      <w:bookmarkEnd w:id="90"/>
      <w:bookmarkEnd w:id="92"/>
      <w:bookmarkEnd w:id="93"/>
      <w:bookmarkEnd w:id="94"/>
      <w:r>
        <w:t xml:space="preserve"> </w:t>
      </w:r>
    </w:p>
    <w:p w:rsidR="00DF2E7F" w:rsidRPr="00483B32" w:rsidRDefault="00DF2E7F" w:rsidP="00DF2E7F">
      <w:r>
        <w:rPr>
          <w:color w:val="000000" w:themeColor="text1"/>
          <w:szCs w:val="18"/>
        </w:rPr>
        <w:t xml:space="preserve">Pokud máte krytí SA pro kvalifikující serverové produkty a související licence CAL, máte pro tyto produkty nárok na doplňující serverové licence pro účely obnovení při zhroucení. Viz také </w:t>
      </w:r>
      <w:hyperlink r:id="rId26" w:anchor="tab=4" w:history="1">
        <w:r>
          <w:rPr>
            <w:rStyle w:val="Hyperlink"/>
          </w:rPr>
          <w:t>http://www.microsoft.com/licensing/software-assurance/by-benefits.aspx#tab=4</w:t>
        </w:r>
      </w:hyperlink>
      <w:r>
        <w:rPr>
          <w:color w:val="1F497D"/>
        </w:rPr>
        <w:t>.</w:t>
      </w:r>
    </w:p>
    <w:p w:rsidR="00DF2E7F" w:rsidRPr="00483B32" w:rsidRDefault="00DF2E7F" w:rsidP="00DF2E7F">
      <w:pPr>
        <w:pStyle w:val="Heading2"/>
      </w:pPr>
      <w:bookmarkStart w:id="95" w:name="_License_Mobility_through"/>
      <w:bookmarkStart w:id="96" w:name="_Toc336338242"/>
      <w:bookmarkStart w:id="97" w:name="_Toc372892149"/>
      <w:bookmarkStart w:id="98" w:name="_Toc403380315"/>
      <w:bookmarkStart w:id="99" w:name="_Toc403985033"/>
      <w:bookmarkStart w:id="100" w:name="_Toc428180930"/>
      <w:bookmarkEnd w:id="95"/>
      <w:r>
        <w:t>Práva LM (License Mobility) poskytovaná programem Software Assurance</w:t>
      </w:r>
      <w:bookmarkEnd w:id="96"/>
      <w:bookmarkEnd w:id="97"/>
      <w:bookmarkEnd w:id="98"/>
      <w:bookmarkEnd w:id="99"/>
      <w:bookmarkEnd w:id="100"/>
    </w:p>
    <w:p w:rsidR="00DF2E7F" w:rsidRPr="00483B32" w:rsidRDefault="00DF2E7F" w:rsidP="00DF2E7F">
      <w:pPr>
        <w:pStyle w:val="ProductList-Body"/>
      </w:pPr>
      <w:r>
        <w:rPr>
          <w:rFonts w:ascii="Segoe UI" w:hAnsi="Segoe UI"/>
          <w:color w:val="000000" w:themeColor="text1"/>
          <w:szCs w:val="18"/>
        </w:rPr>
        <w:t>Práva LM (License Mobility) poskytovaná programem Software Assurance vám umožňují přesunout konkrétní licence typu „on-premise“ zahrnuté do programu SA na sdílené servery třetích stran. Všechny produkty, které jsou aktuálně oprávněné pro „Práva LM (License Mobility) v rámci serverových farem“ definovaná v užívacích právech k produktu a zahrnuty do programu SA, jsou oprávněny pro práva LM (License Mobility) poskytovaná programem SA. Kromě toho jsou pro práva LM (License Mobility) poskytovaná programem SA oprávněny následující produkty:</w:t>
      </w:r>
    </w:p>
    <w:p w:rsidR="00DF2E7F" w:rsidRPr="00483B32" w:rsidRDefault="00DF2E7F" w:rsidP="00DF2E7F">
      <w:pPr>
        <w:pStyle w:val="BodyText"/>
        <w:numPr>
          <w:ilvl w:val="0"/>
          <w:numId w:val="16"/>
        </w:numPr>
        <w:spacing w:after="0"/>
      </w:pPr>
      <w:r>
        <w:t>System Center – všechny licence pro správu serveru (ML), včetně SMSE a SMSD s krytím SA a System Center 2012 Standard</w:t>
      </w:r>
      <w:r>
        <w:fldChar w:fldCharType="begin"/>
      </w:r>
      <w:r>
        <w:instrText>XE "System Center 2012 Standard"</w:instrText>
      </w:r>
      <w:r>
        <w:fldChar w:fldCharType="end"/>
      </w:r>
      <w:r>
        <w:t xml:space="preserve"> a Datacenter s krytím SA.</w:t>
      </w:r>
    </w:p>
    <w:p w:rsidR="00DF2E7F" w:rsidRPr="00483B32" w:rsidRDefault="00DF2E7F" w:rsidP="00DF2E7F">
      <w:pPr>
        <w:pStyle w:val="BodyText"/>
        <w:numPr>
          <w:ilvl w:val="0"/>
          <w:numId w:val="16"/>
        </w:numPr>
        <w:spacing w:after="0"/>
      </w:pPr>
      <w:r>
        <w:t>Pokud chcete uplatnit práva LM (License Mobility), musíte:</w:t>
      </w:r>
    </w:p>
    <w:p w:rsidR="00DF2E7F" w:rsidRPr="00483B32" w:rsidRDefault="00DF2E7F" w:rsidP="00DF2E7F">
      <w:pPr>
        <w:pStyle w:val="BodyText"/>
        <w:numPr>
          <w:ilvl w:val="1"/>
          <w:numId w:val="16"/>
        </w:numPr>
        <w:spacing w:after="0"/>
        <w:ind w:left="720" w:hanging="288"/>
      </w:pPr>
      <w:r>
        <w:t>Zachovat krytí SA pro licence, na jejichž základě spouštějí software nebo spravují prostředí operačního systému na sdílených serverech třetích stran, a pro všechny odpovídající licence CA, licence pro externí připojení (External Connector License) a licence pro správu;</w:t>
      </w:r>
    </w:p>
    <w:p w:rsidR="00DF2E7F" w:rsidRPr="00483B32" w:rsidRDefault="00DF2E7F" w:rsidP="00DF2E7F">
      <w:pPr>
        <w:pStyle w:val="BodyText"/>
        <w:numPr>
          <w:ilvl w:val="1"/>
          <w:numId w:val="16"/>
        </w:numPr>
        <w:spacing w:after="0"/>
        <w:ind w:left="720" w:hanging="288"/>
      </w:pPr>
      <w:r>
        <w:t xml:space="preserve">Nasadit licence pouze prostřednictvím kvalifikovaných partnerů správy LM (License Mobility) poskytované programem Software Assurance (k dispozici na adrese </w:t>
      </w:r>
      <w:hyperlink r:id="rId27" w:history="1">
        <w:r>
          <w:rPr>
            <w:rStyle w:val="Hyperlink"/>
            <w:szCs w:val="18"/>
          </w:rPr>
          <w:t>http://www.microsoft.com/licensing/software-assurance/license-mobility.aspx</w:t>
        </w:r>
      </w:hyperlink>
      <w:r>
        <w:rPr>
          <w:color w:val="000000" w:themeColor="text1"/>
          <w:szCs w:val="18"/>
        </w:rPr>
        <w:t xml:space="preserve">) </w:t>
      </w:r>
    </w:p>
    <w:p w:rsidR="00DF2E7F" w:rsidRPr="00483B32" w:rsidRDefault="00DF2E7F" w:rsidP="00DF2E7F">
      <w:pPr>
        <w:pStyle w:val="BodyText"/>
        <w:numPr>
          <w:ilvl w:val="1"/>
          <w:numId w:val="16"/>
        </w:numPr>
        <w:spacing w:after="0"/>
        <w:ind w:left="720" w:hanging="288"/>
      </w:pPr>
      <w:r>
        <w:t>vyplňovat a odesílat ověřovací formuláře pro práva LM (License Mobility) pro všechny partnery s právy LM (License Mobility) poskytovanými programem Software Assurance, kteří budou provozovat váš licencovaný software na sdílených serverech partnera. Ověřovací formulář pro práva LM (License Mobility) bude zpřístupněn kvalifikovaným partnerem s právy LM (License Mobility) poskytovanými programem Software Assurance.</w:t>
      </w:r>
    </w:p>
    <w:p w:rsidR="00DF2E7F" w:rsidRPr="00483B32" w:rsidRDefault="00DF2E7F" w:rsidP="00DF2E7F">
      <w:pPr>
        <w:pStyle w:val="Heading2"/>
      </w:pPr>
      <w:bookmarkStart w:id="101" w:name="_Windows_Thin_PC"/>
      <w:bookmarkStart w:id="102" w:name="_Extended_Hotfix_Support"/>
      <w:bookmarkStart w:id="103" w:name="_Toc291204568"/>
      <w:bookmarkStart w:id="104" w:name="_Toc374472969"/>
      <w:bookmarkStart w:id="105" w:name="_Toc375840471"/>
      <w:bookmarkStart w:id="106" w:name="_Toc379797455"/>
      <w:bookmarkStart w:id="107" w:name="_Toc380513491"/>
      <w:bookmarkStart w:id="108" w:name="_Toc380655540"/>
      <w:bookmarkStart w:id="109" w:name="_Toc394601036"/>
      <w:bookmarkStart w:id="110" w:name="_Toc403380317"/>
      <w:bookmarkStart w:id="111" w:name="_Toc403985035"/>
      <w:bookmarkStart w:id="112" w:name="_Toc428180931"/>
      <w:bookmarkEnd w:id="101"/>
      <w:bookmarkEnd w:id="102"/>
      <w:r>
        <w:t>Rozšířená podpora ve formě oprav hotfix</w:t>
      </w:r>
      <w:bookmarkEnd w:id="103"/>
      <w:bookmarkEnd w:id="104"/>
      <w:bookmarkEnd w:id="105"/>
      <w:bookmarkEnd w:id="106"/>
      <w:bookmarkEnd w:id="107"/>
      <w:bookmarkEnd w:id="108"/>
      <w:bookmarkEnd w:id="109"/>
      <w:bookmarkEnd w:id="110"/>
      <w:bookmarkEnd w:id="111"/>
      <w:bookmarkEnd w:id="112"/>
    </w:p>
    <w:p w:rsidR="00DF2E7F" w:rsidRPr="00483B32" w:rsidRDefault="00DF2E7F" w:rsidP="00DF2E7F">
      <w:pPr>
        <w:pStyle w:val="ProductList-Body"/>
      </w:pPr>
      <w:r>
        <w:rPr>
          <w:rFonts w:ascii="Segoe UI" w:hAnsi="Segoe UI"/>
          <w:color w:val="000000" w:themeColor="text1"/>
          <w:szCs w:val="18"/>
        </w:rPr>
        <w:t>Rozšířená podpora ve formě oprav hotfix je vám k dispozici, pokud jste podepsali smlouvu Premier Support a zakoupili si krytí SA.</w:t>
      </w:r>
    </w:p>
    <w:p w:rsidR="00DF2E7F" w:rsidRPr="00483B32" w:rsidRDefault="00DF2E7F" w:rsidP="00DF2E7F">
      <w:pPr>
        <w:pStyle w:val="BodyText"/>
        <w:numPr>
          <w:ilvl w:val="0"/>
          <w:numId w:val="16"/>
        </w:numPr>
        <w:spacing w:after="0"/>
      </w:pPr>
      <w:r>
        <w:t xml:space="preserve">Pokud máte krytí členství v programu Software Assurance pro skupinu aplikací, máte nárok na rozšířenou podporu ve formě oprav hotfix pro produkty skupiny aplikací. </w:t>
      </w:r>
    </w:p>
    <w:p w:rsidR="00DF2E7F" w:rsidRPr="00483B32" w:rsidRDefault="00DF2E7F" w:rsidP="00DF2E7F">
      <w:pPr>
        <w:pStyle w:val="BodyText"/>
        <w:numPr>
          <w:ilvl w:val="0"/>
          <w:numId w:val="16"/>
        </w:numPr>
        <w:spacing w:after="0"/>
      </w:pPr>
      <w:r>
        <w:t>Pokud máte krytí členství v Software Assurance pro skupinu systémů, máte nárok na rozšířenou podporu ve formě oprav hotfix pro počítačový operační systém Windows nebo vložený operační systém Windows (s krytím členství v Software Assurance na produktu s vloženým systémem Windows).</w:t>
      </w:r>
    </w:p>
    <w:p w:rsidR="00DF2E7F" w:rsidRPr="00483B32" w:rsidRDefault="00DF2E7F" w:rsidP="00DF2E7F">
      <w:pPr>
        <w:pStyle w:val="BodyText"/>
        <w:numPr>
          <w:ilvl w:val="0"/>
          <w:numId w:val="16"/>
        </w:numPr>
        <w:spacing w:after="0"/>
      </w:pPr>
      <w:r>
        <w:t>Pokud máte krytí SA na alespoň jednom serverovém produktu, kvalifikujete se pro rozšířenou podporu ve formě oprav hotfix pro serverové produkty. Zahrnuty jsou následující serverové produkty:</w:t>
      </w:r>
    </w:p>
    <w:p w:rsidR="00DF2E7F" w:rsidRPr="00483B32" w:rsidRDefault="00DF2E7F" w:rsidP="00DF2E7F">
      <w:pPr>
        <w:pStyle w:val="BodyText"/>
        <w:numPr>
          <w:ilvl w:val="1"/>
          <w:numId w:val="16"/>
        </w:numPr>
        <w:spacing w:after="0"/>
        <w:ind w:left="720" w:hanging="288"/>
      </w:pPr>
      <w:r>
        <w:t>Microsoft Exchange Server, Microsoft SQL Server, System Center 2012 a Windows Server.</w:t>
      </w:r>
    </w:p>
    <w:p w:rsidR="00DF2E7F" w:rsidRPr="00483B32" w:rsidRDefault="00DF2E7F" w:rsidP="00DF2E7F"/>
    <w:p w:rsidR="00DF2E7F" w:rsidRPr="00483B32" w:rsidRDefault="00DF2E7F" w:rsidP="00DF2E7F">
      <w:r>
        <w:rPr>
          <w:color w:val="000000" w:themeColor="text1"/>
          <w:szCs w:val="18"/>
        </w:rPr>
        <w:t xml:space="preserve">Rozšířená podpora ve formě oprav hotfix je výhoda pro starší verze softwaru, které byly přesunuty ze standardní na rozšířenou podporu. Roční poplatky běžně účtované v rámci smlouvy rozšířené podpory jsou vám, pokud máte nárokem na tuto výhodu krytí SA, odpuštěny. Dále zodpovídáte za poplatky za jednotlivé opravy hotfix. Pokud máte nárok na tuto výhodu, musíte se registrovat do 90 dní od přechodu produktu na rozšířenou podporu. Viz také </w:t>
      </w:r>
      <w:hyperlink r:id="rId28" w:anchor="tab=4" w:history="1">
        <w:r>
          <w:rPr>
            <w:rStyle w:val="Hyperlink"/>
          </w:rPr>
          <w:t>http://www.microsoft.com/licensing/software-assurance/by-benefits.aspx#tab=4</w:t>
        </w:r>
      </w:hyperlink>
      <w:r>
        <w:rPr>
          <w:color w:val="1F497D"/>
        </w:rPr>
        <w:t>.</w:t>
      </w:r>
    </w:p>
    <w:p w:rsidR="00DF2E7F" w:rsidRPr="00483B32" w:rsidRDefault="00DF2E7F" w:rsidP="00DF2E7F">
      <w:pPr>
        <w:pStyle w:val="ProductList-Body"/>
      </w:pPr>
      <w:bookmarkStart w:id="113" w:name="_Microsoft_Desktop_Optimization"/>
      <w:bookmarkStart w:id="114" w:name="_Microsoft_Dynamics_CustomerSource"/>
      <w:bookmarkStart w:id="115" w:name="_Virtualization_Rights_for"/>
      <w:bookmarkStart w:id="116" w:name="_Windows_Virtual_Desktop"/>
      <w:bookmarkEnd w:id="113"/>
      <w:bookmarkEnd w:id="114"/>
      <w:bookmarkEnd w:id="115"/>
      <w:bookmarkEnd w:id="116"/>
    </w:p>
    <w:p w:rsidR="00DF2E7F" w:rsidRPr="00483B32" w:rsidRDefault="00DF2E7F" w:rsidP="00DF2E7F">
      <w:pPr>
        <w:pStyle w:val="Hdg1noborder"/>
      </w:pPr>
      <w:bookmarkStart w:id="117" w:name="_Dynamics_CustomerSource"/>
      <w:bookmarkStart w:id="118" w:name="_Toc207701228"/>
      <w:bookmarkStart w:id="119" w:name="_Toc295673421"/>
      <w:bookmarkStart w:id="120" w:name="_Toc336949456"/>
      <w:bookmarkStart w:id="121" w:name="_Toc359876008"/>
      <w:bookmarkStart w:id="122" w:name="_Toc370837298"/>
      <w:bookmarkStart w:id="123" w:name="_Toc403380322"/>
      <w:bookmarkStart w:id="124" w:name="_Toc403985040"/>
      <w:bookmarkStart w:id="125" w:name="_Toc428180932"/>
      <w:bookmarkEnd w:id="117"/>
      <w:bookmarkEnd w:id="118"/>
      <w:bookmarkEnd w:id="119"/>
      <w:bookmarkEnd w:id="120"/>
      <w:bookmarkEnd w:id="121"/>
      <w:bookmarkEnd w:id="122"/>
      <w:r>
        <w:t>Oddíl 3</w:t>
      </w:r>
      <w:bookmarkEnd w:id="123"/>
      <w:bookmarkEnd w:id="124"/>
      <w:bookmarkEnd w:id="125"/>
      <w:r>
        <w:t xml:space="preserve"> </w:t>
      </w:r>
    </w:p>
    <w:p w:rsidR="00DF2E7F" w:rsidRPr="00483B32" w:rsidRDefault="00DF2E7F" w:rsidP="00DF2E7F">
      <w:pPr>
        <w:pStyle w:val="Hdg1noborder"/>
        <w:spacing w:before="120" w:after="120" w:line="240" w:lineRule="auto"/>
        <w:rPr>
          <w:rFonts w:eastAsiaTheme="majorEastAsia"/>
        </w:rPr>
      </w:pPr>
      <w:bookmarkStart w:id="126" w:name="_Toc403380323"/>
      <w:bookmarkStart w:id="127" w:name="_Toc403985041"/>
      <w:bookmarkStart w:id="128" w:name="_Toc428180933"/>
      <w:r>
        <w:rPr>
          <w:rFonts w:asciiTheme="majorHAnsi" w:eastAsiaTheme="majorEastAsia" w:hAnsiTheme="majorHAnsi" w:cstheme="majorBidi"/>
          <w:bCs/>
          <w:color w:val="FFC000" w:themeColor="accent4"/>
          <w:sz w:val="28"/>
          <w:szCs w:val="26"/>
        </w:rPr>
        <w:t>Vytváření kopií produktů a práva na přeinstalaci (re-imaging)</w:t>
      </w:r>
      <w:bookmarkEnd w:id="126"/>
      <w:bookmarkEnd w:id="127"/>
      <w:bookmarkEnd w:id="128"/>
    </w:p>
    <w:p w:rsidR="00DF2E7F" w:rsidRPr="00483B32" w:rsidRDefault="00DF2E7F" w:rsidP="00DF2E7F">
      <w:pPr>
        <w:spacing w:before="120" w:line="240" w:lineRule="auto"/>
      </w:pPr>
      <w:r>
        <w:rPr>
          <w:rFonts w:eastAsia="Times New Roman" w:cs="Times New Roman"/>
          <w:color w:val="505050"/>
          <w:szCs w:val="20"/>
        </w:rPr>
        <w:t>Vaše registrované</w:t>
      </w:r>
      <w:r>
        <w:t xml:space="preserve"> </w:t>
      </w:r>
      <w:r>
        <w:rPr>
          <w:rFonts w:eastAsia="Times New Roman" w:cs="Times New Roman"/>
          <w:color w:val="505050"/>
          <w:szCs w:val="20"/>
        </w:rPr>
        <w:t>obchodní jednotky smí vytvořit libovolný počet kopií produktů, které potřebuje k distribuci v rámci své organizace. Kopie musí být věrné a úplné (včetně sdělení o autorských právech a ochranných známkách) a vytvořené z hlavních kopií získaných ze zdroje schváleného společností Microsoft. K vytváření a instalaci těchto kopií mohou nákupní jednotky využít služby třetí strany, avšak vy a vaše jednotky za jednání takové třetí strany ponesete odpovědnost.</w:t>
      </w:r>
      <w:r>
        <w:t xml:space="preserve"> </w:t>
      </w:r>
    </w:p>
    <w:p w:rsidR="00DF2E7F" w:rsidRPr="00483B32" w:rsidRDefault="00DF2E7F" w:rsidP="00DF2E7F">
      <w:pPr>
        <w:spacing w:before="120" w:line="240" w:lineRule="auto"/>
      </w:pPr>
      <w:r>
        <w:rPr>
          <w:rFonts w:eastAsia="Times New Roman" w:cs="Times New Roman"/>
          <w:color w:val="505050"/>
          <w:szCs w:val="20"/>
        </w:rPr>
        <w:t xml:space="preserve">V určitých případech je povolena přeinstalace s použitím médií produktu. Jestliže je produkt licencován (1) od výrobce originálních dílů OEM, (2) jako kompletní zabalený produkt z maloobchodního zdroje nebo (3) na základě jiného programu společnosti Microsoft, lze </w:t>
      </w:r>
      <w:r>
        <w:rPr>
          <w:rFonts w:eastAsia="Times New Roman" w:cs="Times New Roman"/>
          <w:color w:val="505050"/>
          <w:szCs w:val="20"/>
        </w:rPr>
        <w:lastRenderedPageBreak/>
        <w:t>média poskytnutá prostřednictvím smlouvy MPSA obecně používat k vytváření instalačních obrazů, které budou užívány namísto kopií získaných prostřednictvím takového samostatného zdroje. Toto právo je podmíněno následujícím:</w:t>
      </w:r>
    </w:p>
    <w:p w:rsidR="00DF2E7F" w:rsidRPr="00483B32" w:rsidRDefault="00DF2E7F" w:rsidP="00DF2E7F">
      <w:pPr>
        <w:pStyle w:val="BodyText"/>
        <w:numPr>
          <w:ilvl w:val="0"/>
          <w:numId w:val="16"/>
        </w:numPr>
        <w:spacing w:after="0"/>
      </w:pPr>
      <w:r>
        <w:t>pro každý přeinstalovaný (re-image) produkt musí být pořízena samostatná licence získaná od zvláštního zdroje;</w:t>
      </w:r>
    </w:p>
    <w:p w:rsidR="00DF2E7F" w:rsidRPr="00483B32" w:rsidRDefault="00DF2E7F" w:rsidP="00DF2E7F">
      <w:pPr>
        <w:pStyle w:val="BodyText"/>
        <w:numPr>
          <w:ilvl w:val="0"/>
          <w:numId w:val="16"/>
        </w:numPr>
        <w:spacing w:after="0"/>
      </w:pPr>
      <w:r>
        <w:t>produkt, jazyk, verze a komponenty vytvořených kopií musejí být identické s produktem, jazykem, verzí a všemi komponentami kopií, které jsou novými kopiemi nahrazovány, a přípustný počet kopií nebo instancí produktu, pro nějž je vytvářen nový instalační obraz, zůstává stejný.</w:t>
      </w:r>
    </w:p>
    <w:p w:rsidR="00DF2E7F" w:rsidRPr="00483B32" w:rsidRDefault="00DF2E7F" w:rsidP="00DF2E7F">
      <w:pPr>
        <w:pStyle w:val="BodyText"/>
        <w:numPr>
          <w:ilvl w:val="0"/>
          <w:numId w:val="16"/>
        </w:numPr>
        <w:spacing w:after="0"/>
      </w:pPr>
      <w:r>
        <w:t xml:space="preserve">s výjimkou kopií operačního systému a kopií produktů, ke kterým byla získána licence v rámci jiného programu společnosti Microsoft, musí být typ přeinstalovaného (re-image) produktu (například s licencí k upgradu nebo plnou licencí) identický s typem produktu licencovaného ze samostatného zdroje; </w:t>
      </w:r>
    </w:p>
    <w:p w:rsidR="00DF2E7F" w:rsidRPr="00483B32" w:rsidRDefault="00DF2E7F" w:rsidP="00DF2E7F">
      <w:pPr>
        <w:pStyle w:val="BodyText"/>
        <w:numPr>
          <w:ilvl w:val="0"/>
          <w:numId w:val="16"/>
        </w:numPr>
        <w:spacing w:after="0"/>
      </w:pPr>
      <w:r>
        <w:t>Nákupní jednotka musí dodržovat veškeré postupy a požadavky na přeinstalaci (re-imaging) uvedené v podmínkách produktu.</w:t>
      </w:r>
    </w:p>
    <w:p w:rsidR="00DF2E7F" w:rsidRPr="00483B32" w:rsidRDefault="00DF2E7F" w:rsidP="00DF2E7F">
      <w:pPr>
        <w:pStyle w:val="BodyText"/>
        <w:numPr>
          <w:ilvl w:val="0"/>
          <w:numId w:val="16"/>
        </w:numPr>
        <w:spacing w:after="0"/>
      </w:pPr>
      <w:r>
        <w:t xml:space="preserve">Přeinstalované produkty dále podléhají podmínkám a užívacím právům licence získané od samostatného zdroje. </w:t>
      </w:r>
    </w:p>
    <w:p w:rsidR="00DF2E7F" w:rsidRPr="00483B32" w:rsidRDefault="00DF2E7F" w:rsidP="00DF2E7F">
      <w:pPr>
        <w:pStyle w:val="Thirdheading"/>
      </w:pPr>
      <w:r>
        <w:rPr>
          <w:b/>
        </w:rPr>
        <w:t xml:space="preserve">Kopie pro školení, testování a zálohování </w:t>
      </w:r>
    </w:p>
    <w:p w:rsidR="00DF2E7F" w:rsidRPr="00483B32" w:rsidRDefault="00DF2E7F" w:rsidP="00DF2E7F">
      <w:pPr>
        <w:spacing w:before="120" w:line="240" w:lineRule="auto"/>
      </w:pPr>
      <w:r>
        <w:rPr>
          <w:rFonts w:eastAsia="Times New Roman" w:cs="Times New Roman"/>
          <w:color w:val="505050"/>
          <w:szCs w:val="20"/>
        </w:rPr>
        <w:t xml:space="preserve">Pro všechny produkty kromě služeb online smí každá nákupní jednotka (1) užívat až 20 bezplatných kopií jakýchkoli licencovaných produktů v zařízeních určených ke školení v rámci svých prostor pro účely školení obsluhy tohoto konkrétního produktu, (2) užívat až 10 bezplatných kopií jakýchkoli produktů v průběhu 60denního zkušebního období a (3) užívat jednu bezplatnou kopii jakéhokoli licencovaného produktu pro účely zálohování nebo archivace pro každou ze svých oddělených místních poboček. </w:t>
      </w:r>
    </w:p>
    <w:p w:rsidR="00DF2E7F" w:rsidRPr="00483B32" w:rsidRDefault="00DF2E7F" w:rsidP="00DF2E7F">
      <w:pPr>
        <w:pStyle w:val="Hdg1noborder"/>
        <w:spacing w:before="120" w:after="120" w:line="240" w:lineRule="auto"/>
        <w:rPr>
          <w:rFonts w:eastAsiaTheme="majorEastAsia"/>
        </w:rPr>
      </w:pPr>
      <w:bookmarkStart w:id="129" w:name="_Toc403380324"/>
      <w:bookmarkStart w:id="130" w:name="_Toc403985042"/>
      <w:bookmarkStart w:id="131" w:name="_Toc428180934"/>
      <w:r>
        <w:rPr>
          <w:rFonts w:asciiTheme="majorHAnsi" w:eastAsiaTheme="majorEastAsia" w:hAnsiTheme="majorHAnsi" w:cstheme="majorBidi"/>
          <w:bCs/>
          <w:color w:val="FFC000" w:themeColor="accent4"/>
          <w:sz w:val="28"/>
          <w:szCs w:val="26"/>
        </w:rPr>
        <w:t>Proces převodu licencí</w:t>
      </w:r>
      <w:bookmarkEnd w:id="129"/>
      <w:bookmarkEnd w:id="130"/>
      <w:bookmarkEnd w:id="131"/>
    </w:p>
    <w:p w:rsidR="00DF2E7F" w:rsidRPr="00483B32" w:rsidRDefault="00DF2E7F" w:rsidP="00DF2E7F">
      <w:pPr>
        <w:pStyle w:val="BodyText"/>
      </w:pPr>
      <w:r>
        <w:t xml:space="preserve">Před převodem licence musíte vyplnit formulář převodu licence, který je k dispozici na adrese </w:t>
      </w:r>
      <w:hyperlink r:id="rId29" w:history="1">
        <w:r>
          <w:rPr>
            <w:rStyle w:val="Hyperlink"/>
          </w:rPr>
          <w:t>http://www.microsoft.com/licensing/contracts</w:t>
        </w:r>
      </w:hyperlink>
      <w:r>
        <w:t>, a zaslat jej společnosti Microsoft před převodem licence. Žádný převod licence nebude platný, pokud nabyvateli licence neposkytnete a nabyvatel licence písemně nepřistoupí na příslušná užívací práva k produktu, omezení používání, omezení odpovědnosti (včetně vyloučení a záručních ustanovení) a omezení převoditelnosti uvedená v tomto oddílu.</w:t>
      </w:r>
    </w:p>
    <w:p w:rsidR="00DF2E7F" w:rsidRPr="00483B32" w:rsidRDefault="00DF2E7F" w:rsidP="00DF2E7F">
      <w:pPr>
        <w:pStyle w:val="Hdg1noborder"/>
        <w:spacing w:before="120" w:after="120" w:line="240" w:lineRule="auto"/>
        <w:rPr>
          <w:rFonts w:eastAsiaTheme="majorEastAsia"/>
        </w:rPr>
      </w:pPr>
      <w:bookmarkStart w:id="132" w:name="_Toc428180935"/>
      <w:r>
        <w:rPr>
          <w:rFonts w:asciiTheme="majorHAnsi" w:eastAsiaTheme="majorEastAsia" w:hAnsiTheme="majorHAnsi" w:cstheme="majorBidi"/>
          <w:bCs/>
          <w:color w:val="FFC000" w:themeColor="accent4"/>
          <w:sz w:val="28"/>
          <w:szCs w:val="26"/>
        </w:rPr>
        <w:t xml:space="preserve">Proces ověření souladu a </w:t>
      </w:r>
      <w:r>
        <w:rPr>
          <w:rFonts w:asciiTheme="majorHAnsi" w:eastAsiaTheme="majorEastAsia" w:hAnsiTheme="majorHAnsi"/>
          <w:color w:val="FFC000" w:themeColor="accent4"/>
          <w:sz w:val="28"/>
        </w:rPr>
        <w:t>omezení</w:t>
      </w:r>
      <w:bookmarkEnd w:id="132"/>
      <w:r>
        <w:rPr>
          <w:rFonts w:asciiTheme="majorHAnsi" w:eastAsiaTheme="majorEastAsia" w:hAnsiTheme="majorHAnsi"/>
          <w:color w:val="FFC000" w:themeColor="accent4"/>
          <w:sz w:val="28"/>
        </w:rPr>
        <w:t xml:space="preserve"> </w:t>
      </w:r>
    </w:p>
    <w:p w:rsidR="00DF2E7F" w:rsidRPr="00483B32" w:rsidRDefault="00DF2E7F" w:rsidP="00DF2E7F">
      <w:pPr>
        <w:pStyle w:val="BodyText"/>
      </w:pPr>
      <w:r>
        <w:t xml:space="preserve">Společnost Microsoft vás o svém záměru ověřit plnění licenčních podmínek produktů, které vy a vaše afilace užíváte nebo distribuujete, informuje v předstihu nejméně 30 dnů. Společnost Microsoft najme nezávislého auditora, který bude podléhat povinnosti zachovávat důvěrnost. Informace shromážděné během vlastního auditu budou použity výhradně pro účely ověření plnění podmínek. Toto ověřování se uskuteční během obvyklé pracovní doby a způsobem, který nepřiměřeně nezasáhne do vašeho provozu. </w:t>
      </w:r>
    </w:p>
    <w:p w:rsidR="00DF2E7F" w:rsidRPr="00483B32" w:rsidRDefault="00DF2E7F" w:rsidP="00DF2E7F">
      <w:pPr>
        <w:pStyle w:val="Hdg1noborder"/>
        <w:spacing w:before="120" w:after="120" w:line="240" w:lineRule="auto"/>
        <w:rPr>
          <w:rFonts w:eastAsiaTheme="majorEastAsia"/>
        </w:rPr>
      </w:pPr>
      <w:bookmarkStart w:id="133" w:name="_Toc428180936"/>
      <w:bookmarkStart w:id="134" w:name="_Toc403380325"/>
      <w:bookmarkStart w:id="135" w:name="_Toc403985043"/>
      <w:r>
        <w:rPr>
          <w:rFonts w:asciiTheme="majorHAnsi" w:eastAsiaTheme="majorEastAsia" w:hAnsiTheme="majorHAnsi" w:cstheme="majorBidi"/>
          <w:bCs/>
          <w:color w:val="FFC000" w:themeColor="accent4"/>
          <w:sz w:val="28"/>
          <w:szCs w:val="26"/>
        </w:rPr>
        <w:t>Rozdělení</w:t>
      </w:r>
      <w:bookmarkEnd w:id="133"/>
    </w:p>
    <w:p w:rsidR="00DF2E7F" w:rsidRPr="00483B32" w:rsidRDefault="00DF2E7F" w:rsidP="00DF2E7F">
      <w:pPr>
        <w:pStyle w:val="BodyText"/>
      </w:pPr>
      <w:r>
        <w:t>Jestliže plánujete převést více než deset procent svých licencí v souvislosti se změnou vlastníka afilace, provozní divize nebo provozní divize jakékoli z vašich afilací, společnost Microsoft s vámi bude v dobré víře spolupracovat na umožnění takového převodu.</w:t>
      </w:r>
    </w:p>
    <w:p w:rsidR="00DF2E7F" w:rsidRPr="007E7A10" w:rsidRDefault="00DF2E7F" w:rsidP="00DF2E7F">
      <w:pPr>
        <w:pStyle w:val="Hdg1noborder"/>
        <w:spacing w:before="120" w:after="120" w:line="240" w:lineRule="auto"/>
        <w:rPr>
          <w:rFonts w:asciiTheme="majorHAnsi" w:eastAsiaTheme="majorEastAsia" w:hAnsiTheme="majorHAnsi" w:cstheme="majorBidi"/>
          <w:bCs/>
          <w:color w:val="FFC000" w:themeColor="accent4"/>
          <w:kern w:val="0"/>
          <w:sz w:val="28"/>
          <w:szCs w:val="26"/>
          <w:lang w:eastAsia="en-US" w:bidi="ar-SA"/>
        </w:rPr>
      </w:pPr>
      <w:bookmarkStart w:id="136" w:name="_Toc428180937"/>
      <w:r w:rsidRPr="007E7A10">
        <w:rPr>
          <w:rFonts w:asciiTheme="majorHAnsi" w:eastAsiaTheme="majorEastAsia" w:hAnsiTheme="majorHAnsi" w:cstheme="majorBidi"/>
          <w:bCs/>
          <w:color w:val="FFC000" w:themeColor="accent4"/>
          <w:kern w:val="0"/>
          <w:sz w:val="28"/>
          <w:szCs w:val="26"/>
          <w:lang w:eastAsia="en-US" w:bidi="ar-SA"/>
        </w:rPr>
        <w:t>Přírodní katastrofy</w:t>
      </w:r>
      <w:bookmarkEnd w:id="134"/>
      <w:bookmarkEnd w:id="135"/>
      <w:bookmarkEnd w:id="136"/>
      <w:r w:rsidRPr="007E7A10">
        <w:rPr>
          <w:rFonts w:asciiTheme="majorHAnsi" w:eastAsiaTheme="majorEastAsia" w:hAnsiTheme="majorHAnsi" w:cstheme="majorBidi"/>
          <w:bCs/>
          <w:color w:val="FFC000" w:themeColor="accent4"/>
          <w:kern w:val="0"/>
          <w:sz w:val="28"/>
          <w:szCs w:val="26"/>
          <w:lang w:eastAsia="en-US" w:bidi="ar-SA"/>
        </w:rPr>
        <w:t xml:space="preserve"> </w:t>
      </w:r>
    </w:p>
    <w:p w:rsidR="00DF2E7F" w:rsidRPr="00483B32" w:rsidRDefault="00DF2E7F" w:rsidP="00DF2E7F">
      <w:pPr>
        <w:pStyle w:val="BodyText"/>
      </w:pPr>
      <w:r>
        <w:t>V případě přírodní katastrofy může společnost Microsoft poskytovat další pomoc a práva formou zveřejnění na adrese http://www.microsoft.com.</w:t>
      </w:r>
    </w:p>
    <w:p w:rsidR="00DF2E7F" w:rsidRPr="00483B32" w:rsidRDefault="00DF2E7F" w:rsidP="00DF2E7F">
      <w:pPr>
        <w:pStyle w:val="Hdg1noborder"/>
      </w:pPr>
      <w:bookmarkStart w:id="137" w:name="_Toc403380326"/>
      <w:bookmarkStart w:id="138" w:name="_Toc403985044"/>
      <w:bookmarkStart w:id="139" w:name="_Toc428180938"/>
      <w:r>
        <w:t>Oddíl 4</w:t>
      </w:r>
      <w:bookmarkEnd w:id="137"/>
      <w:bookmarkEnd w:id="138"/>
      <w:bookmarkEnd w:id="139"/>
    </w:p>
    <w:p w:rsidR="00DF2E7F" w:rsidRPr="00483B32" w:rsidRDefault="00DF2E7F" w:rsidP="00DF2E7F">
      <w:pPr>
        <w:pStyle w:val="Hdg1noborder"/>
        <w:spacing w:before="120" w:after="120" w:line="240" w:lineRule="auto"/>
        <w:rPr>
          <w:rFonts w:eastAsiaTheme="majorEastAsia"/>
        </w:rPr>
      </w:pPr>
      <w:bookmarkStart w:id="140" w:name="_Toc403380327"/>
      <w:bookmarkStart w:id="141" w:name="_Toc403985045"/>
      <w:bookmarkStart w:id="142" w:name="_Toc428180939"/>
      <w:r>
        <w:rPr>
          <w:rFonts w:asciiTheme="majorHAnsi" w:eastAsiaTheme="majorEastAsia" w:hAnsiTheme="majorHAnsi" w:cstheme="majorBidi"/>
          <w:color w:val="FFC000" w:themeColor="accent4"/>
          <w:sz w:val="28"/>
          <w:szCs w:val="26"/>
        </w:rPr>
        <w:t>Změny příručky k licencování za posledních 12 měsíců</w:t>
      </w:r>
      <w:bookmarkEnd w:id="140"/>
      <w:bookmarkEnd w:id="141"/>
      <w:bookmarkEnd w:id="142"/>
    </w:p>
    <w:p w:rsidR="00DF2E7F" w:rsidRPr="00483B32" w:rsidRDefault="00DF2E7F" w:rsidP="00DF2E7F">
      <w:pPr>
        <w:pStyle w:val="BodyText"/>
        <w:numPr>
          <w:ilvl w:val="0"/>
          <w:numId w:val="16"/>
        </w:numPr>
        <w:spacing w:after="0"/>
      </w:pPr>
      <w:r>
        <w:t xml:space="preserve">Srpen 2015: Aktualizace odrážející další možnosti nákupu služeb Azure, služeb online a balíčků a doplnění odkazů na dokument podmínky produktu a uvedení do souladu s ním. Počátkem července 2015 byly dokumenty seznam produktů a užívací práva k produktu (PUR) nahrazeny dokumentem podmínky produktu. </w:t>
      </w:r>
    </w:p>
    <w:p w:rsidR="00DF2E7F" w:rsidRPr="00483B32" w:rsidRDefault="00DF2E7F" w:rsidP="00DF2E7F">
      <w:pPr>
        <w:pStyle w:val="BodyText"/>
        <w:numPr>
          <w:ilvl w:val="0"/>
          <w:numId w:val="16"/>
        </w:numPr>
        <w:spacing w:after="0"/>
      </w:pPr>
      <w:r>
        <w:t>Květen 2015: Byly přidány informace ohledně ověřování procesu souladu, licenčních převodů v případě oddělení společností a krytí SA pro OEM/FPP.</w:t>
      </w:r>
    </w:p>
    <w:p w:rsidR="00DF2E7F" w:rsidRPr="00483B32" w:rsidRDefault="00DF2E7F" w:rsidP="00DF2E7F">
      <w:pPr>
        <w:pStyle w:val="BodyText"/>
        <w:numPr>
          <w:ilvl w:val="0"/>
          <w:numId w:val="16"/>
        </w:numPr>
        <w:spacing w:after="0"/>
      </w:pPr>
      <w:r>
        <w:t xml:space="preserve">V únoru 2015 byla příručka aktualizována tak, aby podporovala uvedení procesů typů nákupních jednotek v programu Government a Academic. </w:t>
      </w:r>
    </w:p>
    <w:p w:rsidR="00DF2E7F" w:rsidRPr="00483B32" w:rsidRDefault="00DF2E7F" w:rsidP="00DF2E7F">
      <w:pPr>
        <w:pStyle w:val="BodyText"/>
        <w:numPr>
          <w:ilvl w:val="0"/>
          <w:numId w:val="16"/>
        </w:numPr>
        <w:spacing w:after="0"/>
      </w:pPr>
      <w:r>
        <w:t>V prosinci 2014 byly aktualizovány informace o Programu domácího používání a byl odstraněn odkaz na odběr produktu Windows Companion.</w:t>
      </w:r>
    </w:p>
    <w:p w:rsidR="00DF2E7F" w:rsidRPr="00483B32" w:rsidRDefault="00DF2E7F" w:rsidP="00DF2E7F">
      <w:pPr>
        <w:pStyle w:val="BodyText"/>
        <w:numPr>
          <w:ilvl w:val="0"/>
          <w:numId w:val="16"/>
        </w:numPr>
        <w:spacing w:after="0"/>
      </w:pPr>
      <w:r>
        <w:lastRenderedPageBreak/>
        <w:t>V září 2014 byla příručka aktualizována v souvislosti s uvedením krytí Software Assurance a výhod Software Assurance.</w:t>
      </w:r>
    </w:p>
    <w:p w:rsidR="00DF2E7F" w:rsidRPr="00483B32" w:rsidRDefault="00DF2E7F" w:rsidP="00DF2E7F">
      <w:pPr>
        <w:pStyle w:val="Hdg1noborder"/>
      </w:pPr>
      <w:bookmarkStart w:id="143" w:name="_Toc403380328"/>
      <w:bookmarkStart w:id="144" w:name="_Toc403985046"/>
      <w:bookmarkStart w:id="145" w:name="_Toc428180940"/>
      <w:r>
        <w:t>Příloha</w:t>
      </w:r>
      <w:bookmarkEnd w:id="143"/>
      <w:bookmarkEnd w:id="144"/>
      <w:bookmarkEnd w:id="145"/>
    </w:p>
    <w:p w:rsidR="00DF2E7F" w:rsidRPr="00483B32" w:rsidRDefault="00DF2E7F" w:rsidP="00DF2E7F">
      <w:pPr>
        <w:pStyle w:val="Hdg1noborder"/>
        <w:spacing w:before="120" w:after="120" w:line="240" w:lineRule="auto"/>
        <w:rPr>
          <w:rFonts w:eastAsiaTheme="majorEastAsia"/>
        </w:rPr>
      </w:pPr>
      <w:bookmarkStart w:id="146" w:name="_Toc403985047"/>
      <w:bookmarkStart w:id="147" w:name="_Toc428180941"/>
      <w:bookmarkStart w:id="148" w:name="_Toc403380329"/>
      <w:r>
        <w:rPr>
          <w:rFonts w:asciiTheme="majorHAnsi" w:eastAsiaTheme="majorEastAsia" w:hAnsiTheme="majorHAnsi" w:cstheme="majorBidi"/>
          <w:bCs/>
          <w:color w:val="FFC000" w:themeColor="accent4"/>
          <w:sz w:val="28"/>
          <w:szCs w:val="26"/>
        </w:rPr>
        <w:t>Definice r</w:t>
      </w:r>
      <w:r>
        <w:rPr>
          <w:rFonts w:asciiTheme="majorHAnsi" w:eastAsiaTheme="majorEastAsia" w:hAnsiTheme="majorHAnsi" w:cstheme="majorBidi"/>
          <w:color w:val="FFC000" w:themeColor="accent4"/>
          <w:sz w:val="28"/>
          <w:szCs w:val="26"/>
        </w:rPr>
        <w:t>egionů</w:t>
      </w:r>
      <w:bookmarkEnd w:id="146"/>
      <w:bookmarkEnd w:id="147"/>
      <w:r>
        <w:rPr>
          <w:rFonts w:asciiTheme="majorHAnsi" w:eastAsiaTheme="majorEastAsia" w:hAnsiTheme="majorHAnsi" w:cstheme="majorBidi"/>
          <w:color w:val="FFC000" w:themeColor="accent4"/>
          <w:sz w:val="28"/>
          <w:szCs w:val="26"/>
        </w:rPr>
        <w:t xml:space="preserve"> </w:t>
      </w:r>
      <w:bookmarkEnd w:id="148"/>
    </w:p>
    <w:p w:rsidR="00DF2E7F" w:rsidRPr="00483B32" w:rsidRDefault="00DF2E7F" w:rsidP="00DF2E7F">
      <w:pPr>
        <w:pStyle w:val="BodyText"/>
      </w:pPr>
      <w:r>
        <w:t>V seznamu níže jsou uvedeny země</w:t>
      </w:r>
      <w:r>
        <w:rPr>
          <w:color w:val="1F497D"/>
        </w:rPr>
        <w:t xml:space="preserve">, </w:t>
      </w:r>
      <w:r>
        <w:t>regiony nebo oblasti,</w:t>
      </w:r>
      <w:r>
        <w:rPr>
          <w:color w:val="FF0000"/>
        </w:rPr>
        <w:t xml:space="preserve"> </w:t>
      </w:r>
      <w:r>
        <w:t>které jsou zahrnuty do definice regionu EMEA (Evropa, Střední výhod a Afrika)společnosti Microsoft, jež může být odkazována v některých podmínkách typu nákupní jednotky pro jednotlivé země. Upozorňujeme, že v některých zemích nemusí být smlouva MPSA k dispozici.</w:t>
      </w:r>
    </w:p>
    <w:p w:rsidR="00DF2E7F" w:rsidRPr="002F2979" w:rsidRDefault="00DF2E7F" w:rsidP="00DF2E7F">
      <w:pPr>
        <w:pStyle w:val="BodyText"/>
        <w:rPr>
          <w:sz w:val="14"/>
          <w:szCs w:val="14"/>
        </w:rPr>
      </w:pPr>
      <w:r w:rsidRPr="002F2979">
        <w:rPr>
          <w:sz w:val="14"/>
          <w:szCs w:val="14"/>
        </w:rPr>
        <w:t>Afghánistán, Albánie, Andora, Angola, Arménie, Ázerbájdžán, Alžírsko, Bahrajn, Belgie, Benin, Bělorusko, Bosna a Hercegovina, Botswana, Bulharsko, Burkina Faso, Burundi, Cape Verde, Čad, Černá hora, Česká republika, Dánsko, Džibuti, Egypt, Eritrea, Estonsko, Etiopie, Francie, Francouzská Polynésie, Finsko, Gabun, Gambie, Ghana, Gruzie, Guinea, Guinea-Bissau, Chorvatsko, Island, Irák, Irsko, Izrael, Jemen, Jižní Afrika, Jižní Súdán, Jordánsko, Kamerun, Katar, Kazachstán, Keňa, Komory, Kongo, Kongo (DRK), Kuvajt, Kypr, Libanon, Libye, Lichtenštejnsko, Litva, Lotyšsko, Lucembursko, Madagaskar, Maďarsko, Makedonie, Malawi, Mali, Malta, Maroko, Mauretánie, Mauricius, Moldavsko, Monako, Mongolsko, Mozambik, Namibie, Německo, Nizozemsko, Nová Kaledonie, Niger, Nigérie, Norsko, Omán, Pákistán, Pobřeží slonoviny, Polsko, Portugalsko, Rakousko, Rumunsko, Rusko, Rovníková Guinea, Rwanda, Řecko, San Marino, Saúdská Arábie, Senegal, Seychely, Sierra Leone, Slovensko, Slovinsko, Somálsko, Spojené Arabské Emiráty, Srbsko, Středoafrická republika, Sýrie, Španělsko, Švédsko, Švýcarsko, Tádžikistán, Tanzanie, Togo, Tunis, Turecko, Turkmenistán, Uganda, Ukrajina, Uzbekistán, Vatikán, Velká Británie, Zambie, Zimbabwe</w:t>
      </w:r>
      <w:r w:rsidRPr="002F2979">
        <w:rPr>
          <w:rFonts w:cs="Segoe UI"/>
          <w:color w:val="1C4269"/>
          <w:sz w:val="14"/>
          <w:szCs w:val="14"/>
        </w:rPr>
        <w:t>.</w:t>
      </w:r>
    </w:p>
    <w:p w:rsidR="00DF2E7F" w:rsidRPr="00483B32" w:rsidRDefault="00DF2E7F" w:rsidP="00DF2E7F">
      <w:pPr>
        <w:pStyle w:val="BodyText"/>
      </w:pPr>
    </w:p>
    <w:p w:rsidR="00EE174E" w:rsidRDefault="00EE174E"/>
    <w:sectPr w:rsidR="00EE174E" w:rsidSect="00BC431D">
      <w:headerReference w:type="default" r:id="rId30"/>
      <w:footerReference w:type="default" r:id="rId31"/>
      <w:headerReference w:type="first" r:id="rId32"/>
      <w:footerReference w:type="first" r:id="rId33"/>
      <w:pgSz w:w="12240" w:h="15840" w:code="1"/>
      <w:pgMar w:top="1440" w:right="720" w:bottom="1440" w:left="720" w:header="720" w:footer="720" w:gutter="0"/>
      <w:pgNumType w:start="1"/>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DF2E7F" w:rsidRDefault="00DF2E7F" w:rsidP="00DF2E7F">
      <w:pPr>
        <w:spacing w:line="240" w:lineRule="auto"/>
      </w:pPr>
      <w:r>
        <w:separator/>
      </w:r>
    </w:p>
  </w:endnote>
  <w:endnote w:type="continuationSeparator" w:id="0">
    <w:p w:rsidR="00DF2E7F" w:rsidRDefault="00DF2E7F" w:rsidP="00DF2E7F">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Wingdings 3">
    <w:panose1 w:val="05040102010807070707"/>
    <w:charset w:val="02"/>
    <w:family w:val="roman"/>
    <w:pitch w:val="variable"/>
    <w:sig w:usb0="00000000" w:usb1="10000000" w:usb2="00000000" w:usb3="00000000" w:csb0="80000000" w:csb1="00000000"/>
  </w:font>
  <w:font w:name="Segoe Bold">
    <w:altName w:val="Courier New"/>
    <w:panose1 w:val="00000000000000000000"/>
    <w:charset w:val="00"/>
    <w:family w:val="auto"/>
    <w:notTrueType/>
    <w:pitch w:val="variable"/>
    <w:sig w:usb0="00000003" w:usb1="00000000" w:usb2="00000000" w:usb3="00000000" w:csb0="00000001" w:csb1="00000000"/>
  </w:font>
  <w:font w:name="Segoe UI">
    <w:panose1 w:val="020B0502040204020203"/>
    <w:charset w:val="00"/>
    <w:family w:val="swiss"/>
    <w:pitch w:val="variable"/>
    <w:sig w:usb0="E4002EFF" w:usb1="C000E47F" w:usb2="00000009" w:usb3="00000000" w:csb0="000001FF" w:csb1="00000000"/>
  </w:font>
  <w:font w:name="Calibri">
    <w:panose1 w:val="020F0502020204030204"/>
    <w:charset w:val="00"/>
    <w:family w:val="swiss"/>
    <w:pitch w:val="variable"/>
    <w:sig w:usb0="E00002FF" w:usb1="4000ACFF" w:usb2="00000001" w:usb3="00000000" w:csb0="0000019F" w:csb1="00000000"/>
  </w:font>
  <w:font w:name="Webdings">
    <w:panose1 w:val="05030102010509060703"/>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Segoe UI Light">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Tahoma">
    <w:panose1 w:val="020B0604030504040204"/>
    <w:charset w:val="00"/>
    <w:family w:val="swiss"/>
    <w:pitch w:val="variable"/>
    <w:sig w:usb0="E1002EFF" w:usb1="C000605B" w:usb2="00000029" w:usb3="00000000" w:csb0="000101FF" w:csb1="00000000"/>
  </w:font>
  <w:font w:name="Segoe Light">
    <w:altName w:val="Times New Roman"/>
    <w:panose1 w:val="00000000000000000000"/>
    <w:charset w:val="00"/>
    <w:family w:val="roman"/>
    <w:notTrueType/>
    <w:pitch w:val="default"/>
  </w:font>
  <w:font w:name="Trebuchet MS">
    <w:panose1 w:val="020B0603020202020204"/>
    <w:charset w:val="00"/>
    <w:family w:val="swiss"/>
    <w:pitch w:val="variable"/>
    <w:sig w:usb0="00000687" w:usb1="00000000" w:usb2="00000000" w:usb3="00000000" w:csb0="0000009F" w:csb1="00000000"/>
  </w:font>
  <w:font w:name="MS Mincho">
    <w:altName w:val="Arial Unicode MS"/>
    <w:panose1 w:val="02020609040205080304"/>
    <w:charset w:val="80"/>
    <w:family w:val="roman"/>
    <w:notTrueType/>
    <w:pitch w:val="fixed"/>
    <w:sig w:usb0="00000000" w:usb1="08070000" w:usb2="00000010" w:usb3="00000000" w:csb0="00020000" w:csb1="00000000"/>
  </w:font>
  <w:font w:name="Segoe UI Semibold">
    <w:panose1 w:val="020B07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F2E7F" w:rsidRPr="00175A86" w:rsidRDefault="00DF2E7F" w:rsidP="00175A86">
    <w:pPr>
      <w:pStyle w:val="Footer"/>
      <w:pBdr>
        <w:top w:val="none" w:sz="0" w:space="0" w:color="auto"/>
      </w:pBd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F2979" w:rsidRDefault="00AB7219" w:rsidP="002F2979">
    <w:pPr>
      <w:pStyle w:val="Footer"/>
      <w:tabs>
        <w:tab w:val="clear" w:pos="4680"/>
        <w:tab w:val="clear" w:pos="9360"/>
        <w:tab w:val="right" w:pos="10800"/>
      </w:tabs>
    </w:pPr>
    <w:r w:rsidRPr="00CC6A48">
      <w:rPr>
        <w:sz w:val="16"/>
      </w:rPr>
      <w:t>© 201</w:t>
    </w:r>
    <w:r>
      <w:rPr>
        <w:sz w:val="16"/>
      </w:rPr>
      <w:t>5</w:t>
    </w:r>
    <w:r w:rsidRPr="00CC6A48">
      <w:rPr>
        <w:sz w:val="16"/>
      </w:rPr>
      <w:t xml:space="preserve"> Microsoft Corporation. All rights reserved.</w:t>
    </w:r>
  </w:p>
  <w:p w:rsidR="002F2979" w:rsidRPr="00C537F0" w:rsidRDefault="00AB7219" w:rsidP="002F2979">
    <w:pPr>
      <w:pStyle w:val="Footer"/>
      <w:tabs>
        <w:tab w:val="clear" w:pos="4680"/>
        <w:tab w:val="clear" w:pos="9360"/>
        <w:tab w:val="right" w:pos="10800"/>
      </w:tabs>
    </w:pPr>
    <w:r w:rsidRPr="00CC6A48">
      <w:rPr>
        <w:sz w:val="16"/>
      </w:rPr>
      <w:t>Microsoft is a registered trademark of Micr</w:t>
    </w:r>
    <w:r w:rsidRPr="00CC6A48">
      <w:rPr>
        <w:sz w:val="16"/>
      </w:rPr>
      <w:t>osoft Corporation in the United States and/or other countries</w:t>
    </w:r>
    <w:r>
      <w:tab/>
    </w:r>
    <w:r>
      <w:fldChar w:fldCharType="begin"/>
    </w:r>
    <w:r>
      <w:instrText xml:space="preserve"> PAGE   \* MERGEFORMAT </w:instrText>
    </w:r>
    <w:r>
      <w:fldChar w:fldCharType="separate"/>
    </w:r>
    <w:r w:rsidR="00DF2E7F">
      <w:rPr>
        <w:noProof/>
      </w:rPr>
      <w:t>17</w:t>
    </w:r>
    <w:r>
      <w:rPr>
        <w:noProof/>
      </w:rPr>
      <w:fldChar w:fldCharType="end"/>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D2C94" w:rsidRDefault="00AB7219">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DF2E7F" w:rsidRDefault="00DF2E7F" w:rsidP="00DF2E7F">
      <w:pPr>
        <w:spacing w:line="240" w:lineRule="auto"/>
      </w:pPr>
      <w:r>
        <w:separator/>
      </w:r>
    </w:p>
  </w:footnote>
  <w:footnote w:type="continuationSeparator" w:id="0">
    <w:p w:rsidR="00DF2E7F" w:rsidRDefault="00DF2E7F" w:rsidP="00DF2E7F">
      <w:pPr>
        <w:spacing w:line="240" w:lineRule="auto"/>
      </w:pPr>
      <w:r>
        <w:continuationSeparator/>
      </w:r>
    </w:p>
  </w:footnote>
  <w:footnote w:id="1">
    <w:p w:rsidR="00DF2E7F" w:rsidRDefault="00DF2E7F" w:rsidP="00DF2E7F">
      <w:pPr>
        <w:pStyle w:val="FootnoteText"/>
      </w:pPr>
      <w:r w:rsidRPr="007B5219">
        <w:rPr>
          <w:rStyle w:val="FootnoteReference"/>
          <w:sz w:val="18"/>
        </w:rPr>
        <w:footnoteRef/>
      </w:r>
      <w:r>
        <w:rPr>
          <w:sz w:val="14"/>
        </w:rPr>
        <w:t xml:space="preserve"> </w:t>
      </w:r>
      <w:r w:rsidRPr="002F2979">
        <w:rPr>
          <w:sz w:val="14"/>
          <w:lang w:val="en-US" w:eastAsia="en-US" w:bidi="ar-SA"/>
        </w:rPr>
        <w:t>Fyzický podpis elektronicky vytvořených smluv je podporován podle potřeby.</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F2E7F" w:rsidRPr="00175A86" w:rsidRDefault="00DF2E7F" w:rsidP="00175A86">
    <w:pPr>
      <w:pStyle w:val="Header"/>
      <w:pBdr>
        <w:top w:val="none" w:sz="0" w:space="0" w:color="auto"/>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F2E7F" w:rsidRDefault="00DF2E7F" w:rsidP="00FB65FE">
    <w:pPr>
      <w:pStyle w:val="Header"/>
      <w:pBdr>
        <w:top w:val="none" w:sz="0" w:space="0" w:color="auto"/>
      </w:pBdr>
      <w:spacing w:after="3360"/>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D2C94" w:rsidRPr="00C537F0" w:rsidRDefault="00AB7219" w:rsidP="00C537F0">
    <w:pPr>
      <w:pStyle w:val="Heade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D2C94" w:rsidRDefault="00AB7219" w:rsidP="00AD5C07">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FFFFFF7C"/>
    <w:multiLevelType w:val="singleLevel"/>
    <w:tmpl w:val="8FB6BC84"/>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BA1A147C"/>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4752747E"/>
    <w:lvl w:ilvl="0">
      <w:start w:val="1"/>
      <w:numFmt w:val="decimal"/>
      <w:lvlText w:val="%1."/>
      <w:lvlJc w:val="left"/>
      <w:pPr>
        <w:tabs>
          <w:tab w:val="num" w:pos="1080"/>
        </w:tabs>
        <w:ind w:left="1080" w:hanging="360"/>
      </w:pPr>
    </w:lvl>
  </w:abstractNum>
  <w:abstractNum w:abstractNumId="3" w15:restartNumberingAfterBreak="0">
    <w:nsid w:val="FFFFFF7F"/>
    <w:multiLevelType w:val="singleLevel"/>
    <w:tmpl w:val="6EAE7484"/>
    <w:lvl w:ilvl="0">
      <w:start w:val="1"/>
      <w:numFmt w:val="decimal"/>
      <w:lvlText w:val="%1."/>
      <w:lvlJc w:val="left"/>
      <w:pPr>
        <w:tabs>
          <w:tab w:val="num" w:pos="720"/>
        </w:tabs>
        <w:ind w:left="720" w:hanging="360"/>
      </w:pPr>
    </w:lvl>
  </w:abstractNum>
  <w:abstractNum w:abstractNumId="4" w15:restartNumberingAfterBreak="0">
    <w:nsid w:val="FFFFFF80"/>
    <w:multiLevelType w:val="singleLevel"/>
    <w:tmpl w:val="035A00FA"/>
    <w:lvl w:ilvl="0">
      <w:start w:val="1"/>
      <w:numFmt w:val="bullet"/>
      <w:lvlText w:val=""/>
      <w:lvlJc w:val="left"/>
      <w:pPr>
        <w:tabs>
          <w:tab w:val="num" w:pos="1800"/>
        </w:tabs>
        <w:ind w:left="1800" w:hanging="360"/>
      </w:pPr>
      <w:rPr>
        <w:rFonts w:ascii="Symbol" w:hAnsi="Symbol" w:hint="default"/>
      </w:rPr>
    </w:lvl>
  </w:abstractNum>
  <w:abstractNum w:abstractNumId="5" w15:restartNumberingAfterBreak="0">
    <w:nsid w:val="FFFFFF81"/>
    <w:multiLevelType w:val="singleLevel"/>
    <w:tmpl w:val="E5466B9E"/>
    <w:lvl w:ilvl="0">
      <w:start w:val="1"/>
      <w:numFmt w:val="bullet"/>
      <w:lvlText w:val=""/>
      <w:lvlJc w:val="left"/>
      <w:pPr>
        <w:tabs>
          <w:tab w:val="num" w:pos="1440"/>
        </w:tabs>
        <w:ind w:left="1440" w:hanging="360"/>
      </w:pPr>
      <w:rPr>
        <w:rFonts w:ascii="Symbol" w:hAnsi="Symbol" w:hint="default"/>
      </w:rPr>
    </w:lvl>
  </w:abstractNum>
  <w:abstractNum w:abstractNumId="6" w15:restartNumberingAfterBreak="0">
    <w:nsid w:val="FFFFFF82"/>
    <w:multiLevelType w:val="singleLevel"/>
    <w:tmpl w:val="77F6AE30"/>
    <w:lvl w:ilvl="0">
      <w:start w:val="1"/>
      <w:numFmt w:val="bullet"/>
      <w:lvlText w:val=""/>
      <w:lvlJc w:val="left"/>
      <w:pPr>
        <w:tabs>
          <w:tab w:val="num" w:pos="1080"/>
        </w:tabs>
        <w:ind w:left="1080" w:hanging="360"/>
      </w:pPr>
      <w:rPr>
        <w:rFonts w:ascii="Symbol" w:hAnsi="Symbol" w:hint="default"/>
      </w:rPr>
    </w:lvl>
  </w:abstractNum>
  <w:abstractNum w:abstractNumId="7" w15:restartNumberingAfterBreak="0">
    <w:nsid w:val="FFFFFF83"/>
    <w:multiLevelType w:val="singleLevel"/>
    <w:tmpl w:val="462C76D6"/>
    <w:lvl w:ilvl="0">
      <w:start w:val="1"/>
      <w:numFmt w:val="bullet"/>
      <w:lvlText w:val=""/>
      <w:lvlJc w:val="left"/>
      <w:pPr>
        <w:tabs>
          <w:tab w:val="num" w:pos="720"/>
        </w:tabs>
        <w:ind w:left="720" w:hanging="360"/>
      </w:pPr>
      <w:rPr>
        <w:rFonts w:ascii="Symbol" w:hAnsi="Symbol" w:hint="default"/>
      </w:rPr>
    </w:lvl>
  </w:abstractNum>
  <w:abstractNum w:abstractNumId="8" w15:restartNumberingAfterBreak="0">
    <w:nsid w:val="FFFFFF88"/>
    <w:multiLevelType w:val="singleLevel"/>
    <w:tmpl w:val="F73451FA"/>
    <w:lvl w:ilvl="0">
      <w:start w:val="1"/>
      <w:numFmt w:val="decimal"/>
      <w:lvlText w:val="%1."/>
      <w:lvlJc w:val="left"/>
      <w:pPr>
        <w:tabs>
          <w:tab w:val="num" w:pos="360"/>
        </w:tabs>
        <w:ind w:left="360" w:hanging="360"/>
      </w:pPr>
    </w:lvl>
  </w:abstractNum>
  <w:abstractNum w:abstractNumId="9" w15:restartNumberingAfterBreak="0">
    <w:nsid w:val="FFFFFF89"/>
    <w:multiLevelType w:val="singleLevel"/>
    <w:tmpl w:val="D38A11C0"/>
    <w:lvl w:ilvl="0">
      <w:start w:val="1"/>
      <w:numFmt w:val="bullet"/>
      <w:lvlText w:val=""/>
      <w:lvlJc w:val="left"/>
      <w:pPr>
        <w:tabs>
          <w:tab w:val="num" w:pos="360"/>
        </w:tabs>
        <w:ind w:left="360" w:hanging="360"/>
      </w:pPr>
      <w:rPr>
        <w:rFonts w:ascii="Symbol" w:hAnsi="Symbol" w:hint="default"/>
      </w:rPr>
    </w:lvl>
  </w:abstractNum>
  <w:abstractNum w:abstractNumId="10" w15:restartNumberingAfterBreak="0">
    <w:nsid w:val="034C298F"/>
    <w:multiLevelType w:val="hybridMultilevel"/>
    <w:tmpl w:val="C28ACC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034C2C6C"/>
    <w:multiLevelType w:val="hybridMultilevel"/>
    <w:tmpl w:val="AE7C38C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95774F0"/>
    <w:multiLevelType w:val="hybridMultilevel"/>
    <w:tmpl w:val="E0C46DE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0B0612C9"/>
    <w:multiLevelType w:val="hybridMultilevel"/>
    <w:tmpl w:val="E00CE19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10C92D54"/>
    <w:multiLevelType w:val="hybridMultilevel"/>
    <w:tmpl w:val="EA22A65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111D2A2C"/>
    <w:multiLevelType w:val="hybridMultilevel"/>
    <w:tmpl w:val="2F5056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11A81EC1"/>
    <w:multiLevelType w:val="hybridMultilevel"/>
    <w:tmpl w:val="D0FE196A"/>
    <w:lvl w:ilvl="0" w:tplc="72D614C8">
      <w:start w:val="1"/>
      <w:numFmt w:val="bullet"/>
      <w:pStyle w:val="VLBody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12EB62FD"/>
    <w:multiLevelType w:val="hybridMultilevel"/>
    <w:tmpl w:val="8C4CDB7A"/>
    <w:lvl w:ilvl="0" w:tplc="04090001">
      <w:start w:val="1"/>
      <w:numFmt w:val="bullet"/>
      <w:lvlText w:val=""/>
      <w:lvlJc w:val="left"/>
      <w:pPr>
        <w:ind w:left="518" w:hanging="360"/>
      </w:pPr>
      <w:rPr>
        <w:rFonts w:ascii="Symbol" w:hAnsi="Symbol" w:hint="default"/>
      </w:rPr>
    </w:lvl>
    <w:lvl w:ilvl="1" w:tplc="04090003">
      <w:start w:val="1"/>
      <w:numFmt w:val="bullet"/>
      <w:lvlText w:val="o"/>
      <w:lvlJc w:val="left"/>
      <w:pPr>
        <w:ind w:left="1238" w:hanging="360"/>
      </w:pPr>
      <w:rPr>
        <w:rFonts w:ascii="Courier New" w:hAnsi="Courier New" w:cs="Courier New" w:hint="default"/>
      </w:rPr>
    </w:lvl>
    <w:lvl w:ilvl="2" w:tplc="04090005" w:tentative="1">
      <w:start w:val="1"/>
      <w:numFmt w:val="bullet"/>
      <w:lvlText w:val=""/>
      <w:lvlJc w:val="left"/>
      <w:pPr>
        <w:ind w:left="1958" w:hanging="360"/>
      </w:pPr>
      <w:rPr>
        <w:rFonts w:ascii="Wingdings" w:hAnsi="Wingdings" w:hint="default"/>
      </w:rPr>
    </w:lvl>
    <w:lvl w:ilvl="3" w:tplc="04090001" w:tentative="1">
      <w:start w:val="1"/>
      <w:numFmt w:val="bullet"/>
      <w:lvlText w:val=""/>
      <w:lvlJc w:val="left"/>
      <w:pPr>
        <w:ind w:left="2678" w:hanging="360"/>
      </w:pPr>
      <w:rPr>
        <w:rFonts w:ascii="Symbol" w:hAnsi="Symbol" w:hint="default"/>
      </w:rPr>
    </w:lvl>
    <w:lvl w:ilvl="4" w:tplc="04090003" w:tentative="1">
      <w:start w:val="1"/>
      <w:numFmt w:val="bullet"/>
      <w:lvlText w:val="o"/>
      <w:lvlJc w:val="left"/>
      <w:pPr>
        <w:ind w:left="3398" w:hanging="360"/>
      </w:pPr>
      <w:rPr>
        <w:rFonts w:ascii="Courier New" w:hAnsi="Courier New" w:cs="Courier New" w:hint="default"/>
      </w:rPr>
    </w:lvl>
    <w:lvl w:ilvl="5" w:tplc="04090005" w:tentative="1">
      <w:start w:val="1"/>
      <w:numFmt w:val="bullet"/>
      <w:lvlText w:val=""/>
      <w:lvlJc w:val="left"/>
      <w:pPr>
        <w:ind w:left="4118" w:hanging="360"/>
      </w:pPr>
      <w:rPr>
        <w:rFonts w:ascii="Wingdings" w:hAnsi="Wingdings" w:hint="default"/>
      </w:rPr>
    </w:lvl>
    <w:lvl w:ilvl="6" w:tplc="04090001" w:tentative="1">
      <w:start w:val="1"/>
      <w:numFmt w:val="bullet"/>
      <w:lvlText w:val=""/>
      <w:lvlJc w:val="left"/>
      <w:pPr>
        <w:ind w:left="4838" w:hanging="360"/>
      </w:pPr>
      <w:rPr>
        <w:rFonts w:ascii="Symbol" w:hAnsi="Symbol" w:hint="default"/>
      </w:rPr>
    </w:lvl>
    <w:lvl w:ilvl="7" w:tplc="04090003" w:tentative="1">
      <w:start w:val="1"/>
      <w:numFmt w:val="bullet"/>
      <w:lvlText w:val="o"/>
      <w:lvlJc w:val="left"/>
      <w:pPr>
        <w:ind w:left="5558" w:hanging="360"/>
      </w:pPr>
      <w:rPr>
        <w:rFonts w:ascii="Courier New" w:hAnsi="Courier New" w:cs="Courier New" w:hint="default"/>
      </w:rPr>
    </w:lvl>
    <w:lvl w:ilvl="8" w:tplc="04090005" w:tentative="1">
      <w:start w:val="1"/>
      <w:numFmt w:val="bullet"/>
      <w:lvlText w:val=""/>
      <w:lvlJc w:val="left"/>
      <w:pPr>
        <w:ind w:left="6278" w:hanging="360"/>
      </w:pPr>
      <w:rPr>
        <w:rFonts w:ascii="Wingdings" w:hAnsi="Wingdings" w:hint="default"/>
      </w:rPr>
    </w:lvl>
  </w:abstractNum>
  <w:abstractNum w:abstractNumId="18" w15:restartNumberingAfterBreak="0">
    <w:nsid w:val="14EB250F"/>
    <w:multiLevelType w:val="hybridMultilevel"/>
    <w:tmpl w:val="C594499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155179C3"/>
    <w:multiLevelType w:val="hybridMultilevel"/>
    <w:tmpl w:val="E85219DE"/>
    <w:lvl w:ilvl="0" w:tplc="C0BA11F0">
      <w:start w:val="1"/>
      <w:numFmt w:val="lowerLetter"/>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1EBF3958"/>
    <w:multiLevelType w:val="hybridMultilevel"/>
    <w:tmpl w:val="8D6AA23E"/>
    <w:lvl w:ilvl="0" w:tplc="C1CC2224">
      <w:start w:val="1"/>
      <w:numFmt w:val="bullet"/>
      <w:pStyle w:val="Bullet"/>
      <w:lvlText w:val=""/>
      <w:lvlJc w:val="left"/>
      <w:pPr>
        <w:ind w:left="360" w:hanging="360"/>
      </w:pPr>
      <w:rPr>
        <w:rFonts w:ascii="Wingdings 3" w:hAnsi="Wingdings 3" w:hint="default"/>
        <w:color w:val="68217A"/>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23717208"/>
    <w:multiLevelType w:val="hybridMultilevel"/>
    <w:tmpl w:val="4B404BF2"/>
    <w:lvl w:ilvl="0" w:tplc="DF22CD38">
      <w:start w:val="1"/>
      <w:numFmt w:val="bullet"/>
      <w:lvlText w:val=""/>
      <w:lvlJc w:val="left"/>
      <w:pPr>
        <w:ind w:left="360" w:hanging="360"/>
      </w:pPr>
      <w:rPr>
        <w:rFonts w:ascii="Wingdings 3" w:hAnsi="Wingdings 3" w:hint="default"/>
        <w:color w:val="68217A"/>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2C933CFE"/>
    <w:multiLevelType w:val="hybridMultilevel"/>
    <w:tmpl w:val="545A8304"/>
    <w:lvl w:ilvl="0" w:tplc="7CFEA470">
      <w:start w:val="1"/>
      <w:numFmt w:val="bullet"/>
      <w:lvlText w:val=""/>
      <w:lvlJc w:val="left"/>
      <w:pPr>
        <w:ind w:left="720" w:hanging="360"/>
      </w:pPr>
      <w:rPr>
        <w:rFonts w:ascii="Symbol" w:hAnsi="Symbol" w:hint="default"/>
        <w:sz w:val="16"/>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37AE5658"/>
    <w:multiLevelType w:val="hybridMultilevel"/>
    <w:tmpl w:val="5CB4D436"/>
    <w:lvl w:ilvl="0" w:tplc="8268A676">
      <w:start w:val="1"/>
      <w:numFmt w:val="bullet"/>
      <w:pStyle w:val="Bodycopybullets"/>
      <w:lvlText w:val="+"/>
      <w:lvlJc w:val="left"/>
      <w:pPr>
        <w:tabs>
          <w:tab w:val="num" w:pos="893"/>
        </w:tabs>
        <w:ind w:left="893" w:hanging="173"/>
      </w:pPr>
      <w:rPr>
        <w:rFonts w:ascii="Segoe Bold" w:hAnsi="Segoe Bold" w:hint="default"/>
        <w:b/>
        <w:i w:val="0"/>
        <w:color w:val="3577B0"/>
        <w:sz w:val="16"/>
      </w:rPr>
    </w:lvl>
    <w:lvl w:ilvl="1" w:tplc="00030409" w:tentative="1">
      <w:start w:val="1"/>
      <w:numFmt w:val="bullet"/>
      <w:lvlText w:val="o"/>
      <w:lvlJc w:val="left"/>
      <w:pPr>
        <w:tabs>
          <w:tab w:val="num" w:pos="1440"/>
        </w:tabs>
        <w:ind w:left="1440" w:hanging="360"/>
      </w:pPr>
      <w:rPr>
        <w:rFonts w:ascii="Courier New" w:hAnsi="Courier New" w:hint="default"/>
      </w:rPr>
    </w:lvl>
    <w:lvl w:ilvl="2" w:tplc="00050409" w:tentative="1">
      <w:start w:val="1"/>
      <w:numFmt w:val="bullet"/>
      <w:lvlText w:val=""/>
      <w:lvlJc w:val="left"/>
      <w:pPr>
        <w:tabs>
          <w:tab w:val="num" w:pos="2160"/>
        </w:tabs>
        <w:ind w:left="2160" w:hanging="360"/>
      </w:pPr>
      <w:rPr>
        <w:rFonts w:ascii="Wingdings" w:hAnsi="Wingdings" w:hint="default"/>
      </w:rPr>
    </w:lvl>
    <w:lvl w:ilvl="3" w:tplc="00010409" w:tentative="1">
      <w:start w:val="1"/>
      <w:numFmt w:val="bullet"/>
      <w:lvlText w:val=""/>
      <w:lvlJc w:val="left"/>
      <w:pPr>
        <w:tabs>
          <w:tab w:val="num" w:pos="2880"/>
        </w:tabs>
        <w:ind w:left="2880" w:hanging="360"/>
      </w:pPr>
      <w:rPr>
        <w:rFonts w:ascii="Symbol" w:hAnsi="Symbol" w:hint="default"/>
      </w:rPr>
    </w:lvl>
    <w:lvl w:ilvl="4" w:tplc="00030409" w:tentative="1">
      <w:start w:val="1"/>
      <w:numFmt w:val="bullet"/>
      <w:lvlText w:val="o"/>
      <w:lvlJc w:val="left"/>
      <w:pPr>
        <w:tabs>
          <w:tab w:val="num" w:pos="3600"/>
        </w:tabs>
        <w:ind w:left="3600" w:hanging="360"/>
      </w:pPr>
      <w:rPr>
        <w:rFonts w:ascii="Courier New" w:hAnsi="Courier New" w:hint="default"/>
      </w:rPr>
    </w:lvl>
    <w:lvl w:ilvl="5" w:tplc="00050409" w:tentative="1">
      <w:start w:val="1"/>
      <w:numFmt w:val="bullet"/>
      <w:lvlText w:val=""/>
      <w:lvlJc w:val="left"/>
      <w:pPr>
        <w:tabs>
          <w:tab w:val="num" w:pos="4320"/>
        </w:tabs>
        <w:ind w:left="4320" w:hanging="360"/>
      </w:pPr>
      <w:rPr>
        <w:rFonts w:ascii="Wingdings" w:hAnsi="Wingdings" w:hint="default"/>
      </w:rPr>
    </w:lvl>
    <w:lvl w:ilvl="6" w:tplc="00010409" w:tentative="1">
      <w:start w:val="1"/>
      <w:numFmt w:val="bullet"/>
      <w:lvlText w:val=""/>
      <w:lvlJc w:val="left"/>
      <w:pPr>
        <w:tabs>
          <w:tab w:val="num" w:pos="5040"/>
        </w:tabs>
        <w:ind w:left="5040" w:hanging="360"/>
      </w:pPr>
      <w:rPr>
        <w:rFonts w:ascii="Symbol" w:hAnsi="Symbol" w:hint="default"/>
      </w:rPr>
    </w:lvl>
    <w:lvl w:ilvl="7" w:tplc="00030409" w:tentative="1">
      <w:start w:val="1"/>
      <w:numFmt w:val="bullet"/>
      <w:lvlText w:val="o"/>
      <w:lvlJc w:val="left"/>
      <w:pPr>
        <w:tabs>
          <w:tab w:val="num" w:pos="5760"/>
        </w:tabs>
        <w:ind w:left="5760" w:hanging="360"/>
      </w:pPr>
      <w:rPr>
        <w:rFonts w:ascii="Courier New" w:hAnsi="Courier New" w:hint="default"/>
      </w:rPr>
    </w:lvl>
    <w:lvl w:ilvl="8" w:tplc="00050409" w:tentative="1">
      <w:start w:val="1"/>
      <w:numFmt w:val="bullet"/>
      <w:lvlText w:val=""/>
      <w:lvlJc w:val="left"/>
      <w:pPr>
        <w:tabs>
          <w:tab w:val="num" w:pos="6480"/>
        </w:tabs>
        <w:ind w:left="6480" w:hanging="360"/>
      </w:pPr>
      <w:rPr>
        <w:rFonts w:ascii="Wingdings" w:hAnsi="Wingdings" w:hint="default"/>
      </w:rPr>
    </w:lvl>
  </w:abstractNum>
  <w:abstractNum w:abstractNumId="24" w15:restartNumberingAfterBreak="0">
    <w:nsid w:val="38B2520E"/>
    <w:multiLevelType w:val="hybridMultilevel"/>
    <w:tmpl w:val="340289EA"/>
    <w:lvl w:ilvl="0" w:tplc="C0BA11F0">
      <w:start w:val="1"/>
      <w:numFmt w:val="lowerLetter"/>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15:restartNumberingAfterBreak="0">
    <w:nsid w:val="3A963ED2"/>
    <w:multiLevelType w:val="hybridMultilevel"/>
    <w:tmpl w:val="74EE2E3E"/>
    <w:lvl w:ilvl="0" w:tplc="5CC0B2E4">
      <w:start w:val="2"/>
      <w:numFmt w:val="bullet"/>
      <w:lvlText w:val="-"/>
      <w:lvlJc w:val="left"/>
      <w:pPr>
        <w:ind w:left="720" w:hanging="360"/>
      </w:pPr>
      <w:rPr>
        <w:rFonts w:ascii="Segoe UI" w:eastAsiaTheme="minorHAnsi" w:hAnsi="Segoe UI" w:cs="Segoe U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3F9336BF"/>
    <w:multiLevelType w:val="hybridMultilevel"/>
    <w:tmpl w:val="7598B5D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4116230B"/>
    <w:multiLevelType w:val="hybridMultilevel"/>
    <w:tmpl w:val="48CC4606"/>
    <w:lvl w:ilvl="0" w:tplc="C24C77A4">
      <w:start w:val="1"/>
      <w:numFmt w:val="lowerRoman"/>
      <w:lvlText w:val="(%1)"/>
      <w:lvlJc w:val="left"/>
      <w:pPr>
        <w:ind w:left="720" w:hanging="360"/>
      </w:pPr>
      <w:rPr>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15:restartNumberingAfterBreak="0">
    <w:nsid w:val="475018E6"/>
    <w:multiLevelType w:val="hybridMultilevel"/>
    <w:tmpl w:val="D78CC9D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 w15:restartNumberingAfterBreak="0">
    <w:nsid w:val="48813C4E"/>
    <w:multiLevelType w:val="hybridMultilevel"/>
    <w:tmpl w:val="E42640A2"/>
    <w:lvl w:ilvl="0" w:tplc="47620886">
      <w:start w:val="1"/>
      <w:numFmt w:val="bullet"/>
      <w:lvlText w:val=""/>
      <w:lvlJc w:val="left"/>
      <w:pPr>
        <w:ind w:left="720" w:hanging="360"/>
      </w:pPr>
      <w:rPr>
        <w:rFonts w:ascii="Webdings" w:hAnsi="Webdings" w:hint="default"/>
        <w:b w:val="0"/>
        <w:i w:val="0"/>
        <w:color w:val="7030A0"/>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4D063188"/>
    <w:multiLevelType w:val="hybridMultilevel"/>
    <w:tmpl w:val="B888DC9C"/>
    <w:lvl w:ilvl="0" w:tplc="8690A260">
      <w:start w:val="1"/>
      <w:numFmt w:val="lowerRoman"/>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1" w15:restartNumberingAfterBreak="0">
    <w:nsid w:val="4D591687"/>
    <w:multiLevelType w:val="hybridMultilevel"/>
    <w:tmpl w:val="06EA814C"/>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2" w15:restartNumberingAfterBreak="0">
    <w:nsid w:val="549C2A00"/>
    <w:multiLevelType w:val="hybridMultilevel"/>
    <w:tmpl w:val="0A9C53F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64270574"/>
    <w:multiLevelType w:val="hybridMultilevel"/>
    <w:tmpl w:val="B888DC9C"/>
    <w:lvl w:ilvl="0" w:tplc="8690A260">
      <w:start w:val="1"/>
      <w:numFmt w:val="lowerRoman"/>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4" w15:restartNumberingAfterBreak="0">
    <w:nsid w:val="65971353"/>
    <w:multiLevelType w:val="hybridMultilevel"/>
    <w:tmpl w:val="FFDA153C"/>
    <w:lvl w:ilvl="0" w:tplc="C24C77A4">
      <w:start w:val="1"/>
      <w:numFmt w:val="lowerRoman"/>
      <w:lvlText w:val="(%1)"/>
      <w:lvlJc w:val="left"/>
      <w:pPr>
        <w:ind w:left="720" w:hanging="360"/>
      </w:pPr>
      <w:rPr>
        <w:b/>
      </w:rPr>
    </w:lvl>
    <w:lvl w:ilvl="1" w:tplc="FCF29998">
      <w:start w:val="2"/>
      <w:numFmt w:val="bullet"/>
      <w:lvlText w:val="•"/>
      <w:lvlJc w:val="left"/>
      <w:pPr>
        <w:ind w:left="1800" w:hanging="720"/>
      </w:pPr>
      <w:rPr>
        <w:rFonts w:ascii="Arial" w:eastAsia="Calibri" w:hAnsi="Arial" w:cs="Arial"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5" w15:restartNumberingAfterBreak="0">
    <w:nsid w:val="66150D11"/>
    <w:multiLevelType w:val="hybridMultilevel"/>
    <w:tmpl w:val="EBAE39A0"/>
    <w:lvl w:ilvl="0" w:tplc="C0BA11F0">
      <w:start w:val="1"/>
      <w:numFmt w:val="lowerLetter"/>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6" w15:restartNumberingAfterBreak="0">
    <w:nsid w:val="6BB72081"/>
    <w:multiLevelType w:val="hybridMultilevel"/>
    <w:tmpl w:val="75A00C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6CDA38C6"/>
    <w:multiLevelType w:val="hybridMultilevel"/>
    <w:tmpl w:val="6EDA21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6F782173"/>
    <w:multiLevelType w:val="hybridMultilevel"/>
    <w:tmpl w:val="E2BCCFF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15:restartNumberingAfterBreak="0">
    <w:nsid w:val="72F16620"/>
    <w:multiLevelType w:val="hybridMultilevel"/>
    <w:tmpl w:val="A30EB7B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759C31FE"/>
    <w:multiLevelType w:val="hybridMultilevel"/>
    <w:tmpl w:val="111CCDA2"/>
    <w:lvl w:ilvl="0" w:tplc="C24C77A4">
      <w:start w:val="1"/>
      <w:numFmt w:val="lowerRoman"/>
      <w:lvlText w:val="(%1)"/>
      <w:lvlJc w:val="left"/>
      <w:pPr>
        <w:ind w:left="720" w:hanging="360"/>
      </w:pPr>
      <w:rPr>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1" w15:restartNumberingAfterBreak="0">
    <w:nsid w:val="76532CB8"/>
    <w:multiLevelType w:val="hybridMultilevel"/>
    <w:tmpl w:val="1FB02AA8"/>
    <w:lvl w:ilvl="0" w:tplc="6262BD2E">
      <w:numFmt w:val="bullet"/>
      <w:lvlText w:val=""/>
      <w:lvlJc w:val="left"/>
      <w:pPr>
        <w:ind w:left="720" w:hanging="360"/>
      </w:pPr>
      <w:rPr>
        <w:rFonts w:ascii="Symbol" w:eastAsiaTheme="minorHAnsi" w:hAnsi="Symbol"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76AE52E6"/>
    <w:multiLevelType w:val="hybridMultilevel"/>
    <w:tmpl w:val="28E0837A"/>
    <w:lvl w:ilvl="0" w:tplc="47620886">
      <w:start w:val="1"/>
      <w:numFmt w:val="bullet"/>
      <w:lvlText w:val=""/>
      <w:lvlJc w:val="left"/>
      <w:pPr>
        <w:ind w:left="360" w:hanging="360"/>
      </w:pPr>
      <w:rPr>
        <w:rFonts w:ascii="Webdings" w:hAnsi="Webdings" w:hint="default"/>
        <w:b w:val="0"/>
        <w:i w:val="0"/>
        <w:color w:val="7030A0"/>
        <w:sz w:val="24"/>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3" w15:restartNumberingAfterBreak="0">
    <w:nsid w:val="7AC0583C"/>
    <w:multiLevelType w:val="hybridMultilevel"/>
    <w:tmpl w:val="635890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7ACD6B14"/>
    <w:multiLevelType w:val="hybridMultilevel"/>
    <w:tmpl w:val="3C666864"/>
    <w:lvl w:ilvl="0" w:tplc="A582E3CC">
      <w:start w:val="1"/>
      <w:numFmt w:val="lowerLetter"/>
      <w:lvlText w:val="%1."/>
      <w:lvlJc w:val="left"/>
      <w:pPr>
        <w:ind w:left="1170" w:hanging="360"/>
      </w:pPr>
      <w:rPr>
        <w:rFonts w:ascii="Arial" w:hAnsi="Arial" w:cs="Arial" w:hint="default"/>
        <w:b/>
        <w:sz w:val="20"/>
        <w:szCs w:val="20"/>
      </w:rPr>
    </w:lvl>
    <w:lvl w:ilvl="1" w:tplc="04090019" w:tentative="1">
      <w:start w:val="1"/>
      <w:numFmt w:val="lowerLetter"/>
      <w:lvlText w:val="%2."/>
      <w:lvlJc w:val="left"/>
      <w:pPr>
        <w:ind w:left="1890" w:hanging="360"/>
      </w:pPr>
    </w:lvl>
    <w:lvl w:ilvl="2" w:tplc="0409001B" w:tentative="1">
      <w:start w:val="1"/>
      <w:numFmt w:val="lowerRoman"/>
      <w:lvlText w:val="%3."/>
      <w:lvlJc w:val="right"/>
      <w:pPr>
        <w:ind w:left="2610" w:hanging="180"/>
      </w:pPr>
    </w:lvl>
    <w:lvl w:ilvl="3" w:tplc="0409000F" w:tentative="1">
      <w:start w:val="1"/>
      <w:numFmt w:val="decimal"/>
      <w:lvlText w:val="%4."/>
      <w:lvlJc w:val="left"/>
      <w:pPr>
        <w:ind w:left="3330" w:hanging="360"/>
      </w:pPr>
    </w:lvl>
    <w:lvl w:ilvl="4" w:tplc="04090019" w:tentative="1">
      <w:start w:val="1"/>
      <w:numFmt w:val="lowerLetter"/>
      <w:lvlText w:val="%5."/>
      <w:lvlJc w:val="left"/>
      <w:pPr>
        <w:ind w:left="4050" w:hanging="360"/>
      </w:pPr>
    </w:lvl>
    <w:lvl w:ilvl="5" w:tplc="0409001B" w:tentative="1">
      <w:start w:val="1"/>
      <w:numFmt w:val="lowerRoman"/>
      <w:lvlText w:val="%6."/>
      <w:lvlJc w:val="right"/>
      <w:pPr>
        <w:ind w:left="4770" w:hanging="180"/>
      </w:pPr>
    </w:lvl>
    <w:lvl w:ilvl="6" w:tplc="0409000F" w:tentative="1">
      <w:start w:val="1"/>
      <w:numFmt w:val="decimal"/>
      <w:lvlText w:val="%7."/>
      <w:lvlJc w:val="left"/>
      <w:pPr>
        <w:ind w:left="5490" w:hanging="360"/>
      </w:pPr>
    </w:lvl>
    <w:lvl w:ilvl="7" w:tplc="04090019" w:tentative="1">
      <w:start w:val="1"/>
      <w:numFmt w:val="lowerLetter"/>
      <w:lvlText w:val="%8."/>
      <w:lvlJc w:val="left"/>
      <w:pPr>
        <w:ind w:left="6210" w:hanging="360"/>
      </w:pPr>
    </w:lvl>
    <w:lvl w:ilvl="8" w:tplc="0409001B" w:tentative="1">
      <w:start w:val="1"/>
      <w:numFmt w:val="lowerRoman"/>
      <w:lvlText w:val="%9."/>
      <w:lvlJc w:val="right"/>
      <w:pPr>
        <w:ind w:left="6930" w:hanging="180"/>
      </w:pPr>
    </w:lvl>
  </w:abstractNum>
  <w:num w:numId="1">
    <w:abstractNumId w:val="9"/>
  </w:num>
  <w:num w:numId="2">
    <w:abstractNumId w:val="8"/>
  </w:num>
  <w:num w:numId="3">
    <w:abstractNumId w:val="7"/>
  </w:num>
  <w:num w:numId="4">
    <w:abstractNumId w:val="6"/>
  </w:num>
  <w:num w:numId="5">
    <w:abstractNumId w:val="5"/>
  </w:num>
  <w:num w:numId="6">
    <w:abstractNumId w:val="4"/>
  </w:num>
  <w:num w:numId="7">
    <w:abstractNumId w:val="3"/>
  </w:num>
  <w:num w:numId="8">
    <w:abstractNumId w:val="2"/>
  </w:num>
  <w:num w:numId="9">
    <w:abstractNumId w:val="1"/>
  </w:num>
  <w:num w:numId="10">
    <w:abstractNumId w:val="0"/>
  </w:num>
  <w:num w:numId="11">
    <w:abstractNumId w:val="21"/>
  </w:num>
  <w:num w:numId="12">
    <w:abstractNumId w:val="20"/>
  </w:num>
  <w:num w:numId="13">
    <w:abstractNumId w:val="16"/>
  </w:num>
  <w:num w:numId="14">
    <w:abstractNumId w:val="23"/>
  </w:num>
  <w:num w:numId="15">
    <w:abstractNumId w:val="22"/>
  </w:num>
  <w:num w:numId="16">
    <w:abstractNumId w:val="42"/>
  </w:num>
  <w:num w:numId="17">
    <w:abstractNumId w:val="44"/>
  </w:num>
  <w:num w:numId="18">
    <w:abstractNumId w:val="40"/>
  </w:num>
  <w:num w:numId="19">
    <w:abstractNumId w:val="24"/>
  </w:num>
  <w:num w:numId="20">
    <w:abstractNumId w:val="27"/>
  </w:num>
  <w:num w:numId="21">
    <w:abstractNumId w:val="35"/>
  </w:num>
  <w:num w:numId="22">
    <w:abstractNumId w:val="36"/>
  </w:num>
  <w:num w:numId="23">
    <w:abstractNumId w:val="19"/>
  </w:num>
  <w:num w:numId="24">
    <w:abstractNumId w:val="34"/>
  </w:num>
  <w:num w:numId="25">
    <w:abstractNumId w:val="33"/>
  </w:num>
  <w:num w:numId="26">
    <w:abstractNumId w:val="28"/>
  </w:num>
  <w:num w:numId="27">
    <w:abstractNumId w:val="30"/>
  </w:num>
  <w:num w:numId="28">
    <w:abstractNumId w:val="10"/>
  </w:num>
  <w:num w:numId="29">
    <w:abstractNumId w:val="17"/>
  </w:num>
  <w:num w:numId="30">
    <w:abstractNumId w:val="38"/>
  </w:num>
  <w:num w:numId="31">
    <w:abstractNumId w:val="43"/>
  </w:num>
  <w:num w:numId="32">
    <w:abstractNumId w:val="15"/>
  </w:num>
  <w:num w:numId="33">
    <w:abstractNumId w:val="12"/>
  </w:num>
  <w:num w:numId="34">
    <w:abstractNumId w:val="32"/>
  </w:num>
  <w:num w:numId="35">
    <w:abstractNumId w:val="37"/>
  </w:num>
  <w:num w:numId="36">
    <w:abstractNumId w:val="13"/>
  </w:num>
  <w:num w:numId="37">
    <w:abstractNumId w:val="25"/>
  </w:num>
  <w:num w:numId="38">
    <w:abstractNumId w:val="26"/>
  </w:num>
  <w:num w:numId="39">
    <w:abstractNumId w:val="11"/>
  </w:num>
  <w:num w:numId="40">
    <w:abstractNumId w:val="39"/>
  </w:num>
  <w:num w:numId="41">
    <w:abstractNumId w:val="18"/>
  </w:num>
  <w:num w:numId="42">
    <w:abstractNumId w:val="31"/>
  </w:num>
  <w:num w:numId="43">
    <w:abstractNumId w:val="41"/>
  </w:num>
  <w:num w:numId="44">
    <w:abstractNumId w:val="14"/>
  </w:num>
  <w:num w:numId="45">
    <w:abstractNumId w:val="2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ocumentProtection w:edit="forms" w:enforcement="1" w:cryptProviderType="rsaAES" w:cryptAlgorithmClass="hash" w:cryptAlgorithmType="typeAny" w:cryptAlgorithmSid="14" w:cryptSpinCount="100000" w:hash="uJL5LigyHwuxO1SnkFYO4n0oontSzBg9oF3RnCwIUw2bASbx/X3NepG3+BUrDf+9PXc2JfzsWbZwIOyzPrwtCg==" w:salt="QTzWNAKqhBD8Lfg9IDU2bQ=="/>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F2E7F"/>
    <w:rsid w:val="00AB7219"/>
    <w:rsid w:val="00DF2E7F"/>
    <w:rsid w:val="00EE174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D2DD4849-DEE5-42CC-A28F-D97504155CE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11" w:qFormat="1"/>
    <w:lsdException w:name="heading 1" w:uiPriority="2" w:qFormat="1"/>
    <w:lsdException w:name="heading 2" w:semiHidden="1" w:uiPriority="2"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9"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iPriority="3"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98"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uiPriority w:val="11"/>
    <w:qFormat/>
    <w:rsid w:val="00DF2E7F"/>
    <w:pPr>
      <w:spacing w:after="0" w:line="240" w:lineRule="atLeast"/>
    </w:pPr>
    <w:rPr>
      <w:rFonts w:ascii="Segoe UI" w:hAnsi="Segoe UI"/>
      <w:sz w:val="18"/>
      <w:lang w:val="cs-CZ" w:eastAsia="cs-CZ" w:bidi="cs-CZ"/>
    </w:rPr>
  </w:style>
  <w:style w:type="paragraph" w:styleId="Heading1">
    <w:name w:val="heading 1"/>
    <w:aliases w:val="Hdg 1 w/ border"/>
    <w:next w:val="Normal"/>
    <w:link w:val="Heading1Char"/>
    <w:uiPriority w:val="2"/>
    <w:qFormat/>
    <w:rsid w:val="00DF2E7F"/>
    <w:pPr>
      <w:keepNext/>
      <w:pBdr>
        <w:top w:val="single" w:sz="4" w:space="6" w:color="68217A"/>
      </w:pBdr>
      <w:spacing w:before="480" w:line="420" w:lineRule="exact"/>
      <w:outlineLvl w:val="0"/>
    </w:pPr>
    <w:rPr>
      <w:rFonts w:ascii="Segoe UI Light" w:eastAsia="Times New Roman" w:hAnsi="Segoe UI Light" w:cs="Times New Roman"/>
      <w:color w:val="68217A"/>
      <w:kern w:val="36"/>
      <w:sz w:val="36"/>
      <w:szCs w:val="39"/>
      <w:lang w:val="cs-CZ" w:eastAsia="cs-CZ" w:bidi="cs-CZ"/>
    </w:rPr>
  </w:style>
  <w:style w:type="paragraph" w:styleId="Heading2">
    <w:name w:val="heading 2"/>
    <w:next w:val="Normal"/>
    <w:link w:val="Heading2Char"/>
    <w:uiPriority w:val="2"/>
    <w:qFormat/>
    <w:rsid w:val="00DF2E7F"/>
    <w:pPr>
      <w:keepNext/>
      <w:keepLines/>
      <w:spacing w:before="120" w:after="120" w:line="240" w:lineRule="auto"/>
      <w:outlineLvl w:val="1"/>
    </w:pPr>
    <w:rPr>
      <w:rFonts w:asciiTheme="majorHAnsi" w:eastAsiaTheme="majorEastAsia" w:hAnsiTheme="majorHAnsi" w:cstheme="majorBidi"/>
      <w:b/>
      <w:bCs/>
      <w:color w:val="FFC000" w:themeColor="accent4"/>
      <w:szCs w:val="18"/>
      <w:lang w:val="cs-CZ" w:eastAsia="cs-CZ" w:bidi="cs-CZ"/>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aliases w:val="Hdg 1 w/ border Char"/>
    <w:basedOn w:val="DefaultParagraphFont"/>
    <w:link w:val="Heading1"/>
    <w:uiPriority w:val="2"/>
    <w:rsid w:val="00DF2E7F"/>
    <w:rPr>
      <w:rFonts w:ascii="Segoe UI Light" w:eastAsia="Times New Roman" w:hAnsi="Segoe UI Light" w:cs="Times New Roman"/>
      <w:color w:val="68217A"/>
      <w:kern w:val="36"/>
      <w:sz w:val="36"/>
      <w:szCs w:val="39"/>
      <w:lang w:val="cs-CZ" w:eastAsia="cs-CZ" w:bidi="cs-CZ"/>
    </w:rPr>
  </w:style>
  <w:style w:type="character" w:customStyle="1" w:styleId="Heading2Char">
    <w:name w:val="Heading 2 Char"/>
    <w:basedOn w:val="DefaultParagraphFont"/>
    <w:link w:val="Heading2"/>
    <w:uiPriority w:val="2"/>
    <w:rsid w:val="00DF2E7F"/>
    <w:rPr>
      <w:rFonts w:asciiTheme="majorHAnsi" w:eastAsiaTheme="majorEastAsia" w:hAnsiTheme="majorHAnsi" w:cstheme="majorBidi"/>
      <w:b/>
      <w:bCs/>
      <w:color w:val="FFC000" w:themeColor="accent4"/>
      <w:szCs w:val="18"/>
      <w:lang w:val="cs-CZ" w:eastAsia="cs-CZ" w:bidi="cs-CZ"/>
    </w:rPr>
  </w:style>
  <w:style w:type="paragraph" w:styleId="BalloonText">
    <w:name w:val="Balloon Text"/>
    <w:basedOn w:val="Normal"/>
    <w:link w:val="BalloonTextChar"/>
    <w:uiPriority w:val="99"/>
    <w:semiHidden/>
    <w:unhideWhenUsed/>
    <w:rsid w:val="00DF2E7F"/>
    <w:rPr>
      <w:rFonts w:ascii="Tahoma" w:hAnsi="Tahoma" w:cs="Tahoma"/>
      <w:sz w:val="16"/>
      <w:szCs w:val="16"/>
    </w:rPr>
  </w:style>
  <w:style w:type="character" w:customStyle="1" w:styleId="BalloonTextChar">
    <w:name w:val="Balloon Text Char"/>
    <w:basedOn w:val="DefaultParagraphFont"/>
    <w:link w:val="BalloonText"/>
    <w:uiPriority w:val="99"/>
    <w:semiHidden/>
    <w:rsid w:val="00DF2E7F"/>
    <w:rPr>
      <w:rFonts w:ascii="Tahoma" w:hAnsi="Tahoma" w:cs="Tahoma"/>
      <w:sz w:val="16"/>
      <w:szCs w:val="16"/>
      <w:lang w:val="cs-CZ" w:eastAsia="cs-CZ" w:bidi="cs-CZ"/>
    </w:rPr>
  </w:style>
  <w:style w:type="paragraph" w:customStyle="1" w:styleId="ecxmsonormal">
    <w:name w:val="ecxmsonormal"/>
    <w:basedOn w:val="Normal"/>
    <w:uiPriority w:val="98"/>
    <w:semiHidden/>
    <w:rsid w:val="00DF2E7F"/>
    <w:pPr>
      <w:spacing w:after="324"/>
    </w:pPr>
    <w:rPr>
      <w:rFonts w:ascii="Times New Roman" w:eastAsia="Times New Roman" w:hAnsi="Times New Roman" w:cs="Times New Roman"/>
      <w:sz w:val="24"/>
      <w:szCs w:val="24"/>
    </w:rPr>
  </w:style>
  <w:style w:type="character" w:styleId="Hyperlink">
    <w:name w:val="Hyperlink"/>
    <w:basedOn w:val="DefaultParagraphFont"/>
    <w:uiPriority w:val="99"/>
    <w:rsid w:val="00DF2E7F"/>
    <w:rPr>
      <w:color w:val="0563C1" w:themeColor="hyperlink"/>
      <w:u w:val="single"/>
    </w:rPr>
  </w:style>
  <w:style w:type="paragraph" w:styleId="Title">
    <w:name w:val="Title"/>
    <w:basedOn w:val="Normal"/>
    <w:next w:val="Normal"/>
    <w:link w:val="TitleChar"/>
    <w:uiPriority w:val="99"/>
    <w:unhideWhenUsed/>
    <w:rsid w:val="00DF2E7F"/>
    <w:pPr>
      <w:pBdr>
        <w:bottom w:val="single" w:sz="8" w:space="4" w:color="5B9BD5" w:themeColor="accent1"/>
      </w:pBdr>
      <w:spacing w:after="300"/>
      <w:contextualSpacing/>
    </w:pPr>
    <w:rPr>
      <w:rFonts w:asciiTheme="majorHAnsi" w:eastAsiaTheme="majorEastAsia" w:hAnsiTheme="majorHAnsi" w:cstheme="majorBidi"/>
      <w:color w:val="323E4F" w:themeColor="text2" w:themeShade="BF"/>
      <w:spacing w:val="5"/>
      <w:kern w:val="28"/>
      <w:sz w:val="52"/>
      <w:szCs w:val="52"/>
    </w:rPr>
  </w:style>
  <w:style w:type="character" w:customStyle="1" w:styleId="TitleChar">
    <w:name w:val="Title Char"/>
    <w:basedOn w:val="DefaultParagraphFont"/>
    <w:link w:val="Title"/>
    <w:uiPriority w:val="99"/>
    <w:rsid w:val="00DF2E7F"/>
    <w:rPr>
      <w:rFonts w:asciiTheme="majorHAnsi" w:eastAsiaTheme="majorEastAsia" w:hAnsiTheme="majorHAnsi" w:cstheme="majorBidi"/>
      <w:color w:val="323E4F" w:themeColor="text2" w:themeShade="BF"/>
      <w:spacing w:val="5"/>
      <w:kern w:val="28"/>
      <w:sz w:val="52"/>
      <w:szCs w:val="52"/>
      <w:lang w:val="cs-CZ" w:eastAsia="cs-CZ" w:bidi="cs-CZ"/>
    </w:rPr>
  </w:style>
  <w:style w:type="paragraph" w:styleId="Subtitle">
    <w:name w:val="Subtitle"/>
    <w:basedOn w:val="Normal"/>
    <w:next w:val="Normal"/>
    <w:link w:val="SubtitleChar"/>
    <w:uiPriority w:val="99"/>
    <w:unhideWhenUsed/>
    <w:rsid w:val="00DF2E7F"/>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99"/>
    <w:rsid w:val="00DF2E7F"/>
    <w:rPr>
      <w:rFonts w:asciiTheme="majorHAnsi" w:eastAsiaTheme="majorEastAsia" w:hAnsiTheme="majorHAnsi" w:cstheme="majorBidi"/>
      <w:i/>
      <w:iCs/>
      <w:color w:val="5B9BD5" w:themeColor="accent1"/>
      <w:spacing w:val="15"/>
      <w:sz w:val="24"/>
      <w:szCs w:val="24"/>
      <w:lang w:val="cs-CZ" w:eastAsia="cs-CZ" w:bidi="cs-CZ"/>
    </w:rPr>
  </w:style>
  <w:style w:type="character" w:styleId="SubtleEmphasis">
    <w:name w:val="Subtle Emphasis"/>
    <w:basedOn w:val="DefaultParagraphFont"/>
    <w:uiPriority w:val="99"/>
    <w:rsid w:val="00DF2E7F"/>
    <w:rPr>
      <w:i/>
      <w:iCs/>
      <w:color w:val="808080" w:themeColor="text1" w:themeTint="7F"/>
    </w:rPr>
  </w:style>
  <w:style w:type="character" w:styleId="Emphasis">
    <w:name w:val="Emphasis"/>
    <w:basedOn w:val="DefaultParagraphFont"/>
    <w:uiPriority w:val="99"/>
    <w:rsid w:val="00DF2E7F"/>
    <w:rPr>
      <w:i/>
      <w:iCs/>
    </w:rPr>
  </w:style>
  <w:style w:type="character" w:styleId="IntenseEmphasis">
    <w:name w:val="Intense Emphasis"/>
    <w:basedOn w:val="DefaultParagraphFont"/>
    <w:uiPriority w:val="21"/>
    <w:unhideWhenUsed/>
    <w:rsid w:val="00DF2E7F"/>
    <w:rPr>
      <w:b/>
      <w:bCs/>
      <w:i/>
      <w:iCs/>
      <w:color w:val="5B9BD5" w:themeColor="accent1"/>
    </w:rPr>
  </w:style>
  <w:style w:type="character" w:styleId="Strong">
    <w:name w:val="Strong"/>
    <w:basedOn w:val="DefaultParagraphFont"/>
    <w:uiPriority w:val="22"/>
    <w:unhideWhenUsed/>
    <w:rsid w:val="00DF2E7F"/>
    <w:rPr>
      <w:b/>
      <w:bCs/>
    </w:rPr>
  </w:style>
  <w:style w:type="paragraph" w:styleId="Quote">
    <w:name w:val="Quote"/>
    <w:basedOn w:val="Normal"/>
    <w:next w:val="Normal"/>
    <w:link w:val="QuoteChar"/>
    <w:uiPriority w:val="29"/>
    <w:unhideWhenUsed/>
    <w:rsid w:val="00DF2E7F"/>
    <w:rPr>
      <w:i/>
      <w:iCs/>
      <w:color w:val="000000" w:themeColor="text1"/>
    </w:rPr>
  </w:style>
  <w:style w:type="character" w:customStyle="1" w:styleId="QuoteChar">
    <w:name w:val="Quote Char"/>
    <w:basedOn w:val="DefaultParagraphFont"/>
    <w:link w:val="Quote"/>
    <w:uiPriority w:val="29"/>
    <w:rsid w:val="00DF2E7F"/>
    <w:rPr>
      <w:rFonts w:ascii="Segoe UI" w:hAnsi="Segoe UI"/>
      <w:i/>
      <w:iCs/>
      <w:color w:val="000000" w:themeColor="text1"/>
      <w:sz w:val="18"/>
      <w:lang w:val="cs-CZ" w:eastAsia="cs-CZ" w:bidi="cs-CZ"/>
    </w:rPr>
  </w:style>
  <w:style w:type="paragraph" w:styleId="IntenseQuote">
    <w:name w:val="Intense Quote"/>
    <w:basedOn w:val="Normal"/>
    <w:next w:val="Normal"/>
    <w:link w:val="IntenseQuoteChar"/>
    <w:uiPriority w:val="30"/>
    <w:unhideWhenUsed/>
    <w:rsid w:val="00DF2E7F"/>
    <w:pPr>
      <w:pBdr>
        <w:bottom w:val="single" w:sz="4" w:space="4" w:color="5B9BD5" w:themeColor="accent1"/>
      </w:pBdr>
      <w:spacing w:before="200" w:after="280"/>
      <w:ind w:left="936" w:right="936"/>
    </w:pPr>
    <w:rPr>
      <w:b/>
      <w:bCs/>
      <w:i/>
      <w:iCs/>
      <w:color w:val="5B9BD5" w:themeColor="accent1"/>
    </w:rPr>
  </w:style>
  <w:style w:type="character" w:customStyle="1" w:styleId="IntenseQuoteChar">
    <w:name w:val="Intense Quote Char"/>
    <w:basedOn w:val="DefaultParagraphFont"/>
    <w:link w:val="IntenseQuote"/>
    <w:uiPriority w:val="30"/>
    <w:rsid w:val="00DF2E7F"/>
    <w:rPr>
      <w:rFonts w:ascii="Segoe UI" w:hAnsi="Segoe UI"/>
      <w:b/>
      <w:bCs/>
      <w:i/>
      <w:iCs/>
      <w:color w:val="5B9BD5" w:themeColor="accent1"/>
      <w:sz w:val="18"/>
      <w:lang w:val="cs-CZ" w:eastAsia="cs-CZ" w:bidi="cs-CZ"/>
    </w:rPr>
  </w:style>
  <w:style w:type="character" w:styleId="SubtleReference">
    <w:name w:val="Subtle Reference"/>
    <w:basedOn w:val="DefaultParagraphFont"/>
    <w:uiPriority w:val="31"/>
    <w:unhideWhenUsed/>
    <w:rsid w:val="00DF2E7F"/>
    <w:rPr>
      <w:smallCaps/>
      <w:color w:val="ED7D31" w:themeColor="accent2"/>
      <w:u w:val="single"/>
    </w:rPr>
  </w:style>
  <w:style w:type="character" w:styleId="IntenseReference">
    <w:name w:val="Intense Reference"/>
    <w:basedOn w:val="DefaultParagraphFont"/>
    <w:uiPriority w:val="32"/>
    <w:unhideWhenUsed/>
    <w:rsid w:val="00DF2E7F"/>
    <w:rPr>
      <w:b/>
      <w:bCs/>
      <w:smallCaps/>
      <w:color w:val="ED7D31" w:themeColor="accent2"/>
      <w:spacing w:val="5"/>
      <w:u w:val="single"/>
    </w:rPr>
  </w:style>
  <w:style w:type="character" w:styleId="BookTitle">
    <w:name w:val="Book Title"/>
    <w:basedOn w:val="DefaultParagraphFont"/>
    <w:uiPriority w:val="33"/>
    <w:unhideWhenUsed/>
    <w:rsid w:val="00DF2E7F"/>
    <w:rPr>
      <w:b/>
      <w:bCs/>
      <w:smallCaps/>
      <w:spacing w:val="5"/>
    </w:rPr>
  </w:style>
  <w:style w:type="paragraph" w:styleId="ListParagraph">
    <w:name w:val="List Paragraph"/>
    <w:basedOn w:val="Normal"/>
    <w:uiPriority w:val="34"/>
    <w:unhideWhenUsed/>
    <w:qFormat/>
    <w:rsid w:val="00DF2E7F"/>
  </w:style>
  <w:style w:type="paragraph" w:styleId="NoSpacing">
    <w:name w:val="No Spacing"/>
    <w:uiPriority w:val="98"/>
    <w:rsid w:val="00DF2E7F"/>
    <w:pPr>
      <w:spacing w:after="0" w:line="240" w:lineRule="auto"/>
    </w:pPr>
    <w:rPr>
      <w:rFonts w:ascii="Arial" w:hAnsi="Arial"/>
      <w:lang w:val="cs-CZ" w:eastAsia="cs-CZ" w:bidi="cs-CZ"/>
    </w:rPr>
  </w:style>
  <w:style w:type="table" w:styleId="TableGrid">
    <w:name w:val="Table Grid"/>
    <w:basedOn w:val="TableNormal"/>
    <w:uiPriority w:val="39"/>
    <w:rsid w:val="00DF2E7F"/>
    <w:pPr>
      <w:spacing w:after="0" w:line="240" w:lineRule="auto"/>
    </w:pPr>
    <w:rPr>
      <w:rFonts w:ascii="Arial" w:hAnsi="Arial"/>
      <w:sz w:val="20"/>
      <w:lang w:val="cs-CZ" w:eastAsia="cs-CZ" w:bidi="cs-CZ"/>
    </w:rPr>
    <w:tblPr>
      <w:tblCellMar>
        <w:left w:w="0" w:type="dxa"/>
        <w:right w:w="0" w:type="dxa"/>
      </w:tblCellMar>
    </w:tblPr>
    <w:trPr>
      <w:cantSplit/>
    </w:trPr>
  </w:style>
  <w:style w:type="paragraph" w:customStyle="1" w:styleId="BodyTextIndented">
    <w:name w:val="Body Text Indented"/>
    <w:basedOn w:val="BodyText"/>
    <w:uiPriority w:val="6"/>
    <w:qFormat/>
    <w:rsid w:val="00DF2E7F"/>
    <w:pPr>
      <w:ind w:left="3168"/>
    </w:pPr>
  </w:style>
  <w:style w:type="paragraph" w:styleId="Header">
    <w:name w:val="header"/>
    <w:basedOn w:val="Normal"/>
    <w:link w:val="HeaderChar"/>
    <w:uiPriority w:val="99"/>
    <w:unhideWhenUsed/>
    <w:rsid w:val="00DF2E7F"/>
    <w:pPr>
      <w:pBdr>
        <w:top w:val="single" w:sz="4" w:space="5" w:color="68217A"/>
      </w:pBdr>
      <w:tabs>
        <w:tab w:val="center" w:pos="4680"/>
        <w:tab w:val="right" w:pos="9360"/>
      </w:tabs>
      <w:spacing w:line="240" w:lineRule="auto"/>
    </w:pPr>
    <w:rPr>
      <w:rFonts w:asciiTheme="majorHAnsi" w:hAnsiTheme="majorHAnsi"/>
      <w:color w:val="68217A"/>
      <w:sz w:val="40"/>
    </w:rPr>
  </w:style>
  <w:style w:type="character" w:customStyle="1" w:styleId="HeaderChar">
    <w:name w:val="Header Char"/>
    <w:basedOn w:val="DefaultParagraphFont"/>
    <w:link w:val="Header"/>
    <w:uiPriority w:val="99"/>
    <w:rsid w:val="00DF2E7F"/>
    <w:rPr>
      <w:rFonts w:asciiTheme="majorHAnsi" w:hAnsiTheme="majorHAnsi"/>
      <w:color w:val="68217A"/>
      <w:sz w:val="40"/>
      <w:lang w:val="cs-CZ" w:eastAsia="cs-CZ" w:bidi="cs-CZ"/>
    </w:rPr>
  </w:style>
  <w:style w:type="paragraph" w:styleId="Footer">
    <w:name w:val="footer"/>
    <w:link w:val="FooterChar"/>
    <w:uiPriority w:val="99"/>
    <w:unhideWhenUsed/>
    <w:rsid w:val="00DF2E7F"/>
    <w:pPr>
      <w:pBdr>
        <w:top w:val="single" w:sz="4" w:space="5" w:color="969696"/>
      </w:pBdr>
      <w:tabs>
        <w:tab w:val="center" w:pos="4680"/>
        <w:tab w:val="right" w:pos="9360"/>
      </w:tabs>
      <w:spacing w:after="0" w:line="240" w:lineRule="auto"/>
    </w:pPr>
    <w:rPr>
      <w:rFonts w:ascii="Segoe UI" w:hAnsi="Segoe UI"/>
      <w:color w:val="505050"/>
      <w:sz w:val="18"/>
      <w:lang w:val="cs-CZ" w:eastAsia="cs-CZ" w:bidi="cs-CZ"/>
    </w:rPr>
  </w:style>
  <w:style w:type="character" w:customStyle="1" w:styleId="FooterChar">
    <w:name w:val="Footer Char"/>
    <w:basedOn w:val="DefaultParagraphFont"/>
    <w:link w:val="Footer"/>
    <w:uiPriority w:val="99"/>
    <w:rsid w:val="00DF2E7F"/>
    <w:rPr>
      <w:rFonts w:ascii="Segoe UI" w:hAnsi="Segoe UI"/>
      <w:color w:val="505050"/>
      <w:sz w:val="18"/>
      <w:lang w:val="cs-CZ" w:eastAsia="cs-CZ" w:bidi="cs-CZ"/>
    </w:rPr>
  </w:style>
  <w:style w:type="paragraph" w:customStyle="1" w:styleId="DocTitle">
    <w:name w:val="DocTitle"/>
    <w:rsid w:val="00DF2E7F"/>
    <w:pPr>
      <w:spacing w:after="0" w:line="880" w:lineRule="atLeast"/>
      <w:ind w:left="2430" w:right="14"/>
    </w:pPr>
    <w:rPr>
      <w:rFonts w:ascii="Segoe UI Light" w:eastAsia="Times New Roman" w:hAnsi="Segoe UI Light" w:cs="Times New Roman"/>
      <w:color w:val="B4009E"/>
      <w:sz w:val="80"/>
      <w:szCs w:val="20"/>
      <w:lang w:val="cs-CZ" w:eastAsia="cs-CZ" w:bidi="cs-CZ"/>
    </w:rPr>
  </w:style>
  <w:style w:type="paragraph" w:customStyle="1" w:styleId="TOCHeadingV1">
    <w:name w:val="TOC Heading V1"/>
    <w:uiPriority w:val="19"/>
    <w:rsid w:val="00DF2E7F"/>
    <w:pPr>
      <w:pageBreakBefore/>
      <w:pBdr>
        <w:bottom w:val="single" w:sz="36" w:space="6" w:color="68217A"/>
      </w:pBdr>
      <w:spacing w:before="1320" w:after="720" w:line="240" w:lineRule="auto"/>
      <w:ind w:right="1440"/>
    </w:pPr>
    <w:rPr>
      <w:rFonts w:ascii="Segoe UI" w:hAnsi="Segoe UI"/>
      <w:color w:val="68217A"/>
      <w:sz w:val="32"/>
      <w:lang w:val="cs-CZ" w:eastAsia="cs-CZ" w:bidi="cs-CZ"/>
    </w:rPr>
  </w:style>
  <w:style w:type="paragraph" w:styleId="Caption">
    <w:name w:val="caption"/>
    <w:aliases w:val="Caption underneath"/>
    <w:basedOn w:val="Normal"/>
    <w:uiPriority w:val="9"/>
    <w:qFormat/>
    <w:rsid w:val="00DF2E7F"/>
    <w:pPr>
      <w:spacing w:before="60" w:after="300" w:line="180" w:lineRule="atLeast"/>
    </w:pPr>
    <w:rPr>
      <w:i/>
      <w:sz w:val="14"/>
    </w:rPr>
  </w:style>
  <w:style w:type="paragraph" w:customStyle="1" w:styleId="Legalese">
    <w:name w:val="Legalese"/>
    <w:uiPriority w:val="13"/>
    <w:qFormat/>
    <w:rsid w:val="00DF2E7F"/>
    <w:pPr>
      <w:spacing w:after="120" w:line="180" w:lineRule="atLeast"/>
    </w:pPr>
    <w:rPr>
      <w:rFonts w:ascii="Segoe UI" w:eastAsia="Times New Roman" w:hAnsi="Segoe UI" w:cs="Times New Roman"/>
      <w:color w:val="000000" w:themeColor="text1"/>
      <w:sz w:val="14"/>
      <w:szCs w:val="20"/>
      <w:lang w:val="cs-CZ" w:eastAsia="cs-CZ" w:bidi="cs-CZ"/>
    </w:rPr>
  </w:style>
  <w:style w:type="paragraph" w:styleId="TOC1">
    <w:name w:val="toc 1"/>
    <w:basedOn w:val="Normal"/>
    <w:next w:val="Normal"/>
    <w:uiPriority w:val="39"/>
    <w:unhideWhenUsed/>
    <w:rsid w:val="00DF2E7F"/>
    <w:pPr>
      <w:tabs>
        <w:tab w:val="right" w:leader="dot" w:pos="9360"/>
      </w:tabs>
      <w:spacing w:before="120" w:after="120" w:line="240" w:lineRule="auto"/>
    </w:pPr>
    <w:rPr>
      <w:noProof/>
      <w:color w:val="505050"/>
      <w:sz w:val="20"/>
    </w:rPr>
  </w:style>
  <w:style w:type="paragraph" w:styleId="TOC2">
    <w:name w:val="toc 2"/>
    <w:basedOn w:val="Normal"/>
    <w:next w:val="Normal"/>
    <w:uiPriority w:val="39"/>
    <w:unhideWhenUsed/>
    <w:rsid w:val="00DF2E7F"/>
    <w:pPr>
      <w:tabs>
        <w:tab w:val="right" w:leader="dot" w:pos="9360"/>
      </w:tabs>
      <w:spacing w:before="120" w:after="120" w:line="240" w:lineRule="auto"/>
      <w:ind w:left="288"/>
    </w:pPr>
    <w:rPr>
      <w:rFonts w:eastAsia="Times New Roman" w:cs="Times New Roman"/>
      <w:noProof/>
      <w:color w:val="505050"/>
      <w:sz w:val="16"/>
      <w:szCs w:val="20"/>
    </w:rPr>
  </w:style>
  <w:style w:type="paragraph" w:customStyle="1" w:styleId="Celltoholdimage">
    <w:name w:val="Cell to hold image"/>
    <w:basedOn w:val="Normal"/>
    <w:uiPriority w:val="8"/>
    <w:qFormat/>
    <w:rsid w:val="00DF2E7F"/>
    <w:pPr>
      <w:keepNext/>
      <w:spacing w:before="120" w:after="120" w:line="240" w:lineRule="auto"/>
      <w:ind w:left="-29"/>
    </w:pPr>
    <w:rPr>
      <w:rFonts w:eastAsia="Times New Roman" w:cs="Times New Roman"/>
      <w:szCs w:val="20"/>
    </w:rPr>
  </w:style>
  <w:style w:type="table" w:customStyle="1" w:styleId="MSBRANDtable">
    <w:name w:val="MS BRAND table"/>
    <w:basedOn w:val="TableNormal"/>
    <w:uiPriority w:val="99"/>
    <w:qFormat/>
    <w:rsid w:val="00DF2E7F"/>
    <w:pPr>
      <w:spacing w:after="0" w:line="240" w:lineRule="auto"/>
    </w:pPr>
    <w:rPr>
      <w:sz w:val="18"/>
      <w:lang w:val="cs-CZ" w:eastAsia="cs-CZ" w:bidi="cs-CZ"/>
    </w:rPr>
    <w:tblPr>
      <w:tblInd w:w="144" w:type="dxa"/>
      <w:tblBorders>
        <w:bottom w:val="single" w:sz="4" w:space="0" w:color="000000" w:themeColor="text1"/>
        <w:insideH w:val="single" w:sz="4" w:space="0" w:color="000000" w:themeColor="text1"/>
      </w:tblBorders>
      <w:tblCellMar>
        <w:top w:w="58" w:type="dxa"/>
        <w:left w:w="144" w:type="dxa"/>
        <w:bottom w:w="58" w:type="dxa"/>
        <w:right w:w="144" w:type="dxa"/>
      </w:tblCellMar>
    </w:tblPr>
    <w:tcPr>
      <w:shd w:val="clear" w:color="auto" w:fill="auto"/>
    </w:tcPr>
    <w:tblStylePr w:type="firstRow">
      <w:rPr>
        <w:rFonts w:asciiTheme="minorHAnsi" w:hAnsiTheme="minorHAnsi"/>
        <w:color w:val="FFFFFF"/>
        <w:sz w:val="22"/>
      </w:rPr>
      <w:tblPr/>
      <w:tcPr>
        <w:shd w:val="clear" w:color="auto" w:fill="44546A" w:themeFill="text2"/>
      </w:tcPr>
    </w:tblStylePr>
  </w:style>
  <w:style w:type="paragraph" w:customStyle="1" w:styleId="TableHeadings--11pt">
    <w:name w:val="Table Headings -- 11 pt"/>
    <w:basedOn w:val="Normal"/>
    <w:uiPriority w:val="10"/>
    <w:qFormat/>
    <w:rsid w:val="00DF2E7F"/>
    <w:pPr>
      <w:keepNext/>
    </w:pPr>
    <w:rPr>
      <w:color w:val="FFFFFF"/>
      <w:sz w:val="22"/>
    </w:rPr>
  </w:style>
  <w:style w:type="paragraph" w:customStyle="1" w:styleId="Hdg1noborder">
    <w:name w:val="Hdg 1 no border"/>
    <w:basedOn w:val="Heading1"/>
    <w:uiPriority w:val="2"/>
    <w:qFormat/>
    <w:rsid w:val="00DF2E7F"/>
    <w:pPr>
      <w:pBdr>
        <w:top w:val="none" w:sz="0" w:space="0" w:color="auto"/>
      </w:pBdr>
      <w:spacing w:before="360"/>
    </w:pPr>
    <w:rPr>
      <w:rFonts w:ascii="Segoe UI" w:hAnsi="Segoe UI"/>
      <w:b/>
      <w:szCs w:val="20"/>
    </w:rPr>
  </w:style>
  <w:style w:type="paragraph" w:customStyle="1" w:styleId="DocSubtitle">
    <w:name w:val="DocSubtitle"/>
    <w:next w:val="DocTitle"/>
    <w:rsid w:val="00DF2E7F"/>
    <w:pPr>
      <w:pageBreakBefore/>
      <w:spacing w:before="1080" w:after="0" w:line="340" w:lineRule="atLeast"/>
      <w:ind w:left="2434"/>
    </w:pPr>
    <w:rPr>
      <w:rFonts w:ascii="Segoe UI" w:eastAsia="Times New Roman" w:hAnsi="Segoe UI" w:cs="Times New Roman"/>
      <w:color w:val="68217A"/>
      <w:sz w:val="30"/>
      <w:szCs w:val="20"/>
      <w:lang w:val="cs-CZ" w:eastAsia="cs-CZ" w:bidi="cs-CZ"/>
    </w:rPr>
  </w:style>
  <w:style w:type="paragraph" w:styleId="BodyText">
    <w:name w:val="Body Text"/>
    <w:basedOn w:val="Normal"/>
    <w:link w:val="BodyTextChar"/>
    <w:uiPriority w:val="3"/>
    <w:qFormat/>
    <w:rsid w:val="00DF2E7F"/>
    <w:pPr>
      <w:spacing w:after="120"/>
    </w:pPr>
    <w:rPr>
      <w:rFonts w:eastAsia="Times New Roman" w:cs="Times New Roman"/>
      <w:color w:val="505050"/>
      <w:szCs w:val="20"/>
    </w:rPr>
  </w:style>
  <w:style w:type="character" w:customStyle="1" w:styleId="BodyTextChar">
    <w:name w:val="Body Text Char"/>
    <w:basedOn w:val="DefaultParagraphFont"/>
    <w:link w:val="BodyText"/>
    <w:uiPriority w:val="3"/>
    <w:rsid w:val="00DF2E7F"/>
    <w:rPr>
      <w:rFonts w:ascii="Segoe UI" w:eastAsia="Times New Roman" w:hAnsi="Segoe UI" w:cs="Times New Roman"/>
      <w:color w:val="505050"/>
      <w:sz w:val="18"/>
      <w:szCs w:val="20"/>
      <w:lang w:val="cs-CZ" w:eastAsia="cs-CZ" w:bidi="cs-CZ"/>
    </w:rPr>
  </w:style>
  <w:style w:type="paragraph" w:customStyle="1" w:styleId="Imagetablespacerrows">
    <w:name w:val="Image table spacer rows"/>
    <w:uiPriority w:val="8"/>
    <w:qFormat/>
    <w:rsid w:val="00DF2E7F"/>
    <w:pPr>
      <w:keepNext/>
      <w:spacing w:after="0" w:line="240" w:lineRule="auto"/>
    </w:pPr>
    <w:rPr>
      <w:rFonts w:ascii="Segoe UI" w:eastAsia="Times New Roman" w:hAnsi="Segoe UI" w:cs="Times New Roman"/>
      <w:noProof/>
      <w:color w:val="000000" w:themeColor="text1"/>
      <w:sz w:val="16"/>
      <w:szCs w:val="20"/>
      <w:lang w:val="cs-CZ" w:eastAsia="cs-CZ" w:bidi="cs-CZ"/>
    </w:rPr>
  </w:style>
  <w:style w:type="paragraph" w:customStyle="1" w:styleId="Sidebarheading">
    <w:name w:val="Sidebar heading"/>
    <w:uiPriority w:val="7"/>
    <w:qFormat/>
    <w:rsid w:val="00DF2E7F"/>
    <w:pPr>
      <w:spacing w:after="180" w:line="290" w:lineRule="exact"/>
    </w:pPr>
    <w:rPr>
      <w:rFonts w:ascii="Segoe UI" w:eastAsia="Times New Roman" w:hAnsi="Segoe UI" w:cs="Times New Roman"/>
      <w:color w:val="68217A"/>
      <w:sz w:val="24"/>
      <w:szCs w:val="20"/>
      <w:lang w:val="cs-CZ" w:eastAsia="cs-CZ" w:bidi="cs-CZ"/>
    </w:rPr>
  </w:style>
  <w:style w:type="paragraph" w:customStyle="1" w:styleId="DocTitlewhite">
    <w:name w:val="DocTitle white"/>
    <w:uiPriority w:val="1"/>
    <w:rsid w:val="00DF2E7F"/>
    <w:pPr>
      <w:spacing w:after="0" w:line="880" w:lineRule="atLeast"/>
      <w:ind w:left="-144"/>
    </w:pPr>
    <w:rPr>
      <w:rFonts w:ascii="Segoe UI Light" w:eastAsia="Times New Roman" w:hAnsi="Segoe UI Light" w:cs="Times New Roman"/>
      <w:color w:val="FFFFFF"/>
      <w:sz w:val="80"/>
      <w:szCs w:val="20"/>
      <w:lang w:val="cs-CZ" w:eastAsia="cs-CZ" w:bidi="cs-CZ"/>
    </w:rPr>
  </w:style>
  <w:style w:type="paragraph" w:customStyle="1" w:styleId="DocSubtitlewhite">
    <w:name w:val="DocSubtitle white"/>
    <w:basedOn w:val="DocSubtitle"/>
    <w:next w:val="DocTitlewhite"/>
    <w:uiPriority w:val="1"/>
    <w:rsid w:val="00DF2E7F"/>
    <w:pPr>
      <w:spacing w:before="3000"/>
      <w:ind w:left="-144"/>
    </w:pPr>
    <w:rPr>
      <w:color w:val="FFFFFF"/>
    </w:rPr>
  </w:style>
  <w:style w:type="paragraph" w:customStyle="1" w:styleId="SpacerafterToChdgV3">
    <w:name w:val="Spacer after ToC hdg V3"/>
    <w:uiPriority w:val="20"/>
    <w:rsid w:val="00DF2E7F"/>
    <w:pPr>
      <w:spacing w:after="0" w:line="240" w:lineRule="auto"/>
    </w:pPr>
    <w:rPr>
      <w:rFonts w:ascii="Segoe UI" w:eastAsia="Times New Roman" w:hAnsi="Segoe UI" w:cs="Times New Roman"/>
      <w:sz w:val="8"/>
      <w:szCs w:val="20"/>
      <w:lang w:val="cs-CZ" w:eastAsia="cs-CZ" w:bidi="cs-CZ"/>
    </w:rPr>
  </w:style>
  <w:style w:type="paragraph" w:customStyle="1" w:styleId="Hdg1wborderindented">
    <w:name w:val="Hdg 1 w/ border indented"/>
    <w:basedOn w:val="Heading1"/>
    <w:uiPriority w:val="4"/>
    <w:qFormat/>
    <w:rsid w:val="00DF2E7F"/>
    <w:pPr>
      <w:ind w:left="3150"/>
    </w:pPr>
    <w:rPr>
      <w:szCs w:val="20"/>
    </w:rPr>
  </w:style>
  <w:style w:type="paragraph" w:customStyle="1" w:styleId="Hdg1noborderindented">
    <w:name w:val="Hdg 1 no border indented"/>
    <w:basedOn w:val="Hdg1noborder"/>
    <w:uiPriority w:val="4"/>
    <w:qFormat/>
    <w:rsid w:val="00DF2E7F"/>
    <w:pPr>
      <w:ind w:left="3150"/>
    </w:pPr>
  </w:style>
  <w:style w:type="paragraph" w:customStyle="1" w:styleId="Heading2indented">
    <w:name w:val="Heading 2 indented"/>
    <w:basedOn w:val="Heading2"/>
    <w:uiPriority w:val="5"/>
    <w:qFormat/>
    <w:rsid w:val="00DF2E7F"/>
    <w:pPr>
      <w:ind w:left="3150"/>
    </w:pPr>
    <w:rPr>
      <w:rFonts w:eastAsia="Times New Roman" w:cs="Times New Roman"/>
      <w:szCs w:val="20"/>
    </w:rPr>
  </w:style>
  <w:style w:type="paragraph" w:customStyle="1" w:styleId="Bullet">
    <w:name w:val="Bullet"/>
    <w:basedOn w:val="BodyText"/>
    <w:uiPriority w:val="3"/>
    <w:qFormat/>
    <w:rsid w:val="00DF2E7F"/>
    <w:pPr>
      <w:numPr>
        <w:numId w:val="12"/>
      </w:numPr>
    </w:pPr>
  </w:style>
  <w:style w:type="paragraph" w:customStyle="1" w:styleId="Bulletindented">
    <w:name w:val="Bullet indented"/>
    <w:basedOn w:val="Bullet"/>
    <w:uiPriority w:val="7"/>
    <w:qFormat/>
    <w:rsid w:val="00DF2E7F"/>
    <w:pPr>
      <w:ind w:left="3528"/>
    </w:pPr>
  </w:style>
  <w:style w:type="paragraph" w:customStyle="1" w:styleId="Bulletnexttosidebar">
    <w:name w:val="Bullet next to sidebar"/>
    <w:basedOn w:val="Bulletindented"/>
    <w:uiPriority w:val="7"/>
    <w:qFormat/>
    <w:rsid w:val="00DF2E7F"/>
    <w:pPr>
      <w:ind w:left="3442" w:hanging="3442"/>
    </w:pPr>
  </w:style>
  <w:style w:type="paragraph" w:customStyle="1" w:styleId="TOCHeadingV2">
    <w:name w:val="TOC Heading V2"/>
    <w:basedOn w:val="TOCHeadingV1"/>
    <w:uiPriority w:val="19"/>
    <w:qFormat/>
    <w:rsid w:val="00DF2E7F"/>
    <w:pPr>
      <w:pBdr>
        <w:bottom w:val="none" w:sz="0" w:space="0" w:color="auto"/>
      </w:pBdr>
      <w:spacing w:before="1440" w:after="120"/>
      <w:ind w:left="1440"/>
    </w:pPr>
  </w:style>
  <w:style w:type="paragraph" w:customStyle="1" w:styleId="TOCHeadingV3">
    <w:name w:val="TOC Heading V3"/>
    <w:basedOn w:val="TOCHeadingV1"/>
    <w:uiPriority w:val="19"/>
    <w:qFormat/>
    <w:rsid w:val="00DF2E7F"/>
    <w:pPr>
      <w:pBdr>
        <w:bottom w:val="none" w:sz="0" w:space="0" w:color="auto"/>
      </w:pBdr>
      <w:spacing w:before="120" w:after="0"/>
    </w:pPr>
    <w:rPr>
      <w:sz w:val="40"/>
    </w:rPr>
  </w:style>
  <w:style w:type="paragraph" w:customStyle="1" w:styleId="Tablespacerrows">
    <w:name w:val="Table spacer rows"/>
    <w:uiPriority w:val="12"/>
    <w:qFormat/>
    <w:rsid w:val="00DF2E7F"/>
    <w:pPr>
      <w:keepNext/>
      <w:spacing w:after="0" w:line="240" w:lineRule="auto"/>
    </w:pPr>
    <w:rPr>
      <w:rFonts w:ascii="Segoe UI" w:eastAsia="Times New Roman" w:hAnsi="Segoe UI" w:cs="Times New Roman"/>
      <w:noProof/>
      <w:color w:val="000000" w:themeColor="text1"/>
      <w:sz w:val="16"/>
      <w:szCs w:val="20"/>
      <w:lang w:val="cs-CZ" w:eastAsia="cs-CZ" w:bidi="cs-CZ"/>
    </w:rPr>
  </w:style>
  <w:style w:type="paragraph" w:customStyle="1" w:styleId="Captiontotheleft">
    <w:name w:val="Caption to the left"/>
    <w:basedOn w:val="Caption"/>
    <w:uiPriority w:val="9"/>
    <w:rsid w:val="00DF2E7F"/>
    <w:pPr>
      <w:spacing w:after="120"/>
    </w:pPr>
    <w:rPr>
      <w:rFonts w:eastAsia="Times New Roman" w:cs="Times New Roman"/>
      <w:iCs/>
      <w:szCs w:val="20"/>
    </w:rPr>
  </w:style>
  <w:style w:type="paragraph" w:customStyle="1" w:styleId="VLBodyBullet">
    <w:name w:val="VL Body Bullet"/>
    <w:basedOn w:val="Normal"/>
    <w:qFormat/>
    <w:rsid w:val="00DF2E7F"/>
    <w:pPr>
      <w:numPr>
        <w:numId w:val="13"/>
      </w:numPr>
      <w:spacing w:after="60" w:line="240" w:lineRule="auto"/>
    </w:pPr>
    <w:rPr>
      <w:color w:val="595959" w:themeColor="text1" w:themeTint="A6"/>
      <w:sz w:val="19"/>
    </w:rPr>
  </w:style>
  <w:style w:type="table" w:styleId="MediumShading1-Accent1">
    <w:name w:val="Medium Shading 1 Accent 1"/>
    <w:basedOn w:val="TableNormal"/>
    <w:uiPriority w:val="63"/>
    <w:rsid w:val="00DF2E7F"/>
    <w:pPr>
      <w:spacing w:after="0" w:line="240" w:lineRule="auto"/>
    </w:pPr>
    <w:rPr>
      <w:sz w:val="24"/>
      <w:szCs w:val="24"/>
      <w:lang w:val="cs-CZ" w:eastAsia="cs-CZ" w:bidi="cs-CZ"/>
    </w:rPr>
    <w:tblPr>
      <w:tblStyleRowBandSize w:val="1"/>
      <w:tblStyleColBandSize w:val="1"/>
      <w:tblBorders>
        <w:top w:val="single" w:sz="8"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single" w:sz="8" w:space="0" w:color="84B3DF" w:themeColor="accent1" w:themeTint="BF"/>
      </w:tblBorders>
    </w:tblPr>
    <w:tblStylePr w:type="firstRow">
      <w:pPr>
        <w:spacing w:before="0" w:after="0" w:line="240" w:lineRule="auto"/>
      </w:pPr>
      <w:rPr>
        <w:b/>
        <w:bCs/>
        <w:color w:val="FFFFFF" w:themeColor="background1"/>
      </w:rPr>
      <w:tblPr/>
      <w:tcPr>
        <w:tcBorders>
          <w:top w:val="single" w:sz="8"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nil"/>
          <w:insideV w:val="nil"/>
        </w:tcBorders>
        <w:shd w:val="clear" w:color="auto" w:fill="5B9BD5" w:themeFill="accent1"/>
      </w:tcPr>
    </w:tblStylePr>
    <w:tblStylePr w:type="lastRow">
      <w:pPr>
        <w:spacing w:before="0" w:after="0" w:line="240" w:lineRule="auto"/>
      </w:pPr>
      <w:rPr>
        <w:b/>
        <w:bCs/>
      </w:rPr>
      <w:tblPr/>
      <w:tcPr>
        <w:tcBorders>
          <w:top w:val="double" w:sz="6"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nil"/>
          <w:insideV w:val="nil"/>
        </w:tcBorders>
      </w:tcPr>
    </w:tblStylePr>
    <w:tblStylePr w:type="firstCol">
      <w:rPr>
        <w:b/>
        <w:bCs/>
      </w:rPr>
    </w:tblStylePr>
    <w:tblStylePr w:type="lastCol">
      <w:rPr>
        <w:b/>
        <w:bCs/>
      </w:rPr>
    </w:tblStylePr>
    <w:tblStylePr w:type="band1Vert">
      <w:tblPr/>
      <w:tcPr>
        <w:shd w:val="clear" w:color="auto" w:fill="D6E6F4" w:themeFill="accent1" w:themeFillTint="3F"/>
      </w:tcPr>
    </w:tblStylePr>
    <w:tblStylePr w:type="band1Horz">
      <w:tblPr/>
      <w:tcPr>
        <w:tcBorders>
          <w:insideH w:val="nil"/>
          <w:insideV w:val="nil"/>
        </w:tcBorders>
        <w:shd w:val="clear" w:color="auto" w:fill="D6E6F4" w:themeFill="accent1" w:themeFillTint="3F"/>
      </w:tcPr>
    </w:tblStylePr>
    <w:tblStylePr w:type="band2Horz">
      <w:tblPr/>
      <w:tcPr>
        <w:tcBorders>
          <w:insideH w:val="nil"/>
          <w:insideV w:val="nil"/>
        </w:tcBorders>
      </w:tcPr>
    </w:tblStylePr>
  </w:style>
  <w:style w:type="paragraph" w:customStyle="1" w:styleId="VLTableHeader">
    <w:name w:val="VL Table Header"/>
    <w:basedOn w:val="Normal"/>
    <w:rsid w:val="00DF2E7F"/>
    <w:pPr>
      <w:spacing w:before="60" w:after="60" w:line="240" w:lineRule="auto"/>
    </w:pPr>
    <w:rPr>
      <w:b/>
      <w:bCs/>
      <w:color w:val="FFFFFF" w:themeColor="background1"/>
    </w:rPr>
  </w:style>
  <w:style w:type="paragraph" w:customStyle="1" w:styleId="VLTableBullets">
    <w:name w:val="VL Table Bullets"/>
    <w:basedOn w:val="VLBodyBullet"/>
    <w:rsid w:val="00DF2E7F"/>
    <w:pPr>
      <w:spacing w:line="200" w:lineRule="exact"/>
      <w:ind w:left="432"/>
    </w:pPr>
    <w:rPr>
      <w:spacing w:val="-2"/>
      <w:sz w:val="17"/>
    </w:rPr>
  </w:style>
  <w:style w:type="paragraph" w:customStyle="1" w:styleId="VLTabletext">
    <w:name w:val="VL Table text"/>
    <w:basedOn w:val="Normal"/>
    <w:rsid w:val="00DF2E7F"/>
    <w:pPr>
      <w:spacing w:after="80" w:line="240" w:lineRule="auto"/>
    </w:pPr>
    <w:rPr>
      <w:color w:val="595959" w:themeColor="text1" w:themeTint="A6"/>
      <w:sz w:val="17"/>
      <w:szCs w:val="17"/>
    </w:rPr>
  </w:style>
  <w:style w:type="table" w:styleId="MediumShading1-Accent4">
    <w:name w:val="Medium Shading 1 Accent 4"/>
    <w:basedOn w:val="TableNormal"/>
    <w:uiPriority w:val="63"/>
    <w:rsid w:val="00DF2E7F"/>
    <w:pPr>
      <w:spacing w:after="0" w:line="240" w:lineRule="auto"/>
    </w:pPr>
    <w:rPr>
      <w:rFonts w:ascii="Arial" w:hAnsi="Arial"/>
      <w:lang w:val="cs-CZ" w:eastAsia="cs-CZ" w:bidi="cs-CZ"/>
    </w:rPr>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tblBorders>
    </w:tblPr>
    <w:tblStylePr w:type="firstRow">
      <w:pPr>
        <w:spacing w:before="0" w:after="0" w:line="240" w:lineRule="auto"/>
      </w:pPr>
      <w:rPr>
        <w:b/>
        <w:bCs/>
        <w:color w:val="FFFFFF" w:themeColor="background1"/>
      </w:rPr>
      <w:tblPr/>
      <w:tcPr>
        <w:tc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shd w:val="clear" w:color="auto" w:fill="FFC000" w:themeFill="accent4"/>
      </w:tcPr>
    </w:tblStylePr>
    <w:tblStylePr w:type="lastRow">
      <w:pPr>
        <w:spacing w:before="0" w:after="0" w:line="240" w:lineRule="auto"/>
      </w:pPr>
      <w:rPr>
        <w:b/>
        <w:bCs/>
      </w:rPr>
      <w:tblPr/>
      <w:tcPr>
        <w:tcBorders>
          <w:top w:val="double" w:sz="6"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tcPr>
    </w:tblStylePr>
    <w:tblStylePr w:type="firstCol">
      <w:rPr>
        <w:b/>
        <w:bCs/>
      </w:rPr>
    </w:tblStylePr>
    <w:tblStylePr w:type="lastCol">
      <w:rPr>
        <w:b/>
        <w:bCs/>
      </w:rPr>
    </w:tblStylePr>
    <w:tblStylePr w:type="band1Vert">
      <w:tblPr/>
      <w:tcPr>
        <w:shd w:val="clear" w:color="auto" w:fill="FFEFC0" w:themeFill="accent4" w:themeFillTint="3F"/>
      </w:tcPr>
    </w:tblStylePr>
    <w:tblStylePr w:type="band1Horz">
      <w:tblPr/>
      <w:tcPr>
        <w:tcBorders>
          <w:insideH w:val="nil"/>
          <w:insideV w:val="nil"/>
        </w:tcBorders>
        <w:shd w:val="clear" w:color="auto" w:fill="FFEFC0" w:themeFill="accent4" w:themeFillTint="3F"/>
      </w:tcPr>
    </w:tblStylePr>
    <w:tblStylePr w:type="band2Horz">
      <w:tblPr/>
      <w:tcPr>
        <w:tcBorders>
          <w:insideH w:val="nil"/>
          <w:insideV w:val="nil"/>
        </w:tcBorders>
      </w:tcPr>
    </w:tblStylePr>
  </w:style>
  <w:style w:type="table" w:styleId="LightList-Accent4">
    <w:name w:val="Light List Accent 4"/>
    <w:basedOn w:val="TableNormal"/>
    <w:uiPriority w:val="61"/>
    <w:rsid w:val="00DF2E7F"/>
    <w:pPr>
      <w:spacing w:after="0" w:line="240" w:lineRule="auto"/>
    </w:pPr>
    <w:rPr>
      <w:rFonts w:ascii="Arial" w:hAnsi="Arial"/>
      <w:lang w:val="cs-CZ" w:eastAsia="cs-CZ" w:bidi="cs-CZ"/>
    </w:r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pPr>
        <w:spacing w:before="0" w:after="0" w:line="240" w:lineRule="auto"/>
      </w:pPr>
      <w:rPr>
        <w:b/>
        <w:bCs/>
        <w:color w:val="FFFFFF" w:themeColor="background1"/>
      </w:rPr>
      <w:tblPr/>
      <w:tcPr>
        <w:shd w:val="clear" w:color="auto" w:fill="FFC000" w:themeFill="accent4"/>
      </w:tcPr>
    </w:tblStylePr>
    <w:tblStylePr w:type="lastRow">
      <w:pPr>
        <w:spacing w:before="0" w:after="0" w:line="240" w:lineRule="auto"/>
      </w:pPr>
      <w:rPr>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tcBorders>
      </w:tcPr>
    </w:tblStylePr>
    <w:tblStylePr w:type="firstCol">
      <w:rPr>
        <w:b/>
        <w:bCs/>
      </w:rPr>
    </w:tblStylePr>
    <w:tblStylePr w:type="lastCol">
      <w:rPr>
        <w:b/>
        <w:bCs/>
      </w:r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style>
  <w:style w:type="paragraph" w:customStyle="1" w:styleId="Bodycopybullets">
    <w:name w:val="Body copy bullets"/>
    <w:rsid w:val="00DF2E7F"/>
    <w:pPr>
      <w:numPr>
        <w:numId w:val="14"/>
      </w:numPr>
      <w:spacing w:after="60" w:line="240" w:lineRule="auto"/>
    </w:pPr>
    <w:rPr>
      <w:rFonts w:ascii="Segoe Light" w:eastAsia="Times New Roman" w:hAnsi="Segoe Light" w:cs="Times New Roman"/>
      <w:sz w:val="14"/>
      <w:szCs w:val="24"/>
      <w:lang w:val="cs-CZ" w:eastAsia="cs-CZ" w:bidi="cs-CZ"/>
    </w:rPr>
  </w:style>
  <w:style w:type="character" w:styleId="FollowedHyperlink">
    <w:name w:val="FollowedHyperlink"/>
    <w:basedOn w:val="DefaultParagraphFont"/>
    <w:uiPriority w:val="99"/>
    <w:semiHidden/>
    <w:unhideWhenUsed/>
    <w:rsid w:val="00DF2E7F"/>
    <w:rPr>
      <w:color w:val="954F72" w:themeColor="followedHyperlink"/>
      <w:u w:val="single"/>
    </w:rPr>
  </w:style>
  <w:style w:type="paragraph" w:customStyle="1" w:styleId="VLBodyCopy2">
    <w:name w:val="VL Body Copy 2"/>
    <w:basedOn w:val="Normal"/>
    <w:next w:val="Normal"/>
    <w:link w:val="VLBodyCopy2Char"/>
    <w:qFormat/>
    <w:rsid w:val="00DF2E7F"/>
    <w:pPr>
      <w:spacing w:line="240" w:lineRule="auto"/>
    </w:pPr>
    <w:rPr>
      <w:color w:val="595959" w:themeColor="text1" w:themeTint="A6"/>
      <w:sz w:val="19"/>
    </w:rPr>
  </w:style>
  <w:style w:type="character" w:customStyle="1" w:styleId="VLBodyCopy2Char">
    <w:name w:val="VL Body Copy 2 Char"/>
    <w:basedOn w:val="DefaultParagraphFont"/>
    <w:link w:val="VLBodyCopy2"/>
    <w:rsid w:val="00DF2E7F"/>
    <w:rPr>
      <w:rFonts w:ascii="Segoe UI" w:hAnsi="Segoe UI"/>
      <w:color w:val="595959" w:themeColor="text1" w:themeTint="A6"/>
      <w:sz w:val="19"/>
      <w:lang w:val="cs-CZ" w:eastAsia="cs-CZ" w:bidi="cs-CZ"/>
    </w:rPr>
  </w:style>
  <w:style w:type="character" w:styleId="CommentReference">
    <w:name w:val="annotation reference"/>
    <w:basedOn w:val="DefaultParagraphFont"/>
    <w:unhideWhenUsed/>
    <w:rsid w:val="00DF2E7F"/>
    <w:rPr>
      <w:sz w:val="16"/>
      <w:szCs w:val="16"/>
    </w:rPr>
  </w:style>
  <w:style w:type="paragraph" w:styleId="CommentText">
    <w:name w:val="annotation text"/>
    <w:basedOn w:val="Normal"/>
    <w:link w:val="CommentTextChar"/>
    <w:uiPriority w:val="99"/>
    <w:semiHidden/>
    <w:unhideWhenUsed/>
    <w:rsid w:val="00DF2E7F"/>
    <w:pPr>
      <w:spacing w:line="240" w:lineRule="auto"/>
    </w:pPr>
    <w:rPr>
      <w:sz w:val="20"/>
      <w:szCs w:val="20"/>
    </w:rPr>
  </w:style>
  <w:style w:type="character" w:customStyle="1" w:styleId="CommentTextChar">
    <w:name w:val="Comment Text Char"/>
    <w:basedOn w:val="DefaultParagraphFont"/>
    <w:link w:val="CommentText"/>
    <w:uiPriority w:val="99"/>
    <w:semiHidden/>
    <w:rsid w:val="00DF2E7F"/>
    <w:rPr>
      <w:rFonts w:ascii="Segoe UI" w:hAnsi="Segoe UI"/>
      <w:sz w:val="20"/>
      <w:szCs w:val="20"/>
      <w:lang w:val="cs-CZ" w:eastAsia="cs-CZ" w:bidi="cs-CZ"/>
    </w:rPr>
  </w:style>
  <w:style w:type="paragraph" w:styleId="CommentSubject">
    <w:name w:val="annotation subject"/>
    <w:basedOn w:val="CommentText"/>
    <w:next w:val="CommentText"/>
    <w:link w:val="CommentSubjectChar"/>
    <w:uiPriority w:val="99"/>
    <w:semiHidden/>
    <w:unhideWhenUsed/>
    <w:rsid w:val="00DF2E7F"/>
    <w:rPr>
      <w:b/>
      <w:bCs/>
    </w:rPr>
  </w:style>
  <w:style w:type="character" w:customStyle="1" w:styleId="CommentSubjectChar">
    <w:name w:val="Comment Subject Char"/>
    <w:basedOn w:val="CommentTextChar"/>
    <w:link w:val="CommentSubject"/>
    <w:uiPriority w:val="99"/>
    <w:semiHidden/>
    <w:rsid w:val="00DF2E7F"/>
    <w:rPr>
      <w:rFonts w:ascii="Segoe UI" w:hAnsi="Segoe UI"/>
      <w:b/>
      <w:bCs/>
      <w:sz w:val="20"/>
      <w:szCs w:val="20"/>
      <w:lang w:val="cs-CZ" w:eastAsia="cs-CZ" w:bidi="cs-CZ"/>
    </w:rPr>
  </w:style>
  <w:style w:type="paragraph" w:styleId="NormalWeb">
    <w:name w:val="Normal (Web)"/>
    <w:basedOn w:val="Normal"/>
    <w:uiPriority w:val="99"/>
    <w:unhideWhenUsed/>
    <w:rsid w:val="00DF2E7F"/>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VLHead1">
    <w:name w:val="VL Head 1"/>
    <w:basedOn w:val="Normal"/>
    <w:link w:val="VLHead1Char"/>
    <w:qFormat/>
    <w:rsid w:val="00DF2E7F"/>
    <w:pPr>
      <w:spacing w:before="480" w:after="240" w:line="270" w:lineRule="exact"/>
    </w:pPr>
    <w:rPr>
      <w:color w:val="5B9BD5" w:themeColor="accent1"/>
      <w:sz w:val="25"/>
      <w:szCs w:val="24"/>
    </w:rPr>
  </w:style>
  <w:style w:type="character" w:customStyle="1" w:styleId="VLHead1Char">
    <w:name w:val="VL Head 1 Char"/>
    <w:basedOn w:val="DefaultParagraphFont"/>
    <w:link w:val="VLHead1"/>
    <w:rsid w:val="00DF2E7F"/>
    <w:rPr>
      <w:rFonts w:ascii="Segoe UI" w:hAnsi="Segoe UI"/>
      <w:color w:val="5B9BD5" w:themeColor="accent1"/>
      <w:sz w:val="25"/>
      <w:szCs w:val="24"/>
      <w:lang w:val="cs-CZ" w:eastAsia="cs-CZ" w:bidi="cs-CZ"/>
    </w:rPr>
  </w:style>
  <w:style w:type="paragraph" w:styleId="FootnoteText">
    <w:name w:val="footnote text"/>
    <w:basedOn w:val="Normal"/>
    <w:link w:val="FootnoteTextChar"/>
    <w:uiPriority w:val="99"/>
    <w:semiHidden/>
    <w:unhideWhenUsed/>
    <w:rsid w:val="00DF2E7F"/>
    <w:pPr>
      <w:spacing w:line="240" w:lineRule="auto"/>
    </w:pPr>
    <w:rPr>
      <w:sz w:val="20"/>
      <w:szCs w:val="20"/>
    </w:rPr>
  </w:style>
  <w:style w:type="character" w:customStyle="1" w:styleId="FootnoteTextChar">
    <w:name w:val="Footnote Text Char"/>
    <w:basedOn w:val="DefaultParagraphFont"/>
    <w:link w:val="FootnoteText"/>
    <w:uiPriority w:val="99"/>
    <w:semiHidden/>
    <w:rsid w:val="00DF2E7F"/>
    <w:rPr>
      <w:rFonts w:ascii="Segoe UI" w:hAnsi="Segoe UI"/>
      <w:sz w:val="20"/>
      <w:szCs w:val="20"/>
      <w:lang w:val="cs-CZ" w:eastAsia="cs-CZ" w:bidi="cs-CZ"/>
    </w:rPr>
  </w:style>
  <w:style w:type="character" w:styleId="FootnoteReference">
    <w:name w:val="footnote reference"/>
    <w:basedOn w:val="DefaultParagraphFont"/>
    <w:uiPriority w:val="99"/>
    <w:semiHidden/>
    <w:unhideWhenUsed/>
    <w:rsid w:val="00DF2E7F"/>
    <w:rPr>
      <w:vertAlign w:val="superscript"/>
    </w:rPr>
  </w:style>
  <w:style w:type="paragraph" w:customStyle="1" w:styleId="AppendixTableHeadings">
    <w:name w:val="Appendix Table Headings"/>
    <w:basedOn w:val="AppendixTableText"/>
    <w:rsid w:val="00DF2E7F"/>
    <w:rPr>
      <w:b/>
      <w:bCs/>
    </w:rPr>
  </w:style>
  <w:style w:type="paragraph" w:customStyle="1" w:styleId="AppendixTableText">
    <w:name w:val="Appendix Table Text"/>
    <w:basedOn w:val="Normal"/>
    <w:rsid w:val="00DF2E7F"/>
    <w:pPr>
      <w:jc w:val="center"/>
    </w:pPr>
    <w:rPr>
      <w:rFonts w:ascii="Trebuchet MS" w:eastAsia="MS Mincho" w:hAnsi="Trebuchet MS" w:cs="Arial"/>
      <w:szCs w:val="18"/>
    </w:rPr>
  </w:style>
  <w:style w:type="paragraph" w:styleId="Revision">
    <w:name w:val="Revision"/>
    <w:hidden/>
    <w:uiPriority w:val="99"/>
    <w:semiHidden/>
    <w:rsid w:val="00DF2E7F"/>
    <w:pPr>
      <w:spacing w:after="0" w:line="240" w:lineRule="auto"/>
    </w:pPr>
    <w:rPr>
      <w:rFonts w:ascii="Segoe UI" w:hAnsi="Segoe UI"/>
      <w:sz w:val="18"/>
      <w:lang w:val="cs-CZ" w:eastAsia="cs-CZ" w:bidi="cs-CZ"/>
    </w:rPr>
  </w:style>
  <w:style w:type="table" w:customStyle="1" w:styleId="GridTable4-Accent41">
    <w:name w:val="Grid Table 4 - Accent 41"/>
    <w:basedOn w:val="TableNormal"/>
    <w:uiPriority w:val="49"/>
    <w:rsid w:val="00DF2E7F"/>
    <w:pPr>
      <w:spacing w:after="0" w:line="240" w:lineRule="auto"/>
    </w:pPr>
    <w:rPr>
      <w:rFonts w:ascii="Arial" w:hAnsi="Arial"/>
      <w:lang w:val="cs-CZ" w:eastAsia="cs-CZ" w:bidi="cs-CZ"/>
    </w:rPr>
    <w:tblPr>
      <w:tblStyleRowBandSize w:val="1"/>
      <w:tblStyleColBandSize w:val="1"/>
      <w:tblBorders>
        <w:top w:val="single" w:sz="4" w:space="0" w:color="FFD966" w:themeColor="accent4" w:themeTint="99"/>
        <w:left w:val="single" w:sz="4" w:space="0" w:color="FFD966" w:themeColor="accent4" w:themeTint="99"/>
        <w:bottom w:val="single" w:sz="4" w:space="0" w:color="FFD966" w:themeColor="accent4" w:themeTint="99"/>
        <w:right w:val="single" w:sz="4" w:space="0" w:color="FFD966" w:themeColor="accent4" w:themeTint="99"/>
        <w:insideH w:val="single" w:sz="4" w:space="0" w:color="FFD966" w:themeColor="accent4" w:themeTint="99"/>
        <w:insideV w:val="single" w:sz="4" w:space="0" w:color="FFD966" w:themeColor="accent4" w:themeTint="99"/>
      </w:tblBorders>
    </w:tblPr>
    <w:tblStylePr w:type="firstRow">
      <w:rPr>
        <w:b/>
        <w:bCs/>
        <w:color w:val="FFFFFF" w:themeColor="background1"/>
      </w:rPr>
      <w:tblPr/>
      <w:tcPr>
        <w:tcBorders>
          <w:top w:val="single" w:sz="4" w:space="0" w:color="FFC000" w:themeColor="accent4"/>
          <w:left w:val="single" w:sz="4" w:space="0" w:color="FFC000" w:themeColor="accent4"/>
          <w:bottom w:val="single" w:sz="4" w:space="0" w:color="FFC000" w:themeColor="accent4"/>
          <w:right w:val="single" w:sz="4" w:space="0" w:color="FFC000" w:themeColor="accent4"/>
          <w:insideH w:val="nil"/>
          <w:insideV w:val="nil"/>
        </w:tcBorders>
        <w:shd w:val="clear" w:color="auto" w:fill="FFC000" w:themeFill="accent4"/>
      </w:tcPr>
    </w:tblStylePr>
    <w:tblStylePr w:type="lastRow">
      <w:rPr>
        <w:b/>
        <w:bCs/>
      </w:rPr>
      <w:tblPr/>
      <w:tcPr>
        <w:tcBorders>
          <w:top w:val="double" w:sz="4" w:space="0" w:color="FFC000" w:themeColor="accent4"/>
        </w:tcBorders>
      </w:tcPr>
    </w:tblStylePr>
    <w:tblStylePr w:type="firstCol">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style>
  <w:style w:type="paragraph" w:customStyle="1" w:styleId="VLBodyHead">
    <w:name w:val="VL Body Head"/>
    <w:basedOn w:val="Normal"/>
    <w:link w:val="VLBodyHeadChar"/>
    <w:qFormat/>
    <w:rsid w:val="00DF2E7F"/>
    <w:pPr>
      <w:spacing w:after="160" w:line="240" w:lineRule="auto"/>
    </w:pPr>
    <w:rPr>
      <w:rFonts w:ascii="Segoe UI Semibold" w:hAnsi="Segoe UI Semibold"/>
      <w:color w:val="404040" w:themeColor="text1" w:themeTint="BF"/>
      <w:sz w:val="19"/>
    </w:rPr>
  </w:style>
  <w:style w:type="character" w:customStyle="1" w:styleId="VLBodyHeadChar">
    <w:name w:val="VL Body Head Char"/>
    <w:basedOn w:val="DefaultParagraphFont"/>
    <w:link w:val="VLBodyHead"/>
    <w:rsid w:val="00DF2E7F"/>
    <w:rPr>
      <w:rFonts w:ascii="Segoe UI Semibold" w:hAnsi="Segoe UI Semibold"/>
      <w:color w:val="404040" w:themeColor="text1" w:themeTint="BF"/>
      <w:sz w:val="19"/>
      <w:lang w:val="cs-CZ" w:eastAsia="cs-CZ" w:bidi="cs-CZ"/>
    </w:rPr>
  </w:style>
  <w:style w:type="paragraph" w:customStyle="1" w:styleId="tableheading">
    <w:name w:val="table heading"/>
    <w:basedOn w:val="BodyText"/>
    <w:next w:val="Hdg1noborder"/>
    <w:link w:val="tableheadingChar"/>
    <w:uiPriority w:val="11"/>
    <w:qFormat/>
    <w:rsid w:val="00DF2E7F"/>
    <w:pPr>
      <w:spacing w:before="120"/>
    </w:pPr>
    <w:rPr>
      <w:color w:val="68217A"/>
      <w:sz w:val="40"/>
    </w:rPr>
  </w:style>
  <w:style w:type="paragraph" w:customStyle="1" w:styleId="newheading2shurley">
    <w:name w:val="new heading 2 shurley"/>
    <w:basedOn w:val="Heading2"/>
    <w:link w:val="newheading2shurleyChar"/>
    <w:uiPriority w:val="11"/>
    <w:qFormat/>
    <w:rsid w:val="00DF2E7F"/>
    <w:rPr>
      <w:b w:val="0"/>
      <w:sz w:val="28"/>
    </w:rPr>
  </w:style>
  <w:style w:type="character" w:customStyle="1" w:styleId="tableheadingChar">
    <w:name w:val="table heading Char"/>
    <w:basedOn w:val="BodyTextChar"/>
    <w:link w:val="tableheading"/>
    <w:uiPriority w:val="11"/>
    <w:rsid w:val="00DF2E7F"/>
    <w:rPr>
      <w:rFonts w:ascii="Segoe UI" w:eastAsia="Times New Roman" w:hAnsi="Segoe UI" w:cs="Times New Roman"/>
      <w:color w:val="68217A"/>
      <w:sz w:val="40"/>
      <w:szCs w:val="20"/>
      <w:lang w:val="cs-CZ" w:eastAsia="cs-CZ" w:bidi="cs-CZ"/>
    </w:rPr>
  </w:style>
  <w:style w:type="paragraph" w:customStyle="1" w:styleId="Thirdheading">
    <w:name w:val="Third heading"/>
    <w:basedOn w:val="BodyText"/>
    <w:link w:val="ThirdheadingChar"/>
    <w:uiPriority w:val="11"/>
    <w:qFormat/>
    <w:rsid w:val="00DF2E7F"/>
    <w:pPr>
      <w:spacing w:before="120"/>
    </w:pPr>
    <w:rPr>
      <w:rFonts w:asciiTheme="majorHAnsi" w:hAnsiTheme="majorHAnsi" w:cstheme="majorHAnsi"/>
      <w:color w:val="68217A"/>
      <w:sz w:val="20"/>
      <w:szCs w:val="24"/>
    </w:rPr>
  </w:style>
  <w:style w:type="character" w:customStyle="1" w:styleId="newheading2shurleyChar">
    <w:name w:val="new heading 2 shurley Char"/>
    <w:basedOn w:val="Heading2Char"/>
    <w:link w:val="newheading2shurley"/>
    <w:uiPriority w:val="11"/>
    <w:rsid w:val="00DF2E7F"/>
    <w:rPr>
      <w:rFonts w:asciiTheme="majorHAnsi" w:eastAsiaTheme="majorEastAsia" w:hAnsiTheme="majorHAnsi" w:cstheme="majorBidi"/>
      <w:b w:val="0"/>
      <w:bCs/>
      <w:color w:val="FFC000" w:themeColor="accent4"/>
      <w:sz w:val="28"/>
      <w:szCs w:val="18"/>
      <w:lang w:val="cs-CZ" w:eastAsia="cs-CZ" w:bidi="cs-CZ"/>
    </w:rPr>
  </w:style>
  <w:style w:type="character" w:customStyle="1" w:styleId="ThirdheadingChar">
    <w:name w:val="Third heading Char"/>
    <w:basedOn w:val="BodyTextChar"/>
    <w:link w:val="Thirdheading"/>
    <w:uiPriority w:val="11"/>
    <w:rsid w:val="00DF2E7F"/>
    <w:rPr>
      <w:rFonts w:asciiTheme="majorHAnsi" w:eastAsia="Times New Roman" w:hAnsiTheme="majorHAnsi" w:cstheme="majorHAnsi"/>
      <w:color w:val="68217A"/>
      <w:sz w:val="20"/>
      <w:szCs w:val="24"/>
      <w:lang w:val="cs-CZ" w:eastAsia="cs-CZ" w:bidi="cs-CZ"/>
    </w:rPr>
  </w:style>
  <w:style w:type="paragraph" w:customStyle="1" w:styleId="ProductList-Body">
    <w:name w:val="Product List - Body"/>
    <w:basedOn w:val="Normal"/>
    <w:link w:val="ProductList-BodyChar"/>
    <w:qFormat/>
    <w:rsid w:val="00DF2E7F"/>
    <w:pPr>
      <w:tabs>
        <w:tab w:val="left" w:pos="158"/>
      </w:tabs>
      <w:spacing w:line="240" w:lineRule="auto"/>
    </w:pPr>
    <w:rPr>
      <w:rFonts w:asciiTheme="minorHAnsi" w:hAnsiTheme="minorHAnsi"/>
    </w:rPr>
  </w:style>
  <w:style w:type="character" w:customStyle="1" w:styleId="ProductList-BodyChar">
    <w:name w:val="Product List - Body Char"/>
    <w:basedOn w:val="DefaultParagraphFont"/>
    <w:link w:val="ProductList-Body"/>
    <w:rsid w:val="00DF2E7F"/>
    <w:rPr>
      <w:sz w:val="18"/>
      <w:lang w:val="cs-CZ" w:eastAsia="cs-CZ" w:bidi="cs-CZ"/>
    </w:rPr>
  </w:style>
  <w:style w:type="paragraph" w:customStyle="1" w:styleId="ProductList-Offering1Heading">
    <w:name w:val="Product List - Offering 1 Heading"/>
    <w:basedOn w:val="ProductList-Body"/>
    <w:next w:val="ProductList-Body"/>
    <w:link w:val="ProductList-Offering1HeadingChar"/>
    <w:qFormat/>
    <w:rsid w:val="00DF2E7F"/>
    <w:pPr>
      <w:pBdr>
        <w:bottom w:val="single" w:sz="4" w:space="1" w:color="BFBFBF" w:themeColor="background1" w:themeShade="BF"/>
      </w:pBdr>
      <w:tabs>
        <w:tab w:val="left" w:pos="187"/>
      </w:tabs>
      <w:spacing w:before="60" w:after="6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DF2E7F"/>
    <w:rPr>
      <w:rFonts w:asciiTheme="majorHAnsi" w:hAnsiTheme="majorHAnsi"/>
      <w:b/>
      <w:sz w:val="28"/>
      <w:lang w:val="cs-CZ" w:eastAsia="cs-CZ" w:bidi="cs-CZ"/>
    </w:rPr>
  </w:style>
  <w:style w:type="paragraph" w:customStyle="1" w:styleId="ProductList-SubSubSectionHeading">
    <w:name w:val="Product List - SubSubSection Heading"/>
    <w:basedOn w:val="ProductList-Body"/>
    <w:link w:val="ProductList-SubSubSectionHeadingChar"/>
    <w:qFormat/>
    <w:rsid w:val="00DF2E7F"/>
  </w:style>
  <w:style w:type="character" w:customStyle="1" w:styleId="ProductList-SubSubSectionHeadingChar">
    <w:name w:val="Product List - SubSubSection Heading Char"/>
    <w:basedOn w:val="ProductList-BodyChar"/>
    <w:link w:val="ProductList-SubSubSectionHeading"/>
    <w:rsid w:val="00DF2E7F"/>
    <w:rPr>
      <w:sz w:val="18"/>
      <w:lang w:val="cs-CZ" w:eastAsia="cs-CZ" w:bidi="cs-CZ"/>
    </w:rPr>
  </w:style>
  <w:style w:type="paragraph" w:styleId="TOC5">
    <w:name w:val="toc 5"/>
    <w:basedOn w:val="Normal"/>
    <w:next w:val="Normal"/>
    <w:autoRedefine/>
    <w:uiPriority w:val="39"/>
    <w:semiHidden/>
    <w:unhideWhenUsed/>
    <w:rsid w:val="00DF2E7F"/>
    <w:pPr>
      <w:spacing w:after="100"/>
      <w:ind w:left="720"/>
    </w:pPr>
  </w:style>
  <w:style w:type="table" w:customStyle="1" w:styleId="PlainTable11">
    <w:name w:val="Plain Table 11"/>
    <w:basedOn w:val="TableNormal"/>
    <w:uiPriority w:val="41"/>
    <w:rsid w:val="00DF2E7F"/>
    <w:pPr>
      <w:spacing w:after="0" w:line="240" w:lineRule="auto"/>
    </w:pPr>
    <w:rPr>
      <w:rFonts w:ascii="Arial" w:hAnsi="Arial"/>
      <w:lang w:val="cs-CZ" w:eastAsia="cs-CZ" w:bidi="cs-CZ"/>
    </w:r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character" w:customStyle="1" w:styleId="LogoportMarkup">
    <w:name w:val="LogoportMarkup"/>
    <w:basedOn w:val="DefaultParagraphFont"/>
    <w:rsid w:val="00DF2E7F"/>
    <w:rPr>
      <w:rFonts w:ascii="Courier New" w:hAnsi="Courier New" w:cs="Courier New"/>
      <w:b w:val="0"/>
      <w:i w:val="0"/>
      <w:color w:val="FF0000"/>
      <w:sz w:val="18"/>
    </w:rPr>
  </w:style>
  <w:style w:type="character" w:customStyle="1" w:styleId="LogoportDoNotTranslate">
    <w:name w:val="LogoportDoNotTranslate"/>
    <w:basedOn w:val="DefaultParagraphFont"/>
    <w:rsid w:val="00DF2E7F"/>
    <w:rPr>
      <w:rFonts w:ascii="Courier New" w:hAnsi="Courier New" w:cs="Courier New"/>
      <w:b w:val="0"/>
      <w:i w:val="0"/>
      <w:color w:val="808080"/>
      <w:sz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hyperlink" Target="http://pinpoint.microsoft.com" TargetMode="External"/><Relationship Id="rId18" Type="http://schemas.openxmlformats.org/officeDocument/2006/relationships/hyperlink" Target="https://licensing.microsoft.com/customer" TargetMode="External"/><Relationship Id="rId26" Type="http://schemas.openxmlformats.org/officeDocument/2006/relationships/hyperlink" Target="http://www.microsoft.com/licensing/software-assurance/by-benefits.aspx" TargetMode="External"/><Relationship Id="rId3" Type="http://schemas.openxmlformats.org/officeDocument/2006/relationships/settings" Target="settings.xml"/><Relationship Id="rId21" Type="http://schemas.openxmlformats.org/officeDocument/2006/relationships/hyperlink" Target="http://directory.partners.extranet.microsoft.com/psbproviders" TargetMode="External"/><Relationship Id="rId34" Type="http://schemas.openxmlformats.org/officeDocument/2006/relationships/fontTable" Target="fontTable.xml"/><Relationship Id="rId7" Type="http://schemas.openxmlformats.org/officeDocument/2006/relationships/image" Target="media/image1.png"/><Relationship Id="rId12" Type="http://schemas.openxmlformats.org/officeDocument/2006/relationships/hyperlink" Target="http://www.microsoft.com/licensing/contracts" TargetMode="External"/><Relationship Id="rId17" Type="http://schemas.openxmlformats.org/officeDocument/2006/relationships/hyperlink" Target="http://www.microsoft.com/licensing/contracts" TargetMode="External"/><Relationship Id="rId25" Type="http://schemas.openxmlformats.org/officeDocument/2006/relationships/hyperlink" Target="http://www.microsoft.com/en-us/sharedsource/enterprise-source-licensing-program.aspx" TargetMode="External"/><Relationship Id="rId33" Type="http://schemas.openxmlformats.org/officeDocument/2006/relationships/footer" Target="footer3.xml"/><Relationship Id="rId2" Type="http://schemas.openxmlformats.org/officeDocument/2006/relationships/styles" Target="styles.xml"/><Relationship Id="rId16" Type="http://schemas.openxmlformats.org/officeDocument/2006/relationships/hyperlink" Target="https://licensing.microsoft.com/customer/" TargetMode="External"/><Relationship Id="rId20" Type="http://schemas.openxmlformats.org/officeDocument/2006/relationships/hyperlink" Target="http://directory.partners.extranet.microsoft.com/psbproviders" TargetMode="External"/><Relationship Id="rId29" Type="http://schemas.openxmlformats.org/officeDocument/2006/relationships/hyperlink" Target="http://www.microsoft.com/licensing/contracts" TargetMode="Externa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www.microsoft.com/licensing/mpsa/" TargetMode="External"/><Relationship Id="rId24" Type="http://schemas.openxmlformats.org/officeDocument/2006/relationships/hyperlink" Target="http://www.microsoft.com/licensing" TargetMode="External"/><Relationship Id="rId32" Type="http://schemas.openxmlformats.org/officeDocument/2006/relationships/header" Target="header4.xml"/><Relationship Id="rId5" Type="http://schemas.openxmlformats.org/officeDocument/2006/relationships/footnotes" Target="footnotes.xml"/><Relationship Id="rId15" Type="http://schemas.openxmlformats.org/officeDocument/2006/relationships/hyperlink" Target="http://www.microsoft.com/licensing/contracts" TargetMode="External"/><Relationship Id="rId23" Type="http://schemas.openxmlformats.org/officeDocument/2006/relationships/hyperlink" Target="http://support.microsoft.com/gp/saphone" TargetMode="External"/><Relationship Id="rId28" Type="http://schemas.openxmlformats.org/officeDocument/2006/relationships/hyperlink" Target="http://www.microsoft.com/licensing/software-assurance/by-benefits.aspx" TargetMode="External"/><Relationship Id="rId10" Type="http://schemas.openxmlformats.org/officeDocument/2006/relationships/header" Target="header2.xml"/><Relationship Id="rId19" Type="http://schemas.openxmlformats.org/officeDocument/2006/relationships/hyperlink" Target="http://www.microsoft.com/licensing/software-assurance/planning-services-overview.aspx" TargetMode="External"/><Relationship Id="rId31"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hyperlink" Target="http://www.microsoftvolumelicensing.com/contracts" TargetMode="External"/><Relationship Id="rId22" Type="http://schemas.openxmlformats.org/officeDocument/2006/relationships/hyperlink" Target="http://www.microsoft.com/learning/sa/training.mspx" TargetMode="External"/><Relationship Id="rId27" Type="http://schemas.openxmlformats.org/officeDocument/2006/relationships/hyperlink" Target="http://www.microsoft.com/licensing/software-assurance/license-mobility.aspx" TargetMode="External"/><Relationship Id="rId30" Type="http://schemas.openxmlformats.org/officeDocument/2006/relationships/header" Target="header3.xml"/><Relationship Id="rId35"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18</Pages>
  <Words>9319</Words>
  <Characters>53121</Characters>
  <Application>Microsoft Office Word</Application>
  <DocSecurity>0</DocSecurity>
  <Lines>442</Lines>
  <Paragraphs>124</Paragraphs>
  <ScaleCrop>false</ScaleCrop>
  <Company/>
  <LinksUpToDate>false</LinksUpToDate>
  <CharactersWithSpaces>62316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Alexandra Myles (Inviso)</dc:creator>
  <cp:keywords/>
  <dc:description/>
  <cp:lastModifiedBy>Alexandra Myles (Inviso)</cp:lastModifiedBy>
  <cp:revision>2</cp:revision>
  <dcterms:created xsi:type="dcterms:W3CDTF">2015-09-15T16:53:00Z</dcterms:created>
  <dcterms:modified xsi:type="dcterms:W3CDTF">2015-09-15T16:53:00Z</dcterms:modified>
</cp:coreProperties>
</file>