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E2458" w:rsidRPr="00483B32" w:rsidRDefault="006E2458" w:rsidP="006E2458">
      <w:pPr>
        <w:pStyle w:val="DocSubtitle"/>
      </w:pPr>
      <w:bookmarkStart w:id="0" w:name="_GoBack"/>
      <w:bookmarkEnd w:id="0"/>
      <w:r>
        <w:rPr>
          <w:noProof/>
          <w:lang w:val="en-US" w:eastAsia="en-US" w:bidi="ar-SA"/>
        </w:rPr>
        <w:drawing>
          <wp:anchor distT="0" distB="0" distL="114300" distR="114300" simplePos="0" relativeHeight="251660288" behindDoc="1" locked="0" layoutInCell="0" allowOverlap="1" wp14:anchorId="5CCE34B8" wp14:editId="6DC96343">
            <wp:simplePos x="0" y="0"/>
            <wp:positionH relativeFrom="page">
              <wp:posOffset>67945</wp:posOffset>
            </wp:positionH>
            <wp:positionV relativeFrom="page">
              <wp:posOffset>0</wp:posOffset>
            </wp:positionV>
            <wp:extent cx="7771130" cy="10056495"/>
            <wp:effectExtent l="0" t="0" r="1270" b="1905"/>
            <wp:wrapNone/>
            <wp:docPr id="1"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7"/>
                    <a:stretch>
                      <a:fillRect/>
                    </a:stretch>
                  </pic:blipFill>
                  <pic:spPr>
                    <a:xfrm>
                      <a:off x="0" y="0"/>
                      <a:ext cx="7771130" cy="10056495"/>
                    </a:xfrm>
                    <a:prstGeom prst="rect">
                      <a:avLst/>
                    </a:prstGeom>
                  </pic:spPr>
                </pic:pic>
              </a:graphicData>
            </a:graphic>
          </wp:anchor>
        </w:drawing>
      </w:r>
      <w:r>
        <w:t>Licence en Volume Microsoft</w:t>
      </w:r>
    </w:p>
    <w:p w:rsidR="006E2458" w:rsidRPr="00483B32" w:rsidRDefault="006E2458" w:rsidP="006E2458">
      <w:pPr>
        <w:pStyle w:val="DocTitle"/>
      </w:pPr>
      <w:r>
        <w:t>Manuel des Licences MPSA</w:t>
      </w:r>
    </w:p>
    <w:p w:rsidR="006E2458" w:rsidRPr="00483B32" w:rsidRDefault="006E2458" w:rsidP="006E2458">
      <w:pPr>
        <w:pStyle w:val="DocTitle"/>
      </w:pPr>
    </w:p>
    <w:p w:rsidR="006E2458" w:rsidRPr="00483B32" w:rsidRDefault="006E2458" w:rsidP="006E2458">
      <w:pPr>
        <w:pStyle w:val="DocTitle"/>
      </w:pPr>
      <w:r>
        <w:t>Août 2015</w:t>
      </w:r>
    </w:p>
    <w:p w:rsidR="006E2458" w:rsidRPr="00483B32" w:rsidRDefault="006E2458" w:rsidP="006E2458"/>
    <w:p w:rsidR="006E2458" w:rsidRPr="00483B32" w:rsidRDefault="006E2458" w:rsidP="006E2458"/>
    <w:p w:rsidR="006E2458" w:rsidRPr="00483B32" w:rsidRDefault="006E2458" w:rsidP="006E2458">
      <w:r>
        <w:rPr>
          <w:noProof/>
          <w:lang w:val="en-US" w:eastAsia="en-US" w:bidi="ar-SA"/>
        </w:rPr>
        <w:drawing>
          <wp:anchor distT="0" distB="0" distL="114300" distR="114300" simplePos="0" relativeHeight="251659264" behindDoc="1" locked="1" layoutInCell="0" allowOverlap="1" wp14:anchorId="61F1FB2C" wp14:editId="1B3DAE50">
            <wp:simplePos x="0" y="0"/>
            <wp:positionH relativeFrom="page">
              <wp:posOffset>5080</wp:posOffset>
            </wp:positionH>
            <wp:positionV relativeFrom="page">
              <wp:posOffset>0</wp:posOffset>
            </wp:positionV>
            <wp:extent cx="7771130" cy="10056495"/>
            <wp:effectExtent l="19050" t="0" r="1270" b="0"/>
            <wp:wrapNone/>
            <wp:docPr id="26"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7"/>
                    <a:stretch>
                      <a:fillRect/>
                    </a:stretch>
                  </pic:blipFill>
                  <pic:spPr>
                    <a:xfrm>
                      <a:off x="0" y="0"/>
                      <a:ext cx="7771130" cy="10056495"/>
                    </a:xfrm>
                    <a:prstGeom prst="rect">
                      <a:avLst/>
                    </a:prstGeom>
                  </pic:spPr>
                </pic:pic>
              </a:graphicData>
            </a:graphic>
          </wp:anchor>
        </w:drawing>
      </w:r>
    </w:p>
    <w:p w:rsidR="006E2458" w:rsidRPr="00483B32" w:rsidRDefault="006E2458" w:rsidP="006E2458">
      <w:pPr>
        <w:pStyle w:val="DocTitlewhite"/>
      </w:pPr>
    </w:p>
    <w:p w:rsidR="006E2458" w:rsidRPr="00483B32" w:rsidRDefault="006E2458" w:rsidP="006E2458"/>
    <w:p w:rsidR="006E2458" w:rsidRPr="00483B32" w:rsidRDefault="006E2458" w:rsidP="006E2458"/>
    <w:p w:rsidR="006E2458" w:rsidRPr="00483B32" w:rsidRDefault="006E2458" w:rsidP="006E2458"/>
    <w:p w:rsidR="006E2458" w:rsidRPr="00483B32" w:rsidRDefault="006E2458" w:rsidP="006E2458">
      <w:pPr>
        <w:pStyle w:val="DocTitle"/>
      </w:pPr>
    </w:p>
    <w:p w:rsidR="006E2458" w:rsidRPr="00483B32" w:rsidRDefault="006E2458" w:rsidP="006E2458"/>
    <w:p w:rsidR="006E2458" w:rsidRDefault="006E2458" w:rsidP="006E2458">
      <w:pPr>
        <w:pStyle w:val="BodyText"/>
        <w:sectPr w:rsidR="006E2458" w:rsidSect="00175A86">
          <w:headerReference w:type="default" r:id="rId8"/>
          <w:footerReference w:type="default" r:id="rId9"/>
          <w:headerReference w:type="first" r:id="rId10"/>
          <w:pgSz w:w="12240" w:h="15840" w:code="1"/>
          <w:pgMar w:top="1800" w:right="720" w:bottom="1440" w:left="720" w:header="720" w:footer="360" w:gutter="0"/>
          <w:cols w:space="720"/>
          <w:docGrid w:linePitch="360"/>
        </w:sectPr>
      </w:pPr>
    </w:p>
    <w:p w:rsidR="006E2458" w:rsidRPr="00483B32" w:rsidRDefault="006E2458" w:rsidP="006E2458">
      <w:pPr>
        <w:pStyle w:val="BodyText"/>
      </w:pPr>
      <w:r>
        <w:rPr>
          <w:rFonts w:ascii="Segoe UI Light" w:hAnsi="Segoe UI Light"/>
          <w:color w:val="68217A"/>
          <w:sz w:val="36"/>
        </w:rPr>
        <w:lastRenderedPageBreak/>
        <w:t>Table des matiÈres</w:t>
      </w:r>
    </w:p>
    <w:p w:rsidR="006E2458" w:rsidRDefault="006E2458" w:rsidP="006E2458">
      <w:pPr>
        <w:pStyle w:val="TOC1"/>
        <w:rPr>
          <w:rFonts w:asciiTheme="minorHAnsi" w:eastAsiaTheme="minorEastAsia" w:hAnsiTheme="minorHAnsi"/>
          <w:color w:val="auto"/>
          <w:sz w:val="22"/>
          <w:lang w:val="en-US" w:eastAsia="en-US" w:bidi="ar-SA"/>
        </w:rPr>
      </w:pPr>
      <w:r>
        <w:fldChar w:fldCharType="begin"/>
      </w:r>
      <w:r>
        <w:instrText xml:space="preserve"> TOC \o "1-2" \h \z \u </w:instrText>
      </w:r>
      <w:r>
        <w:fldChar w:fldCharType="separate"/>
      </w:r>
      <w:hyperlink w:anchor="_Toc428272521" w:history="1">
        <w:r w:rsidRPr="00FE5F20">
          <w:rPr>
            <w:rStyle w:val="Hyperlink"/>
          </w:rPr>
          <w:t>Objet du document et ressources</w:t>
        </w:r>
        <w:r>
          <w:rPr>
            <w:webHidden/>
          </w:rPr>
          <w:tab/>
        </w:r>
        <w:r>
          <w:rPr>
            <w:webHidden/>
          </w:rPr>
          <w:fldChar w:fldCharType="begin"/>
        </w:r>
        <w:r>
          <w:rPr>
            <w:webHidden/>
          </w:rPr>
          <w:instrText xml:space="preserve"> PAGEREF _Toc428272521 \h </w:instrText>
        </w:r>
        <w:r>
          <w:rPr>
            <w:webHidden/>
          </w:rPr>
        </w:r>
        <w:r>
          <w:rPr>
            <w:webHidden/>
          </w:rPr>
          <w:fldChar w:fldCharType="separate"/>
        </w:r>
        <w:r>
          <w:rPr>
            <w:webHidden/>
          </w:rPr>
          <w:t>2</w:t>
        </w:r>
        <w:r>
          <w:rPr>
            <w:webHidden/>
          </w:rPr>
          <w:fldChar w:fldCharType="end"/>
        </w:r>
      </w:hyperlink>
    </w:p>
    <w:p w:rsidR="006E2458" w:rsidRDefault="006E2458" w:rsidP="006E2458">
      <w:pPr>
        <w:pStyle w:val="TOC1"/>
        <w:rPr>
          <w:rFonts w:asciiTheme="minorHAnsi" w:eastAsiaTheme="minorEastAsia" w:hAnsiTheme="minorHAnsi"/>
          <w:color w:val="auto"/>
          <w:sz w:val="22"/>
          <w:lang w:val="en-US" w:eastAsia="en-US" w:bidi="ar-SA"/>
        </w:rPr>
      </w:pPr>
      <w:hyperlink w:anchor="_Toc428272522" w:history="1">
        <w:r w:rsidRPr="00FE5F20">
          <w:rPr>
            <w:rStyle w:val="Hyperlink"/>
          </w:rPr>
          <w:t>Section 1</w:t>
        </w:r>
        <w:r>
          <w:rPr>
            <w:webHidden/>
          </w:rPr>
          <w:tab/>
        </w:r>
        <w:r>
          <w:rPr>
            <w:webHidden/>
          </w:rPr>
          <w:fldChar w:fldCharType="begin"/>
        </w:r>
        <w:r>
          <w:rPr>
            <w:webHidden/>
          </w:rPr>
          <w:instrText xml:space="preserve"> PAGEREF _Toc428272522 \h </w:instrText>
        </w:r>
        <w:r>
          <w:rPr>
            <w:webHidden/>
          </w:rPr>
        </w:r>
        <w:r>
          <w:rPr>
            <w:webHidden/>
          </w:rPr>
          <w:fldChar w:fldCharType="separate"/>
        </w:r>
        <w:r>
          <w:rPr>
            <w:webHidden/>
          </w:rPr>
          <w:t>3</w:t>
        </w:r>
        <w:r>
          <w:rPr>
            <w:webHidden/>
          </w:rPr>
          <w:fldChar w:fldCharType="end"/>
        </w:r>
      </w:hyperlink>
    </w:p>
    <w:p w:rsidR="006E2458" w:rsidRDefault="006E2458" w:rsidP="006E2458">
      <w:pPr>
        <w:pStyle w:val="TOC1"/>
        <w:rPr>
          <w:rFonts w:asciiTheme="minorHAnsi" w:eastAsiaTheme="minorEastAsia" w:hAnsiTheme="minorHAnsi"/>
          <w:color w:val="auto"/>
          <w:sz w:val="22"/>
          <w:lang w:val="en-US" w:eastAsia="en-US" w:bidi="ar-SA"/>
        </w:rPr>
      </w:pPr>
      <w:hyperlink w:anchor="_Toc428272523" w:history="1">
        <w:r w:rsidRPr="00FE5F20">
          <w:rPr>
            <w:rStyle w:val="Hyperlink"/>
            <w:rFonts w:asciiTheme="majorHAnsi" w:eastAsiaTheme="majorEastAsia" w:hAnsiTheme="majorHAnsi" w:cstheme="majorBidi"/>
            <w:bCs/>
          </w:rPr>
          <w:t>Principes du Contrat de Fourniture de Produits et de Services Microsoft (MPSA)</w:t>
        </w:r>
        <w:r>
          <w:rPr>
            <w:webHidden/>
          </w:rPr>
          <w:tab/>
        </w:r>
        <w:r>
          <w:rPr>
            <w:webHidden/>
          </w:rPr>
          <w:fldChar w:fldCharType="begin"/>
        </w:r>
        <w:r>
          <w:rPr>
            <w:webHidden/>
          </w:rPr>
          <w:instrText xml:space="preserve"> PAGEREF _Toc428272523 \h </w:instrText>
        </w:r>
        <w:r>
          <w:rPr>
            <w:webHidden/>
          </w:rPr>
        </w:r>
        <w:r>
          <w:rPr>
            <w:webHidden/>
          </w:rPr>
          <w:fldChar w:fldCharType="separate"/>
        </w:r>
        <w:r>
          <w:rPr>
            <w:webHidden/>
          </w:rPr>
          <w:t>3</w:t>
        </w:r>
        <w:r>
          <w:rPr>
            <w:webHidden/>
          </w:rPr>
          <w:fldChar w:fldCharType="end"/>
        </w:r>
      </w:hyperlink>
    </w:p>
    <w:p w:rsidR="006E2458" w:rsidRDefault="006E2458" w:rsidP="006E2458">
      <w:pPr>
        <w:pStyle w:val="TOC1"/>
        <w:rPr>
          <w:rFonts w:asciiTheme="minorHAnsi" w:eastAsiaTheme="minorEastAsia" w:hAnsiTheme="minorHAnsi"/>
          <w:color w:val="auto"/>
          <w:sz w:val="22"/>
          <w:lang w:val="en-US" w:eastAsia="en-US" w:bidi="ar-SA"/>
        </w:rPr>
      </w:pPr>
      <w:hyperlink w:anchor="_Toc428272524" w:history="1">
        <w:r w:rsidRPr="00FE5F20">
          <w:rPr>
            <w:rStyle w:val="Hyperlink"/>
            <w:rFonts w:asciiTheme="majorHAnsi" w:eastAsiaTheme="majorEastAsia" w:hAnsiTheme="majorHAnsi" w:cstheme="majorBidi"/>
            <w:bCs/>
          </w:rPr>
          <w:t>Structure du contrat</w:t>
        </w:r>
        <w:r>
          <w:rPr>
            <w:webHidden/>
          </w:rPr>
          <w:tab/>
        </w:r>
        <w:r>
          <w:rPr>
            <w:webHidden/>
          </w:rPr>
          <w:fldChar w:fldCharType="begin"/>
        </w:r>
        <w:r>
          <w:rPr>
            <w:webHidden/>
          </w:rPr>
          <w:instrText xml:space="preserve"> PAGEREF _Toc428272524 \h </w:instrText>
        </w:r>
        <w:r>
          <w:rPr>
            <w:webHidden/>
          </w:rPr>
        </w:r>
        <w:r>
          <w:rPr>
            <w:webHidden/>
          </w:rPr>
          <w:fldChar w:fldCharType="separate"/>
        </w:r>
        <w:r>
          <w:rPr>
            <w:webHidden/>
          </w:rPr>
          <w:t>4</w:t>
        </w:r>
        <w:r>
          <w:rPr>
            <w:webHidden/>
          </w:rPr>
          <w:fldChar w:fldCharType="end"/>
        </w:r>
      </w:hyperlink>
    </w:p>
    <w:p w:rsidR="006E2458" w:rsidRDefault="006E2458" w:rsidP="006E2458">
      <w:pPr>
        <w:pStyle w:val="TOC1"/>
        <w:rPr>
          <w:rFonts w:asciiTheme="minorHAnsi" w:eastAsiaTheme="minorEastAsia" w:hAnsiTheme="minorHAnsi"/>
          <w:color w:val="auto"/>
          <w:sz w:val="22"/>
          <w:lang w:val="en-US" w:eastAsia="en-US" w:bidi="ar-SA"/>
        </w:rPr>
      </w:pPr>
      <w:hyperlink w:anchor="_Toc428272525" w:history="1">
        <w:r w:rsidRPr="00FE5F20">
          <w:rPr>
            <w:rStyle w:val="Hyperlink"/>
            <w:rFonts w:asciiTheme="majorHAnsi" w:eastAsiaTheme="majorEastAsia" w:hAnsiTheme="majorHAnsi" w:cstheme="majorBidi"/>
            <w:bCs/>
          </w:rPr>
          <w:t>Achats transactionnels</w:t>
        </w:r>
        <w:r>
          <w:rPr>
            <w:webHidden/>
          </w:rPr>
          <w:tab/>
        </w:r>
        <w:r>
          <w:rPr>
            <w:webHidden/>
          </w:rPr>
          <w:fldChar w:fldCharType="begin"/>
        </w:r>
        <w:r>
          <w:rPr>
            <w:webHidden/>
          </w:rPr>
          <w:instrText xml:space="preserve"> PAGEREF _Toc428272525 \h </w:instrText>
        </w:r>
        <w:r>
          <w:rPr>
            <w:webHidden/>
          </w:rPr>
        </w:r>
        <w:r>
          <w:rPr>
            <w:webHidden/>
          </w:rPr>
          <w:fldChar w:fldCharType="separate"/>
        </w:r>
        <w:r>
          <w:rPr>
            <w:webHidden/>
          </w:rPr>
          <w:t>4</w:t>
        </w:r>
        <w:r>
          <w:rPr>
            <w:webHidden/>
          </w:rPr>
          <w:fldChar w:fldCharType="end"/>
        </w:r>
      </w:hyperlink>
    </w:p>
    <w:p w:rsidR="006E2458" w:rsidRDefault="006E2458" w:rsidP="006E2458">
      <w:pPr>
        <w:pStyle w:val="TOC1"/>
        <w:rPr>
          <w:rFonts w:asciiTheme="minorHAnsi" w:eastAsiaTheme="minorEastAsia" w:hAnsiTheme="minorHAnsi"/>
          <w:color w:val="auto"/>
          <w:sz w:val="22"/>
          <w:lang w:val="en-US" w:eastAsia="en-US" w:bidi="ar-SA"/>
        </w:rPr>
      </w:pPr>
      <w:hyperlink w:anchor="_Toc428272526" w:history="1">
        <w:r w:rsidRPr="00FE5F20">
          <w:rPr>
            <w:rStyle w:val="Hyperlink"/>
          </w:rPr>
          <w:t>Section 2</w:t>
        </w:r>
        <w:r>
          <w:rPr>
            <w:webHidden/>
          </w:rPr>
          <w:tab/>
        </w:r>
        <w:r>
          <w:rPr>
            <w:webHidden/>
          </w:rPr>
          <w:fldChar w:fldCharType="begin"/>
        </w:r>
        <w:r>
          <w:rPr>
            <w:webHidden/>
          </w:rPr>
          <w:instrText xml:space="preserve"> PAGEREF _Toc428272526 \h </w:instrText>
        </w:r>
        <w:r>
          <w:rPr>
            <w:webHidden/>
          </w:rPr>
        </w:r>
        <w:r>
          <w:rPr>
            <w:webHidden/>
          </w:rPr>
          <w:fldChar w:fldCharType="separate"/>
        </w:r>
        <w:r>
          <w:rPr>
            <w:webHidden/>
          </w:rPr>
          <w:t>6</w:t>
        </w:r>
        <w:r>
          <w:rPr>
            <w:webHidden/>
          </w:rPr>
          <w:fldChar w:fldCharType="end"/>
        </w:r>
      </w:hyperlink>
    </w:p>
    <w:p w:rsidR="006E2458" w:rsidRDefault="006E2458" w:rsidP="006E2458">
      <w:pPr>
        <w:pStyle w:val="TOC1"/>
        <w:rPr>
          <w:rFonts w:asciiTheme="minorHAnsi" w:eastAsiaTheme="minorEastAsia" w:hAnsiTheme="minorHAnsi"/>
          <w:color w:val="auto"/>
          <w:sz w:val="22"/>
          <w:lang w:val="en-US" w:eastAsia="en-US" w:bidi="ar-SA"/>
        </w:rPr>
      </w:pPr>
      <w:hyperlink w:anchor="_Toc428272527" w:history="1">
        <w:r w:rsidRPr="00FE5F20">
          <w:rPr>
            <w:rStyle w:val="Hyperlink"/>
            <w:rFonts w:asciiTheme="majorHAnsi" w:eastAsiaTheme="majorEastAsia" w:hAnsiTheme="majorHAnsi" w:cstheme="majorBidi"/>
            <w:bCs/>
          </w:rPr>
          <w:t>Avantages des Services en Ligne</w:t>
        </w:r>
        <w:r>
          <w:rPr>
            <w:webHidden/>
          </w:rPr>
          <w:tab/>
        </w:r>
        <w:r>
          <w:rPr>
            <w:webHidden/>
          </w:rPr>
          <w:fldChar w:fldCharType="begin"/>
        </w:r>
        <w:r>
          <w:rPr>
            <w:webHidden/>
          </w:rPr>
          <w:instrText xml:space="preserve"> PAGEREF _Toc428272527 \h </w:instrText>
        </w:r>
        <w:r>
          <w:rPr>
            <w:webHidden/>
          </w:rPr>
        </w:r>
        <w:r>
          <w:rPr>
            <w:webHidden/>
          </w:rPr>
          <w:fldChar w:fldCharType="separate"/>
        </w:r>
        <w:r>
          <w:rPr>
            <w:webHidden/>
          </w:rPr>
          <w:t>6</w:t>
        </w:r>
        <w:r>
          <w:rPr>
            <w:webHidden/>
          </w:rPr>
          <w:fldChar w:fldCharType="end"/>
        </w:r>
      </w:hyperlink>
    </w:p>
    <w:p w:rsidR="006E2458" w:rsidRDefault="006E2458" w:rsidP="006E2458">
      <w:pPr>
        <w:pStyle w:val="TOC1"/>
        <w:rPr>
          <w:rFonts w:asciiTheme="minorHAnsi" w:eastAsiaTheme="minorEastAsia" w:hAnsiTheme="minorHAnsi"/>
          <w:color w:val="auto"/>
          <w:sz w:val="22"/>
          <w:lang w:val="en-US" w:eastAsia="en-US" w:bidi="ar-SA"/>
        </w:rPr>
      </w:pPr>
      <w:hyperlink w:anchor="_Toc428272528" w:history="1">
        <w:r w:rsidRPr="00FE5F20">
          <w:rPr>
            <w:rStyle w:val="Hyperlink"/>
            <w:rFonts w:asciiTheme="majorHAnsi" w:eastAsiaTheme="majorEastAsia" w:hAnsiTheme="majorHAnsi" w:cstheme="majorBidi"/>
            <w:bCs/>
          </w:rPr>
          <w:t>Software Assurance et avantages</w:t>
        </w:r>
        <w:r>
          <w:rPr>
            <w:webHidden/>
          </w:rPr>
          <w:tab/>
        </w:r>
        <w:r>
          <w:rPr>
            <w:webHidden/>
          </w:rPr>
          <w:fldChar w:fldCharType="begin"/>
        </w:r>
        <w:r>
          <w:rPr>
            <w:webHidden/>
          </w:rPr>
          <w:instrText xml:space="preserve"> PAGEREF _Toc428272528 \h </w:instrText>
        </w:r>
        <w:r>
          <w:rPr>
            <w:webHidden/>
          </w:rPr>
        </w:r>
        <w:r>
          <w:rPr>
            <w:webHidden/>
          </w:rPr>
          <w:fldChar w:fldCharType="separate"/>
        </w:r>
        <w:r>
          <w:rPr>
            <w:webHidden/>
          </w:rPr>
          <w:t>6</w:t>
        </w:r>
        <w:r>
          <w:rPr>
            <w:webHidden/>
          </w:rPr>
          <w:fldChar w:fldCharType="end"/>
        </w:r>
      </w:hyperlink>
    </w:p>
    <w:p w:rsidR="006E2458" w:rsidRDefault="006E2458" w:rsidP="006E2458">
      <w:pPr>
        <w:pStyle w:val="TOC1"/>
        <w:rPr>
          <w:rFonts w:asciiTheme="minorHAnsi" w:eastAsiaTheme="minorEastAsia" w:hAnsiTheme="minorHAnsi"/>
          <w:color w:val="auto"/>
          <w:sz w:val="22"/>
          <w:lang w:val="en-US" w:eastAsia="en-US" w:bidi="ar-SA"/>
        </w:rPr>
      </w:pPr>
      <w:hyperlink w:anchor="_Toc428272529" w:history="1">
        <w:r w:rsidRPr="00FE5F20">
          <w:rPr>
            <w:rStyle w:val="Hyperlink"/>
            <w:rFonts w:asciiTheme="majorHAnsi" w:eastAsiaTheme="majorEastAsia" w:hAnsiTheme="majorHAnsi" w:cstheme="majorBidi"/>
            <w:bCs/>
          </w:rPr>
          <w:t>Disponibilité des Avantages de la Software Assurance au titre du MPSA</w:t>
        </w:r>
        <w:r>
          <w:rPr>
            <w:webHidden/>
          </w:rPr>
          <w:tab/>
        </w:r>
        <w:r>
          <w:rPr>
            <w:webHidden/>
          </w:rPr>
          <w:fldChar w:fldCharType="begin"/>
        </w:r>
        <w:r>
          <w:rPr>
            <w:webHidden/>
          </w:rPr>
          <w:instrText xml:space="preserve"> PAGEREF _Toc428272529 \h </w:instrText>
        </w:r>
        <w:r>
          <w:rPr>
            <w:webHidden/>
          </w:rPr>
        </w:r>
        <w:r>
          <w:rPr>
            <w:webHidden/>
          </w:rPr>
          <w:fldChar w:fldCharType="separate"/>
        </w:r>
        <w:r>
          <w:rPr>
            <w:webHidden/>
          </w:rPr>
          <w:t>7</w:t>
        </w:r>
        <w:r>
          <w:rPr>
            <w:webHidden/>
          </w:rPr>
          <w:fldChar w:fldCharType="end"/>
        </w:r>
      </w:hyperlink>
    </w:p>
    <w:p w:rsidR="006E2458" w:rsidRDefault="006E2458" w:rsidP="006E2458">
      <w:pPr>
        <w:pStyle w:val="TOC1"/>
        <w:rPr>
          <w:rFonts w:asciiTheme="minorHAnsi" w:eastAsiaTheme="minorEastAsia" w:hAnsiTheme="minorHAnsi"/>
          <w:color w:val="auto"/>
          <w:sz w:val="22"/>
          <w:lang w:val="en-US" w:eastAsia="en-US" w:bidi="ar-SA"/>
        </w:rPr>
      </w:pPr>
      <w:hyperlink w:anchor="_Toc428272530" w:history="1">
        <w:r w:rsidRPr="00FE5F20">
          <w:rPr>
            <w:rStyle w:val="Hyperlink"/>
            <w:rFonts w:asciiTheme="majorHAnsi" w:eastAsiaTheme="majorEastAsia" w:hAnsiTheme="majorHAnsi" w:cstheme="majorBidi"/>
            <w:bCs/>
          </w:rPr>
          <w:t>Avantages du Cumul des Points</w:t>
        </w:r>
        <w:r>
          <w:rPr>
            <w:webHidden/>
          </w:rPr>
          <w:tab/>
        </w:r>
        <w:r>
          <w:rPr>
            <w:webHidden/>
          </w:rPr>
          <w:fldChar w:fldCharType="begin"/>
        </w:r>
        <w:r>
          <w:rPr>
            <w:webHidden/>
          </w:rPr>
          <w:instrText xml:space="preserve"> PAGEREF _Toc428272530 \h </w:instrText>
        </w:r>
        <w:r>
          <w:rPr>
            <w:webHidden/>
          </w:rPr>
        </w:r>
        <w:r>
          <w:rPr>
            <w:webHidden/>
          </w:rPr>
          <w:fldChar w:fldCharType="separate"/>
        </w:r>
        <w:r>
          <w:rPr>
            <w:webHidden/>
          </w:rPr>
          <w:t>8</w:t>
        </w:r>
        <w:r>
          <w:rPr>
            <w:webHidden/>
          </w:rPr>
          <w:fldChar w:fldCharType="end"/>
        </w:r>
      </w:hyperlink>
    </w:p>
    <w:p w:rsidR="006E2458" w:rsidRDefault="006E2458" w:rsidP="006E2458">
      <w:pPr>
        <w:pStyle w:val="TOC2"/>
        <w:rPr>
          <w:rFonts w:asciiTheme="minorHAnsi" w:eastAsiaTheme="minorEastAsia" w:hAnsiTheme="minorHAnsi" w:cstheme="minorBidi"/>
          <w:color w:val="auto"/>
          <w:sz w:val="22"/>
          <w:szCs w:val="22"/>
          <w:lang w:val="en-US" w:eastAsia="en-US" w:bidi="ar-SA"/>
        </w:rPr>
      </w:pPr>
      <w:hyperlink w:anchor="_Toc428272531" w:history="1">
        <w:r w:rsidRPr="00FE5F20">
          <w:rPr>
            <w:rStyle w:val="Hyperlink"/>
          </w:rPr>
          <w:t>Services de Planification</w:t>
        </w:r>
        <w:r>
          <w:rPr>
            <w:webHidden/>
          </w:rPr>
          <w:tab/>
        </w:r>
        <w:r>
          <w:rPr>
            <w:webHidden/>
          </w:rPr>
          <w:fldChar w:fldCharType="begin"/>
        </w:r>
        <w:r>
          <w:rPr>
            <w:webHidden/>
          </w:rPr>
          <w:instrText xml:space="preserve"> PAGEREF _Toc428272531 \h </w:instrText>
        </w:r>
        <w:r>
          <w:rPr>
            <w:webHidden/>
          </w:rPr>
        </w:r>
        <w:r>
          <w:rPr>
            <w:webHidden/>
          </w:rPr>
          <w:fldChar w:fldCharType="separate"/>
        </w:r>
        <w:r>
          <w:rPr>
            <w:webHidden/>
          </w:rPr>
          <w:t>8</w:t>
        </w:r>
        <w:r>
          <w:rPr>
            <w:webHidden/>
          </w:rPr>
          <w:fldChar w:fldCharType="end"/>
        </w:r>
      </w:hyperlink>
    </w:p>
    <w:p w:rsidR="006E2458" w:rsidRDefault="006E2458" w:rsidP="006E2458">
      <w:pPr>
        <w:pStyle w:val="TOC2"/>
        <w:rPr>
          <w:rFonts w:asciiTheme="minorHAnsi" w:eastAsiaTheme="minorEastAsia" w:hAnsiTheme="minorHAnsi" w:cstheme="minorBidi"/>
          <w:color w:val="auto"/>
          <w:sz w:val="22"/>
          <w:szCs w:val="22"/>
          <w:lang w:val="en-US" w:eastAsia="en-US" w:bidi="ar-SA"/>
        </w:rPr>
      </w:pPr>
      <w:hyperlink w:anchor="_Toc428272532" w:history="1">
        <w:r w:rsidRPr="00FE5F20">
          <w:rPr>
            <w:rStyle w:val="Hyperlink"/>
          </w:rPr>
          <w:t>Bons de Formation</w:t>
        </w:r>
        <w:r>
          <w:rPr>
            <w:webHidden/>
          </w:rPr>
          <w:tab/>
        </w:r>
        <w:r>
          <w:rPr>
            <w:webHidden/>
          </w:rPr>
          <w:fldChar w:fldCharType="begin"/>
        </w:r>
        <w:r>
          <w:rPr>
            <w:webHidden/>
          </w:rPr>
          <w:instrText xml:space="preserve"> PAGEREF _Toc428272532 \h </w:instrText>
        </w:r>
        <w:r>
          <w:rPr>
            <w:webHidden/>
          </w:rPr>
        </w:r>
        <w:r>
          <w:rPr>
            <w:webHidden/>
          </w:rPr>
          <w:fldChar w:fldCharType="separate"/>
        </w:r>
        <w:r>
          <w:rPr>
            <w:webHidden/>
          </w:rPr>
          <w:t>10</w:t>
        </w:r>
        <w:r>
          <w:rPr>
            <w:webHidden/>
          </w:rPr>
          <w:fldChar w:fldCharType="end"/>
        </w:r>
      </w:hyperlink>
    </w:p>
    <w:p w:rsidR="006E2458" w:rsidRDefault="006E2458" w:rsidP="006E2458">
      <w:pPr>
        <w:pStyle w:val="TOC2"/>
        <w:rPr>
          <w:rFonts w:asciiTheme="minorHAnsi" w:eastAsiaTheme="minorEastAsia" w:hAnsiTheme="minorHAnsi" w:cstheme="minorBidi"/>
          <w:color w:val="auto"/>
          <w:sz w:val="22"/>
          <w:szCs w:val="22"/>
          <w:lang w:val="en-US" w:eastAsia="en-US" w:bidi="ar-SA"/>
        </w:rPr>
      </w:pPr>
      <w:hyperlink w:anchor="_Toc428272533" w:history="1">
        <w:r w:rsidRPr="00FE5F20">
          <w:rPr>
            <w:rStyle w:val="Hyperlink"/>
          </w:rPr>
          <w:t>Support Technique 24h/24, 7 jours/7</w:t>
        </w:r>
        <w:r>
          <w:rPr>
            <w:webHidden/>
          </w:rPr>
          <w:tab/>
        </w:r>
        <w:r>
          <w:rPr>
            <w:webHidden/>
          </w:rPr>
          <w:fldChar w:fldCharType="begin"/>
        </w:r>
        <w:r>
          <w:rPr>
            <w:webHidden/>
          </w:rPr>
          <w:instrText xml:space="preserve"> PAGEREF _Toc428272533 \h </w:instrText>
        </w:r>
        <w:r>
          <w:rPr>
            <w:webHidden/>
          </w:rPr>
        </w:r>
        <w:r>
          <w:rPr>
            <w:webHidden/>
          </w:rPr>
          <w:fldChar w:fldCharType="separate"/>
        </w:r>
        <w:r>
          <w:rPr>
            <w:webHidden/>
          </w:rPr>
          <w:t>11</w:t>
        </w:r>
        <w:r>
          <w:rPr>
            <w:webHidden/>
          </w:rPr>
          <w:fldChar w:fldCharType="end"/>
        </w:r>
      </w:hyperlink>
    </w:p>
    <w:p w:rsidR="006E2458" w:rsidRDefault="006E2458" w:rsidP="006E2458">
      <w:pPr>
        <w:pStyle w:val="TOC1"/>
        <w:rPr>
          <w:rFonts w:asciiTheme="minorHAnsi" w:eastAsiaTheme="minorEastAsia" w:hAnsiTheme="minorHAnsi"/>
          <w:color w:val="auto"/>
          <w:sz w:val="22"/>
          <w:lang w:val="en-US" w:eastAsia="en-US" w:bidi="ar-SA"/>
        </w:rPr>
      </w:pPr>
      <w:hyperlink w:anchor="_Toc428272534" w:history="1">
        <w:r w:rsidRPr="00FE5F20">
          <w:rPr>
            <w:rStyle w:val="Hyperlink"/>
            <w:rFonts w:asciiTheme="majorHAnsi" w:eastAsiaTheme="majorEastAsia" w:hAnsiTheme="majorHAnsi" w:cstheme="majorBidi"/>
            <w:bCs/>
          </w:rPr>
          <w:t>Avantages des Produits éligibles</w:t>
        </w:r>
        <w:r>
          <w:rPr>
            <w:webHidden/>
          </w:rPr>
          <w:tab/>
        </w:r>
        <w:r>
          <w:rPr>
            <w:webHidden/>
          </w:rPr>
          <w:fldChar w:fldCharType="begin"/>
        </w:r>
        <w:r>
          <w:rPr>
            <w:webHidden/>
          </w:rPr>
          <w:instrText xml:space="preserve"> PAGEREF _Toc428272534 \h </w:instrText>
        </w:r>
        <w:r>
          <w:rPr>
            <w:webHidden/>
          </w:rPr>
        </w:r>
        <w:r>
          <w:rPr>
            <w:webHidden/>
          </w:rPr>
          <w:fldChar w:fldCharType="separate"/>
        </w:r>
        <w:r>
          <w:rPr>
            <w:webHidden/>
          </w:rPr>
          <w:t>14</w:t>
        </w:r>
        <w:r>
          <w:rPr>
            <w:webHidden/>
          </w:rPr>
          <w:fldChar w:fldCharType="end"/>
        </w:r>
      </w:hyperlink>
    </w:p>
    <w:p w:rsidR="006E2458" w:rsidRDefault="006E2458" w:rsidP="006E2458">
      <w:pPr>
        <w:pStyle w:val="TOC2"/>
        <w:rPr>
          <w:rFonts w:asciiTheme="minorHAnsi" w:eastAsiaTheme="minorEastAsia" w:hAnsiTheme="minorHAnsi" w:cstheme="minorBidi"/>
          <w:color w:val="auto"/>
          <w:sz w:val="22"/>
          <w:szCs w:val="22"/>
          <w:lang w:val="en-US" w:eastAsia="en-US" w:bidi="ar-SA"/>
        </w:rPr>
      </w:pPr>
      <w:hyperlink w:anchor="_Toc428272535" w:history="1">
        <w:r w:rsidRPr="00FE5F20">
          <w:rPr>
            <w:rStyle w:val="Hyperlink"/>
          </w:rPr>
          <w:t>Droits Relatifs aux Nouvelles Versions</w:t>
        </w:r>
        <w:r>
          <w:rPr>
            <w:webHidden/>
          </w:rPr>
          <w:tab/>
        </w:r>
        <w:r>
          <w:rPr>
            <w:webHidden/>
          </w:rPr>
          <w:fldChar w:fldCharType="begin"/>
        </w:r>
        <w:r>
          <w:rPr>
            <w:webHidden/>
          </w:rPr>
          <w:instrText xml:space="preserve"> PAGEREF _Toc428272535 \h </w:instrText>
        </w:r>
        <w:r>
          <w:rPr>
            <w:webHidden/>
          </w:rPr>
        </w:r>
        <w:r>
          <w:rPr>
            <w:webHidden/>
          </w:rPr>
          <w:fldChar w:fldCharType="separate"/>
        </w:r>
        <w:r>
          <w:rPr>
            <w:webHidden/>
          </w:rPr>
          <w:t>14</w:t>
        </w:r>
        <w:r>
          <w:rPr>
            <w:webHidden/>
          </w:rPr>
          <w:fldChar w:fldCharType="end"/>
        </w:r>
      </w:hyperlink>
    </w:p>
    <w:p w:rsidR="006E2458" w:rsidRDefault="006E2458" w:rsidP="006E2458">
      <w:pPr>
        <w:pStyle w:val="TOC2"/>
        <w:rPr>
          <w:rFonts w:asciiTheme="minorHAnsi" w:eastAsiaTheme="minorEastAsia" w:hAnsiTheme="minorHAnsi" w:cstheme="minorBidi"/>
          <w:color w:val="auto"/>
          <w:sz w:val="22"/>
          <w:szCs w:val="22"/>
          <w:lang w:val="en-US" w:eastAsia="en-US" w:bidi="ar-SA"/>
        </w:rPr>
      </w:pPr>
      <w:hyperlink w:anchor="_Toc428272536" w:history="1">
        <w:r w:rsidRPr="00FE5F20">
          <w:rPr>
            <w:rStyle w:val="Hyperlink"/>
          </w:rPr>
          <w:t>Pack Multilingue Office</w:t>
        </w:r>
        <w:r>
          <w:rPr>
            <w:webHidden/>
          </w:rPr>
          <w:tab/>
        </w:r>
        <w:r>
          <w:rPr>
            <w:webHidden/>
          </w:rPr>
          <w:fldChar w:fldCharType="begin"/>
        </w:r>
        <w:r>
          <w:rPr>
            <w:webHidden/>
          </w:rPr>
          <w:instrText xml:space="preserve"> PAGEREF _Toc428272536 \h </w:instrText>
        </w:r>
        <w:r>
          <w:rPr>
            <w:webHidden/>
          </w:rPr>
        </w:r>
        <w:r>
          <w:rPr>
            <w:webHidden/>
          </w:rPr>
          <w:fldChar w:fldCharType="separate"/>
        </w:r>
        <w:r>
          <w:rPr>
            <w:webHidden/>
          </w:rPr>
          <w:t>14</w:t>
        </w:r>
        <w:r>
          <w:rPr>
            <w:webHidden/>
          </w:rPr>
          <w:fldChar w:fldCharType="end"/>
        </w:r>
      </w:hyperlink>
    </w:p>
    <w:p w:rsidR="006E2458" w:rsidRDefault="006E2458" w:rsidP="006E2458">
      <w:pPr>
        <w:pStyle w:val="TOC2"/>
        <w:rPr>
          <w:rFonts w:asciiTheme="minorHAnsi" w:eastAsiaTheme="minorEastAsia" w:hAnsiTheme="minorHAnsi" w:cstheme="minorBidi"/>
          <w:color w:val="auto"/>
          <w:sz w:val="22"/>
          <w:szCs w:val="22"/>
          <w:lang w:val="en-US" w:eastAsia="en-US" w:bidi="ar-SA"/>
        </w:rPr>
      </w:pPr>
      <w:hyperlink w:anchor="_Toc428272537" w:history="1">
        <w:r w:rsidRPr="00FE5F20">
          <w:rPr>
            <w:rStyle w:val="Hyperlink"/>
          </w:rPr>
          <w:t>E-Learning</w:t>
        </w:r>
        <w:r>
          <w:rPr>
            <w:webHidden/>
          </w:rPr>
          <w:tab/>
        </w:r>
        <w:r>
          <w:rPr>
            <w:webHidden/>
          </w:rPr>
          <w:fldChar w:fldCharType="begin"/>
        </w:r>
        <w:r>
          <w:rPr>
            <w:webHidden/>
          </w:rPr>
          <w:instrText xml:space="preserve"> PAGEREF _Toc428272537 \h </w:instrText>
        </w:r>
        <w:r>
          <w:rPr>
            <w:webHidden/>
          </w:rPr>
        </w:r>
        <w:r>
          <w:rPr>
            <w:webHidden/>
          </w:rPr>
          <w:fldChar w:fldCharType="separate"/>
        </w:r>
        <w:r>
          <w:rPr>
            <w:webHidden/>
          </w:rPr>
          <w:t>14</w:t>
        </w:r>
        <w:r>
          <w:rPr>
            <w:webHidden/>
          </w:rPr>
          <w:fldChar w:fldCharType="end"/>
        </w:r>
      </w:hyperlink>
    </w:p>
    <w:p w:rsidR="006E2458" w:rsidRDefault="006E2458" w:rsidP="006E2458">
      <w:pPr>
        <w:pStyle w:val="TOC2"/>
        <w:rPr>
          <w:rFonts w:asciiTheme="minorHAnsi" w:eastAsiaTheme="minorEastAsia" w:hAnsiTheme="minorHAnsi" w:cstheme="minorBidi"/>
          <w:color w:val="auto"/>
          <w:sz w:val="22"/>
          <w:szCs w:val="22"/>
          <w:lang w:val="en-US" w:eastAsia="en-US" w:bidi="ar-SA"/>
        </w:rPr>
      </w:pPr>
      <w:hyperlink w:anchor="_Toc428272538" w:history="1">
        <w:r w:rsidRPr="00FE5F20">
          <w:rPr>
            <w:rStyle w:val="Hyperlink"/>
          </w:rPr>
          <w:t>Home Use Program (Programme d’Utilisation à Domicile)</w:t>
        </w:r>
        <w:r>
          <w:rPr>
            <w:webHidden/>
          </w:rPr>
          <w:tab/>
        </w:r>
        <w:r>
          <w:rPr>
            <w:webHidden/>
          </w:rPr>
          <w:fldChar w:fldCharType="begin"/>
        </w:r>
        <w:r>
          <w:rPr>
            <w:webHidden/>
          </w:rPr>
          <w:instrText xml:space="preserve"> PAGEREF _Toc428272538 \h </w:instrText>
        </w:r>
        <w:r>
          <w:rPr>
            <w:webHidden/>
          </w:rPr>
        </w:r>
        <w:r>
          <w:rPr>
            <w:webHidden/>
          </w:rPr>
          <w:fldChar w:fldCharType="separate"/>
        </w:r>
        <w:r>
          <w:rPr>
            <w:webHidden/>
          </w:rPr>
          <w:t>14</w:t>
        </w:r>
        <w:r>
          <w:rPr>
            <w:webHidden/>
          </w:rPr>
          <w:fldChar w:fldCharType="end"/>
        </w:r>
      </w:hyperlink>
    </w:p>
    <w:p w:rsidR="006E2458" w:rsidRDefault="006E2458" w:rsidP="006E2458">
      <w:pPr>
        <w:pStyle w:val="TOC2"/>
        <w:rPr>
          <w:rFonts w:asciiTheme="minorHAnsi" w:eastAsiaTheme="minorEastAsia" w:hAnsiTheme="minorHAnsi" w:cstheme="minorBidi"/>
          <w:color w:val="auto"/>
          <w:sz w:val="22"/>
          <w:szCs w:val="22"/>
          <w:lang w:val="en-US" w:eastAsia="en-US" w:bidi="ar-SA"/>
        </w:rPr>
      </w:pPr>
      <w:hyperlink w:anchor="_Toc428272539" w:history="1">
        <w:r w:rsidRPr="00FE5F20">
          <w:rPr>
            <w:rStyle w:val="Hyperlink"/>
          </w:rPr>
          <w:t>Programme de Licences Sources aux Entreprises (ESLP)</w:t>
        </w:r>
        <w:r>
          <w:rPr>
            <w:webHidden/>
          </w:rPr>
          <w:tab/>
        </w:r>
        <w:r>
          <w:rPr>
            <w:webHidden/>
          </w:rPr>
          <w:fldChar w:fldCharType="begin"/>
        </w:r>
        <w:r>
          <w:rPr>
            <w:webHidden/>
          </w:rPr>
          <w:instrText xml:space="preserve"> PAGEREF _Toc428272539 \h </w:instrText>
        </w:r>
        <w:r>
          <w:rPr>
            <w:webHidden/>
          </w:rPr>
        </w:r>
        <w:r>
          <w:rPr>
            <w:webHidden/>
          </w:rPr>
          <w:fldChar w:fldCharType="separate"/>
        </w:r>
        <w:r>
          <w:rPr>
            <w:webHidden/>
          </w:rPr>
          <w:t>16</w:t>
        </w:r>
        <w:r>
          <w:rPr>
            <w:webHidden/>
          </w:rPr>
          <w:fldChar w:fldCharType="end"/>
        </w:r>
      </w:hyperlink>
    </w:p>
    <w:p w:rsidR="006E2458" w:rsidRDefault="006E2458" w:rsidP="006E2458">
      <w:pPr>
        <w:pStyle w:val="TOC2"/>
        <w:rPr>
          <w:rFonts w:asciiTheme="minorHAnsi" w:eastAsiaTheme="minorEastAsia" w:hAnsiTheme="minorHAnsi" w:cstheme="minorBidi"/>
          <w:color w:val="auto"/>
          <w:sz w:val="22"/>
          <w:szCs w:val="22"/>
          <w:lang w:val="en-US" w:eastAsia="en-US" w:bidi="ar-SA"/>
        </w:rPr>
      </w:pPr>
      <w:hyperlink w:anchor="_Toc428272540" w:history="1">
        <w:r w:rsidRPr="00FE5F20">
          <w:rPr>
            <w:rStyle w:val="Hyperlink"/>
          </w:rPr>
          <w:t>Backup pour la Récupération d’Urgence</w:t>
        </w:r>
        <w:r>
          <w:rPr>
            <w:webHidden/>
          </w:rPr>
          <w:tab/>
        </w:r>
        <w:r>
          <w:rPr>
            <w:webHidden/>
          </w:rPr>
          <w:fldChar w:fldCharType="begin"/>
        </w:r>
        <w:r>
          <w:rPr>
            <w:webHidden/>
          </w:rPr>
          <w:instrText xml:space="preserve"> PAGEREF _Toc428272540 \h </w:instrText>
        </w:r>
        <w:r>
          <w:rPr>
            <w:webHidden/>
          </w:rPr>
        </w:r>
        <w:r>
          <w:rPr>
            <w:webHidden/>
          </w:rPr>
          <w:fldChar w:fldCharType="separate"/>
        </w:r>
        <w:r>
          <w:rPr>
            <w:webHidden/>
          </w:rPr>
          <w:t>16</w:t>
        </w:r>
        <w:r>
          <w:rPr>
            <w:webHidden/>
          </w:rPr>
          <w:fldChar w:fldCharType="end"/>
        </w:r>
      </w:hyperlink>
    </w:p>
    <w:p w:rsidR="006E2458" w:rsidRDefault="006E2458" w:rsidP="006E2458">
      <w:pPr>
        <w:pStyle w:val="TOC2"/>
        <w:rPr>
          <w:rFonts w:asciiTheme="minorHAnsi" w:eastAsiaTheme="minorEastAsia" w:hAnsiTheme="minorHAnsi" w:cstheme="minorBidi"/>
          <w:color w:val="auto"/>
          <w:sz w:val="22"/>
          <w:szCs w:val="22"/>
          <w:lang w:val="en-US" w:eastAsia="en-US" w:bidi="ar-SA"/>
        </w:rPr>
      </w:pPr>
      <w:hyperlink w:anchor="_Toc428272541" w:history="1">
        <w:r w:rsidRPr="00FE5F20">
          <w:rPr>
            <w:rStyle w:val="Hyperlink"/>
          </w:rPr>
          <w:t>Mobilité de Licence via la Software Assurance</w:t>
        </w:r>
        <w:r>
          <w:rPr>
            <w:webHidden/>
          </w:rPr>
          <w:tab/>
        </w:r>
        <w:r>
          <w:rPr>
            <w:webHidden/>
          </w:rPr>
          <w:fldChar w:fldCharType="begin"/>
        </w:r>
        <w:r>
          <w:rPr>
            <w:webHidden/>
          </w:rPr>
          <w:instrText xml:space="preserve"> PAGEREF _Toc428272541 \h </w:instrText>
        </w:r>
        <w:r>
          <w:rPr>
            <w:webHidden/>
          </w:rPr>
        </w:r>
        <w:r>
          <w:rPr>
            <w:webHidden/>
          </w:rPr>
          <w:fldChar w:fldCharType="separate"/>
        </w:r>
        <w:r>
          <w:rPr>
            <w:webHidden/>
          </w:rPr>
          <w:t>16</w:t>
        </w:r>
        <w:r>
          <w:rPr>
            <w:webHidden/>
          </w:rPr>
          <w:fldChar w:fldCharType="end"/>
        </w:r>
      </w:hyperlink>
    </w:p>
    <w:p w:rsidR="006E2458" w:rsidRDefault="006E2458" w:rsidP="006E2458">
      <w:pPr>
        <w:pStyle w:val="TOC2"/>
        <w:rPr>
          <w:rFonts w:asciiTheme="minorHAnsi" w:eastAsiaTheme="minorEastAsia" w:hAnsiTheme="minorHAnsi" w:cstheme="minorBidi"/>
          <w:color w:val="auto"/>
          <w:sz w:val="22"/>
          <w:szCs w:val="22"/>
          <w:lang w:val="en-US" w:eastAsia="en-US" w:bidi="ar-SA"/>
        </w:rPr>
      </w:pPr>
      <w:hyperlink w:anchor="_Toc428272542" w:history="1">
        <w:r w:rsidRPr="00FE5F20">
          <w:rPr>
            <w:rStyle w:val="Hyperlink"/>
          </w:rPr>
          <w:t>Support Hotfix Étendu</w:t>
        </w:r>
        <w:r>
          <w:rPr>
            <w:webHidden/>
          </w:rPr>
          <w:tab/>
        </w:r>
        <w:r>
          <w:rPr>
            <w:webHidden/>
          </w:rPr>
          <w:fldChar w:fldCharType="begin"/>
        </w:r>
        <w:r>
          <w:rPr>
            <w:webHidden/>
          </w:rPr>
          <w:instrText xml:space="preserve"> PAGEREF _Toc428272542 \h </w:instrText>
        </w:r>
        <w:r>
          <w:rPr>
            <w:webHidden/>
          </w:rPr>
        </w:r>
        <w:r>
          <w:rPr>
            <w:webHidden/>
          </w:rPr>
          <w:fldChar w:fldCharType="separate"/>
        </w:r>
        <w:r>
          <w:rPr>
            <w:webHidden/>
          </w:rPr>
          <w:t>16</w:t>
        </w:r>
        <w:r>
          <w:rPr>
            <w:webHidden/>
          </w:rPr>
          <w:fldChar w:fldCharType="end"/>
        </w:r>
      </w:hyperlink>
    </w:p>
    <w:p w:rsidR="006E2458" w:rsidRDefault="006E2458" w:rsidP="006E2458">
      <w:pPr>
        <w:pStyle w:val="TOC1"/>
        <w:rPr>
          <w:rFonts w:asciiTheme="minorHAnsi" w:eastAsiaTheme="minorEastAsia" w:hAnsiTheme="minorHAnsi"/>
          <w:color w:val="auto"/>
          <w:sz w:val="22"/>
          <w:lang w:val="en-US" w:eastAsia="en-US" w:bidi="ar-SA"/>
        </w:rPr>
      </w:pPr>
      <w:hyperlink w:anchor="_Toc428272543" w:history="1">
        <w:r w:rsidRPr="00FE5F20">
          <w:rPr>
            <w:rStyle w:val="Hyperlink"/>
          </w:rPr>
          <w:t>Article 3</w:t>
        </w:r>
        <w:r>
          <w:rPr>
            <w:webHidden/>
          </w:rPr>
          <w:tab/>
        </w:r>
        <w:r>
          <w:rPr>
            <w:webHidden/>
          </w:rPr>
          <w:fldChar w:fldCharType="begin"/>
        </w:r>
        <w:r>
          <w:rPr>
            <w:webHidden/>
          </w:rPr>
          <w:instrText xml:space="preserve"> PAGEREF _Toc428272543 \h </w:instrText>
        </w:r>
        <w:r>
          <w:rPr>
            <w:webHidden/>
          </w:rPr>
        </w:r>
        <w:r>
          <w:rPr>
            <w:webHidden/>
          </w:rPr>
          <w:fldChar w:fldCharType="separate"/>
        </w:r>
        <w:r>
          <w:rPr>
            <w:webHidden/>
          </w:rPr>
          <w:t>17</w:t>
        </w:r>
        <w:r>
          <w:rPr>
            <w:webHidden/>
          </w:rPr>
          <w:fldChar w:fldCharType="end"/>
        </w:r>
      </w:hyperlink>
    </w:p>
    <w:p w:rsidR="006E2458" w:rsidRDefault="006E2458" w:rsidP="006E2458">
      <w:pPr>
        <w:pStyle w:val="TOC1"/>
        <w:rPr>
          <w:rFonts w:asciiTheme="minorHAnsi" w:eastAsiaTheme="minorEastAsia" w:hAnsiTheme="minorHAnsi"/>
          <w:color w:val="auto"/>
          <w:sz w:val="22"/>
          <w:lang w:val="en-US" w:eastAsia="en-US" w:bidi="ar-SA"/>
        </w:rPr>
      </w:pPr>
      <w:hyperlink w:anchor="_Toc428272544" w:history="1">
        <w:r w:rsidRPr="00FE5F20">
          <w:rPr>
            <w:rStyle w:val="Hyperlink"/>
            <w:rFonts w:asciiTheme="majorHAnsi" w:eastAsiaTheme="majorEastAsia" w:hAnsiTheme="majorHAnsi" w:cstheme="majorBidi"/>
            <w:bCs/>
          </w:rPr>
          <w:t>Création de copies des Produits et droits de création de masters</w:t>
        </w:r>
        <w:r>
          <w:rPr>
            <w:webHidden/>
          </w:rPr>
          <w:tab/>
        </w:r>
        <w:r>
          <w:rPr>
            <w:webHidden/>
          </w:rPr>
          <w:fldChar w:fldCharType="begin"/>
        </w:r>
        <w:r>
          <w:rPr>
            <w:webHidden/>
          </w:rPr>
          <w:instrText xml:space="preserve"> PAGEREF _Toc428272544 \h </w:instrText>
        </w:r>
        <w:r>
          <w:rPr>
            <w:webHidden/>
          </w:rPr>
        </w:r>
        <w:r>
          <w:rPr>
            <w:webHidden/>
          </w:rPr>
          <w:fldChar w:fldCharType="separate"/>
        </w:r>
        <w:r>
          <w:rPr>
            <w:webHidden/>
          </w:rPr>
          <w:t>17</w:t>
        </w:r>
        <w:r>
          <w:rPr>
            <w:webHidden/>
          </w:rPr>
          <w:fldChar w:fldCharType="end"/>
        </w:r>
      </w:hyperlink>
    </w:p>
    <w:p w:rsidR="006E2458" w:rsidRDefault="006E2458" w:rsidP="006E2458">
      <w:pPr>
        <w:pStyle w:val="TOC1"/>
        <w:rPr>
          <w:rFonts w:asciiTheme="minorHAnsi" w:eastAsiaTheme="minorEastAsia" w:hAnsiTheme="minorHAnsi"/>
          <w:color w:val="auto"/>
          <w:sz w:val="22"/>
          <w:lang w:val="en-US" w:eastAsia="en-US" w:bidi="ar-SA"/>
        </w:rPr>
      </w:pPr>
      <w:hyperlink w:anchor="_Toc428272545" w:history="1">
        <w:r w:rsidRPr="00FE5F20">
          <w:rPr>
            <w:rStyle w:val="Hyperlink"/>
            <w:rFonts w:asciiTheme="majorHAnsi" w:eastAsiaTheme="majorEastAsia" w:hAnsiTheme="majorHAnsi" w:cstheme="majorBidi"/>
            <w:bCs/>
          </w:rPr>
          <w:t>Procédure de Transfert de licences</w:t>
        </w:r>
        <w:r>
          <w:rPr>
            <w:webHidden/>
          </w:rPr>
          <w:tab/>
        </w:r>
        <w:r>
          <w:rPr>
            <w:webHidden/>
          </w:rPr>
          <w:fldChar w:fldCharType="begin"/>
        </w:r>
        <w:r>
          <w:rPr>
            <w:webHidden/>
          </w:rPr>
          <w:instrText xml:space="preserve"> PAGEREF _Toc428272545 \h </w:instrText>
        </w:r>
        <w:r>
          <w:rPr>
            <w:webHidden/>
          </w:rPr>
        </w:r>
        <w:r>
          <w:rPr>
            <w:webHidden/>
          </w:rPr>
          <w:fldChar w:fldCharType="separate"/>
        </w:r>
        <w:r>
          <w:rPr>
            <w:webHidden/>
          </w:rPr>
          <w:t>17</w:t>
        </w:r>
        <w:r>
          <w:rPr>
            <w:webHidden/>
          </w:rPr>
          <w:fldChar w:fldCharType="end"/>
        </w:r>
      </w:hyperlink>
    </w:p>
    <w:p w:rsidR="006E2458" w:rsidRDefault="006E2458" w:rsidP="006E2458">
      <w:pPr>
        <w:pStyle w:val="TOC1"/>
        <w:rPr>
          <w:rFonts w:asciiTheme="minorHAnsi" w:eastAsiaTheme="minorEastAsia" w:hAnsiTheme="minorHAnsi"/>
          <w:color w:val="auto"/>
          <w:sz w:val="22"/>
          <w:lang w:val="en-US" w:eastAsia="en-US" w:bidi="ar-SA"/>
        </w:rPr>
      </w:pPr>
      <w:hyperlink w:anchor="_Toc428272546" w:history="1">
        <w:r w:rsidRPr="00FE5F20">
          <w:rPr>
            <w:rStyle w:val="Hyperlink"/>
            <w:rFonts w:asciiTheme="majorHAnsi" w:eastAsiaTheme="majorEastAsia" w:hAnsiTheme="majorHAnsi" w:cstheme="majorBidi"/>
            <w:bCs/>
          </w:rPr>
          <w:t xml:space="preserve">Procédure de Vérification du Respect des Termes Contractuels et </w:t>
        </w:r>
        <w:r w:rsidRPr="00FE5F20">
          <w:rPr>
            <w:rStyle w:val="Hyperlink"/>
            <w:rFonts w:asciiTheme="majorHAnsi" w:eastAsiaTheme="majorEastAsia" w:hAnsiTheme="majorHAnsi"/>
          </w:rPr>
          <w:t>Limitations</w:t>
        </w:r>
        <w:r>
          <w:rPr>
            <w:webHidden/>
          </w:rPr>
          <w:tab/>
        </w:r>
        <w:r>
          <w:rPr>
            <w:webHidden/>
          </w:rPr>
          <w:fldChar w:fldCharType="begin"/>
        </w:r>
        <w:r>
          <w:rPr>
            <w:webHidden/>
          </w:rPr>
          <w:instrText xml:space="preserve"> PAGEREF _Toc428272546 \h </w:instrText>
        </w:r>
        <w:r>
          <w:rPr>
            <w:webHidden/>
          </w:rPr>
        </w:r>
        <w:r>
          <w:rPr>
            <w:webHidden/>
          </w:rPr>
          <w:fldChar w:fldCharType="separate"/>
        </w:r>
        <w:r>
          <w:rPr>
            <w:webHidden/>
          </w:rPr>
          <w:t>17</w:t>
        </w:r>
        <w:r>
          <w:rPr>
            <w:webHidden/>
          </w:rPr>
          <w:fldChar w:fldCharType="end"/>
        </w:r>
      </w:hyperlink>
    </w:p>
    <w:p w:rsidR="006E2458" w:rsidRDefault="006E2458" w:rsidP="006E2458">
      <w:pPr>
        <w:pStyle w:val="TOC1"/>
        <w:rPr>
          <w:rFonts w:asciiTheme="minorHAnsi" w:eastAsiaTheme="minorEastAsia" w:hAnsiTheme="minorHAnsi"/>
          <w:color w:val="auto"/>
          <w:sz w:val="22"/>
          <w:lang w:val="en-US" w:eastAsia="en-US" w:bidi="ar-SA"/>
        </w:rPr>
      </w:pPr>
      <w:hyperlink w:anchor="_Toc428272547" w:history="1">
        <w:r w:rsidRPr="00FE5F20">
          <w:rPr>
            <w:rStyle w:val="Hyperlink"/>
            <w:rFonts w:asciiTheme="majorHAnsi" w:eastAsiaTheme="majorEastAsia" w:hAnsiTheme="majorHAnsi" w:cstheme="majorBidi"/>
            <w:bCs/>
          </w:rPr>
          <w:t>Scissions</w:t>
        </w:r>
        <w:r>
          <w:rPr>
            <w:webHidden/>
          </w:rPr>
          <w:tab/>
        </w:r>
        <w:r>
          <w:rPr>
            <w:webHidden/>
          </w:rPr>
          <w:fldChar w:fldCharType="begin"/>
        </w:r>
        <w:r>
          <w:rPr>
            <w:webHidden/>
          </w:rPr>
          <w:instrText xml:space="preserve"> PAGEREF _Toc428272547 \h </w:instrText>
        </w:r>
        <w:r>
          <w:rPr>
            <w:webHidden/>
          </w:rPr>
        </w:r>
        <w:r>
          <w:rPr>
            <w:webHidden/>
          </w:rPr>
          <w:fldChar w:fldCharType="separate"/>
        </w:r>
        <w:r>
          <w:rPr>
            <w:webHidden/>
          </w:rPr>
          <w:t>17</w:t>
        </w:r>
        <w:r>
          <w:rPr>
            <w:webHidden/>
          </w:rPr>
          <w:fldChar w:fldCharType="end"/>
        </w:r>
      </w:hyperlink>
    </w:p>
    <w:p w:rsidR="006E2458" w:rsidRDefault="006E2458" w:rsidP="006E2458">
      <w:pPr>
        <w:pStyle w:val="TOC1"/>
        <w:rPr>
          <w:rFonts w:asciiTheme="minorHAnsi" w:eastAsiaTheme="minorEastAsia" w:hAnsiTheme="minorHAnsi"/>
          <w:color w:val="auto"/>
          <w:sz w:val="22"/>
          <w:lang w:val="en-US" w:eastAsia="en-US" w:bidi="ar-SA"/>
        </w:rPr>
      </w:pPr>
      <w:hyperlink w:anchor="_Toc428272548" w:history="1">
        <w:r w:rsidRPr="00FE5F20">
          <w:rPr>
            <w:rStyle w:val="Hyperlink"/>
            <w:rFonts w:asciiTheme="majorHAnsi" w:eastAsiaTheme="majorEastAsia" w:hAnsiTheme="majorHAnsi" w:cstheme="majorBidi"/>
            <w:bCs/>
          </w:rPr>
          <w:t>Catastrophe naturelle</w:t>
        </w:r>
        <w:r>
          <w:rPr>
            <w:webHidden/>
          </w:rPr>
          <w:tab/>
        </w:r>
        <w:r>
          <w:rPr>
            <w:webHidden/>
          </w:rPr>
          <w:fldChar w:fldCharType="begin"/>
        </w:r>
        <w:r>
          <w:rPr>
            <w:webHidden/>
          </w:rPr>
          <w:instrText xml:space="preserve"> PAGEREF _Toc428272548 \h </w:instrText>
        </w:r>
        <w:r>
          <w:rPr>
            <w:webHidden/>
          </w:rPr>
        </w:r>
        <w:r>
          <w:rPr>
            <w:webHidden/>
          </w:rPr>
          <w:fldChar w:fldCharType="separate"/>
        </w:r>
        <w:r>
          <w:rPr>
            <w:webHidden/>
          </w:rPr>
          <w:t>18</w:t>
        </w:r>
        <w:r>
          <w:rPr>
            <w:webHidden/>
          </w:rPr>
          <w:fldChar w:fldCharType="end"/>
        </w:r>
      </w:hyperlink>
    </w:p>
    <w:p w:rsidR="006E2458" w:rsidRDefault="006E2458" w:rsidP="006E2458">
      <w:pPr>
        <w:pStyle w:val="TOC1"/>
        <w:rPr>
          <w:rFonts w:asciiTheme="minorHAnsi" w:eastAsiaTheme="minorEastAsia" w:hAnsiTheme="minorHAnsi"/>
          <w:color w:val="auto"/>
          <w:sz w:val="22"/>
          <w:lang w:val="en-US" w:eastAsia="en-US" w:bidi="ar-SA"/>
        </w:rPr>
      </w:pPr>
      <w:hyperlink w:anchor="_Toc428272549" w:history="1">
        <w:r w:rsidRPr="00FE5F20">
          <w:rPr>
            <w:rStyle w:val="Hyperlink"/>
          </w:rPr>
          <w:t>Section 4</w:t>
        </w:r>
        <w:r>
          <w:rPr>
            <w:webHidden/>
          </w:rPr>
          <w:tab/>
        </w:r>
        <w:r>
          <w:rPr>
            <w:webHidden/>
          </w:rPr>
          <w:fldChar w:fldCharType="begin"/>
        </w:r>
        <w:r>
          <w:rPr>
            <w:webHidden/>
          </w:rPr>
          <w:instrText xml:space="preserve"> PAGEREF _Toc428272549 \h </w:instrText>
        </w:r>
        <w:r>
          <w:rPr>
            <w:webHidden/>
          </w:rPr>
        </w:r>
        <w:r>
          <w:rPr>
            <w:webHidden/>
          </w:rPr>
          <w:fldChar w:fldCharType="separate"/>
        </w:r>
        <w:r>
          <w:rPr>
            <w:webHidden/>
          </w:rPr>
          <w:t>18</w:t>
        </w:r>
        <w:r>
          <w:rPr>
            <w:webHidden/>
          </w:rPr>
          <w:fldChar w:fldCharType="end"/>
        </w:r>
      </w:hyperlink>
    </w:p>
    <w:p w:rsidR="006E2458" w:rsidRDefault="006E2458" w:rsidP="006E2458">
      <w:pPr>
        <w:pStyle w:val="TOC1"/>
        <w:rPr>
          <w:rFonts w:asciiTheme="minorHAnsi" w:eastAsiaTheme="minorEastAsia" w:hAnsiTheme="minorHAnsi"/>
          <w:color w:val="auto"/>
          <w:sz w:val="22"/>
          <w:lang w:val="en-US" w:eastAsia="en-US" w:bidi="ar-SA"/>
        </w:rPr>
      </w:pPr>
      <w:hyperlink w:anchor="_Toc428272550" w:history="1">
        <w:r w:rsidRPr="00FE5F20">
          <w:rPr>
            <w:rStyle w:val="Hyperlink"/>
            <w:rFonts w:asciiTheme="majorHAnsi" w:eastAsiaTheme="majorEastAsia" w:hAnsiTheme="majorHAnsi" w:cstheme="majorBidi"/>
          </w:rPr>
          <w:t>Modifications du Manuel des Licences au cours des 12 derniers mois</w:t>
        </w:r>
        <w:r>
          <w:rPr>
            <w:webHidden/>
          </w:rPr>
          <w:tab/>
        </w:r>
        <w:r>
          <w:rPr>
            <w:webHidden/>
          </w:rPr>
          <w:fldChar w:fldCharType="begin"/>
        </w:r>
        <w:r>
          <w:rPr>
            <w:webHidden/>
          </w:rPr>
          <w:instrText xml:space="preserve"> PAGEREF _Toc428272550 \h </w:instrText>
        </w:r>
        <w:r>
          <w:rPr>
            <w:webHidden/>
          </w:rPr>
        </w:r>
        <w:r>
          <w:rPr>
            <w:webHidden/>
          </w:rPr>
          <w:fldChar w:fldCharType="separate"/>
        </w:r>
        <w:r>
          <w:rPr>
            <w:webHidden/>
          </w:rPr>
          <w:t>18</w:t>
        </w:r>
        <w:r>
          <w:rPr>
            <w:webHidden/>
          </w:rPr>
          <w:fldChar w:fldCharType="end"/>
        </w:r>
      </w:hyperlink>
    </w:p>
    <w:p w:rsidR="006E2458" w:rsidRDefault="006E2458" w:rsidP="006E2458">
      <w:pPr>
        <w:pStyle w:val="TOC1"/>
        <w:rPr>
          <w:rFonts w:asciiTheme="minorHAnsi" w:eastAsiaTheme="minorEastAsia" w:hAnsiTheme="minorHAnsi"/>
          <w:color w:val="auto"/>
          <w:sz w:val="22"/>
          <w:lang w:val="en-US" w:eastAsia="en-US" w:bidi="ar-SA"/>
        </w:rPr>
      </w:pPr>
      <w:hyperlink w:anchor="_Toc428272551" w:history="1">
        <w:r w:rsidRPr="00FE5F20">
          <w:rPr>
            <w:rStyle w:val="Hyperlink"/>
          </w:rPr>
          <w:t>Annexe</w:t>
        </w:r>
        <w:r>
          <w:rPr>
            <w:webHidden/>
          </w:rPr>
          <w:tab/>
        </w:r>
        <w:r>
          <w:rPr>
            <w:webHidden/>
          </w:rPr>
          <w:fldChar w:fldCharType="begin"/>
        </w:r>
        <w:r>
          <w:rPr>
            <w:webHidden/>
          </w:rPr>
          <w:instrText xml:space="preserve"> PAGEREF _Toc428272551 \h </w:instrText>
        </w:r>
        <w:r>
          <w:rPr>
            <w:webHidden/>
          </w:rPr>
        </w:r>
        <w:r>
          <w:rPr>
            <w:webHidden/>
          </w:rPr>
          <w:fldChar w:fldCharType="separate"/>
        </w:r>
        <w:r>
          <w:rPr>
            <w:webHidden/>
          </w:rPr>
          <w:t>18</w:t>
        </w:r>
        <w:r>
          <w:rPr>
            <w:webHidden/>
          </w:rPr>
          <w:fldChar w:fldCharType="end"/>
        </w:r>
      </w:hyperlink>
    </w:p>
    <w:p w:rsidR="006E2458" w:rsidRDefault="006E2458" w:rsidP="006E2458">
      <w:pPr>
        <w:pStyle w:val="TOC1"/>
        <w:rPr>
          <w:rFonts w:asciiTheme="minorHAnsi" w:eastAsiaTheme="minorEastAsia" w:hAnsiTheme="minorHAnsi"/>
          <w:color w:val="auto"/>
          <w:sz w:val="22"/>
          <w:lang w:val="en-US" w:eastAsia="en-US" w:bidi="ar-SA"/>
        </w:rPr>
      </w:pPr>
      <w:hyperlink w:anchor="_Toc428272552" w:history="1">
        <w:r w:rsidRPr="00FE5F20">
          <w:rPr>
            <w:rStyle w:val="Hyperlink"/>
            <w:rFonts w:asciiTheme="majorHAnsi" w:eastAsiaTheme="majorEastAsia" w:hAnsiTheme="majorHAnsi" w:cstheme="majorBidi"/>
            <w:bCs/>
          </w:rPr>
          <w:t>Définition des R</w:t>
        </w:r>
        <w:r w:rsidRPr="00FE5F20">
          <w:rPr>
            <w:rStyle w:val="Hyperlink"/>
            <w:rFonts w:asciiTheme="majorHAnsi" w:eastAsiaTheme="majorEastAsia" w:hAnsiTheme="majorHAnsi" w:cstheme="majorBidi"/>
          </w:rPr>
          <w:t>égions</w:t>
        </w:r>
        <w:r>
          <w:rPr>
            <w:webHidden/>
          </w:rPr>
          <w:tab/>
        </w:r>
        <w:r>
          <w:rPr>
            <w:webHidden/>
          </w:rPr>
          <w:fldChar w:fldCharType="begin"/>
        </w:r>
        <w:r>
          <w:rPr>
            <w:webHidden/>
          </w:rPr>
          <w:instrText xml:space="preserve"> PAGEREF _Toc428272552 \h </w:instrText>
        </w:r>
        <w:r>
          <w:rPr>
            <w:webHidden/>
          </w:rPr>
        </w:r>
        <w:r>
          <w:rPr>
            <w:webHidden/>
          </w:rPr>
          <w:fldChar w:fldCharType="separate"/>
        </w:r>
        <w:r>
          <w:rPr>
            <w:webHidden/>
          </w:rPr>
          <w:t>18</w:t>
        </w:r>
        <w:r>
          <w:rPr>
            <w:webHidden/>
          </w:rPr>
          <w:fldChar w:fldCharType="end"/>
        </w:r>
      </w:hyperlink>
    </w:p>
    <w:p w:rsidR="006E2458" w:rsidRPr="00483B32" w:rsidRDefault="006E2458" w:rsidP="006E2458">
      <w:pPr>
        <w:pStyle w:val="BodyText"/>
      </w:pPr>
      <w:r>
        <w:fldChar w:fldCharType="end"/>
      </w:r>
    </w:p>
    <w:p w:rsidR="006E2458" w:rsidRPr="00483B32" w:rsidRDefault="006E2458" w:rsidP="006E2458">
      <w:pPr>
        <w:pStyle w:val="Hdg1noborder"/>
      </w:pPr>
      <w:bookmarkStart w:id="1" w:name="_Toc403380293"/>
      <w:bookmarkStart w:id="2" w:name="_Toc403985011"/>
      <w:bookmarkStart w:id="3" w:name="_Toc428272521"/>
      <w:r>
        <w:lastRenderedPageBreak/>
        <w:t>Objet du document et ressources</w:t>
      </w:r>
      <w:bookmarkEnd w:id="1"/>
      <w:bookmarkEnd w:id="2"/>
      <w:bookmarkEnd w:id="3"/>
    </w:p>
    <w:p w:rsidR="006E2458" w:rsidRPr="00483B32" w:rsidRDefault="006E2458" w:rsidP="006E2458">
      <w:pPr>
        <w:pStyle w:val="BodyText"/>
      </w:pPr>
      <w:r>
        <w:t>Le présent Manuel des Licences définit la structure de compte, les procédures de commande, la tarification, la Software Assurance, les Avantages de la Software Assurance et autres modalités applicables au Contrat de Fourniture de Produits et de Services Microsoft (Microsoft Products and Services Agreement, MPSA). Tous les termes commençant par une majuscule qui sont utilisés dans le présent Manuel des Licences mais qui n’y sont pas définis ont la signification qui leur est attribuée dans le MPSA.</w:t>
      </w:r>
    </w:p>
    <w:p w:rsidR="006E2458" w:rsidRPr="00483B32" w:rsidRDefault="006E2458" w:rsidP="006E2458">
      <w:pPr>
        <w:pStyle w:val="BodyText"/>
      </w:pPr>
      <w:r>
        <w:t xml:space="preserve">Une présentation générale du MPSA est disponible dans le guide de licence à l’adresse </w:t>
      </w:r>
      <w:hyperlink r:id="rId11" w:history="1">
        <w:r>
          <w:rPr>
            <w:rStyle w:val="Hyperlink"/>
          </w:rPr>
          <w:t>http://www.microsoft.com/licensing/mpsa/</w:t>
        </w:r>
      </w:hyperlink>
      <w:r w:rsidRPr="00D219C6">
        <w:rPr>
          <w:rStyle w:val="Hyperlink"/>
        </w:rPr>
        <w:t>.</w:t>
      </w:r>
    </w:p>
    <w:p w:rsidR="006E2458" w:rsidRPr="00483B32" w:rsidRDefault="006E2458" w:rsidP="006E2458">
      <w:pPr>
        <w:pStyle w:val="BodyText"/>
      </w:pPr>
      <w:r>
        <w:t xml:space="preserve">Pour consulter la dernière version du présent document et en savoir plus sur les droits d’utilisation et les Conditions applicables aux Produits, rendez-vous sur la page </w:t>
      </w:r>
      <w:hyperlink r:id="rId12" w:history="1">
        <w:r>
          <w:rPr>
            <w:rStyle w:val="Hyperlink"/>
          </w:rPr>
          <w:t>http://www.microsoft.com/licensing/contracts</w:t>
        </w:r>
      </w:hyperlink>
      <w:r w:rsidRPr="00D219C6">
        <w:rPr>
          <w:rStyle w:val="Hyperlink"/>
        </w:rPr>
        <w:t>.</w:t>
      </w:r>
    </w:p>
    <w:p w:rsidR="006E2458" w:rsidRPr="00483B32" w:rsidRDefault="006E2458" w:rsidP="006E2458">
      <w:pPr>
        <w:spacing w:line="240" w:lineRule="auto"/>
      </w:pPr>
      <w:r>
        <w:br w:type="page"/>
      </w:r>
    </w:p>
    <w:p w:rsidR="006E2458" w:rsidRPr="00483B32" w:rsidRDefault="006E2458" w:rsidP="006E2458">
      <w:pPr>
        <w:pStyle w:val="Hdg1noborder"/>
        <w:spacing w:before="120" w:after="0"/>
      </w:pPr>
      <w:bookmarkStart w:id="4" w:name="_Toc403380294"/>
      <w:bookmarkStart w:id="5" w:name="_Toc403985012"/>
      <w:bookmarkStart w:id="6" w:name="_Toc428272522"/>
      <w:r>
        <w:lastRenderedPageBreak/>
        <w:t>Section 1</w:t>
      </w:r>
      <w:bookmarkEnd w:id="4"/>
      <w:bookmarkEnd w:id="5"/>
      <w:bookmarkEnd w:id="6"/>
    </w:p>
    <w:p w:rsidR="006E2458" w:rsidRPr="000152CB" w:rsidRDefault="006E2458" w:rsidP="006E2458">
      <w:pPr>
        <w:pStyle w:val="Hdg1noborder"/>
        <w:spacing w:before="120" w:after="120" w:line="240" w:lineRule="auto"/>
        <w:rPr>
          <w:rFonts w:asciiTheme="majorHAnsi" w:eastAsiaTheme="majorEastAsia" w:hAnsiTheme="majorHAnsi" w:cstheme="majorBidi"/>
          <w:bCs/>
          <w:color w:val="FFC000" w:themeColor="accent4"/>
          <w:sz w:val="28"/>
          <w:szCs w:val="26"/>
        </w:rPr>
      </w:pPr>
      <w:bookmarkStart w:id="7" w:name="_Toc403380295"/>
      <w:bookmarkStart w:id="8" w:name="_Toc403985013"/>
      <w:bookmarkStart w:id="9" w:name="_Toc428272523"/>
      <w:r>
        <w:rPr>
          <w:rFonts w:asciiTheme="majorHAnsi" w:eastAsiaTheme="majorEastAsia" w:hAnsiTheme="majorHAnsi" w:cstheme="majorBidi"/>
          <w:bCs/>
          <w:color w:val="FFC000" w:themeColor="accent4"/>
          <w:sz w:val="28"/>
          <w:szCs w:val="26"/>
        </w:rPr>
        <w:t>Principes du Contrat de Fourniture de Produits et de Services Microsoft (MPSA)</w:t>
      </w:r>
      <w:bookmarkEnd w:id="7"/>
      <w:bookmarkEnd w:id="8"/>
      <w:bookmarkEnd w:id="9"/>
    </w:p>
    <w:p w:rsidR="006E2458" w:rsidRPr="00483B32" w:rsidRDefault="006E2458" w:rsidP="006E2458">
      <w:pPr>
        <w:pStyle w:val="Thirdheading"/>
      </w:pPr>
      <w:r>
        <w:rPr>
          <w:b/>
        </w:rPr>
        <w:t>Structure de compte</w:t>
      </w:r>
    </w:p>
    <w:p w:rsidR="006E2458" w:rsidRPr="00483B32" w:rsidRDefault="006E2458" w:rsidP="006E2458">
      <w:pPr>
        <w:pStyle w:val="BodyText"/>
      </w:pPr>
      <w:r>
        <w:t>Le MPSA vous permet de définir votre structure d’achat de Licences en Volume librement, par l’intermédiaire de Comptes d’Achats. La création d’un Compte d’Achats permet à une entité de votre établissement d’être en mesure d’acheter des Logiciels et des Services en Ligne selon les conditions de votre contrat MPSA, en tant que personne morale à part entière, désignée sur le formulaire d’enregistrement de Compte d’Achats.</w:t>
      </w:r>
    </w:p>
    <w:p w:rsidR="006E2458" w:rsidRPr="00483B32" w:rsidRDefault="006E2458" w:rsidP="006E2458">
      <w:pPr>
        <w:pStyle w:val="BodyText"/>
      </w:pPr>
      <w:r>
        <w:t>Trois types de Comptes d’Achats sont proposés, selon la nature de vos activités : Commerce, Secteur Public et Éducation.</w:t>
      </w:r>
    </w:p>
    <w:p w:rsidR="006E2458" w:rsidRPr="00483B32" w:rsidRDefault="006E2458" w:rsidP="006E2458">
      <w:pPr>
        <w:pStyle w:val="BodyText"/>
      </w:pPr>
      <w:r>
        <w:t>La création de Compte d’Achats est flexible et vous permet de définir et de redéfinir la structure d’achat de votre établissement au gré de l’évolution de vos besoins. Ces comptes peuvent être définis au niveau de l’établissement, des affiliés, des départements ou de groupes d’employés.</w:t>
      </w:r>
    </w:p>
    <w:p w:rsidR="006E2458" w:rsidRPr="00483B32" w:rsidRDefault="006E2458" w:rsidP="006E2458">
      <w:pPr>
        <w:pStyle w:val="BodyText"/>
      </w:pPr>
      <w:r>
        <w:t>Commencez par déterminer la stratégie d’achat de Produits de votre établissement, puis identifiez la structure d’achats de Licences en Volume la mieux adaptée à vos besoins.</w:t>
      </w:r>
    </w:p>
    <w:p w:rsidR="006E2458" w:rsidRPr="00483B32" w:rsidRDefault="006E2458" w:rsidP="006E2458">
      <w:pPr>
        <w:pStyle w:val="BodyText"/>
      </w:pPr>
      <w:r>
        <w:t xml:space="preserve">Si vous souhaitez centraliser la gestion des achats, optez pour un Compte d’Achats global : </w:t>
      </w:r>
    </w:p>
    <w:tbl>
      <w:tblPr>
        <w:tblStyle w:val="MediumShading1-Accent4"/>
        <w:tblW w:w="0" w:type="auto"/>
        <w:tblInd w:w="108" w:type="dxa"/>
        <w:tblLook w:val="04A0" w:firstRow="1" w:lastRow="0" w:firstColumn="1" w:lastColumn="0" w:noHBand="0" w:noVBand="1"/>
      </w:tblPr>
      <w:tblGrid>
        <w:gridCol w:w="6750"/>
      </w:tblGrid>
      <w:tr w:rsidR="006E2458" w:rsidRPr="004105EA" w:rsidTr="0019337E">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rsidR="006E2458" w:rsidRPr="004105EA" w:rsidRDefault="006E2458" w:rsidP="0019337E">
            <w:pPr>
              <w:pStyle w:val="BodyText"/>
              <w:spacing w:after="0" w:line="240" w:lineRule="auto"/>
              <w:jc w:val="center"/>
              <w:rPr>
                <w:color w:val="FFFFFF" w:themeColor="background1"/>
                <w:sz w:val="16"/>
              </w:rPr>
            </w:pPr>
            <w:r>
              <w:rPr>
                <w:color w:val="FFFFFF" w:themeColor="background1"/>
                <w:sz w:val="16"/>
              </w:rPr>
              <w:t>COMPTE D’ACHATS</w:t>
            </w:r>
          </w:p>
        </w:tc>
      </w:tr>
      <w:tr w:rsidR="006E2458" w:rsidRPr="004105EA" w:rsidTr="0019337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rsidR="006E2458" w:rsidRPr="004105EA" w:rsidRDefault="006E2458" w:rsidP="0019337E">
            <w:pPr>
              <w:pStyle w:val="BodyText"/>
              <w:spacing w:after="0" w:line="240" w:lineRule="auto"/>
              <w:jc w:val="center"/>
              <w:rPr>
                <w:color w:val="FFFFFF" w:themeColor="background1"/>
                <w:sz w:val="16"/>
              </w:rPr>
            </w:pPr>
            <w:r>
              <w:rPr>
                <w:color w:val="FFC000" w:themeColor="accent4"/>
                <w:sz w:val="16"/>
              </w:rPr>
              <w:t>MPSA</w:t>
            </w:r>
          </w:p>
        </w:tc>
      </w:tr>
    </w:tbl>
    <w:p w:rsidR="006E2458" w:rsidRPr="00483B32" w:rsidRDefault="006E2458" w:rsidP="006E2458">
      <w:pPr>
        <w:pStyle w:val="BodyText"/>
        <w:spacing w:before="240"/>
      </w:pPr>
      <w:r>
        <w:t xml:space="preserve">Pour décentraliser la gestion des achats, vous pouvez créer plusieurs Comptes d’Achats et également disposer de différents types de Comptes d’Achats, rattachés à votre MPSA : </w:t>
      </w:r>
    </w:p>
    <w:tbl>
      <w:tblPr>
        <w:tblStyle w:val="MediumShading1-Accent4"/>
        <w:tblW w:w="0" w:type="auto"/>
        <w:tblInd w:w="108" w:type="dxa"/>
        <w:tblLook w:val="04A0" w:firstRow="1" w:lastRow="0" w:firstColumn="1" w:lastColumn="0" w:noHBand="0" w:noVBand="1"/>
      </w:tblPr>
      <w:tblGrid>
        <w:gridCol w:w="2250"/>
        <w:gridCol w:w="2250"/>
        <w:gridCol w:w="2250"/>
      </w:tblGrid>
      <w:tr w:rsidR="006E2458" w:rsidRPr="004105EA" w:rsidTr="0019337E">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rsidR="006E2458" w:rsidRPr="00483B32" w:rsidRDefault="006E2458" w:rsidP="0019337E">
            <w:pPr>
              <w:pStyle w:val="BodyText"/>
              <w:spacing w:after="0" w:line="240" w:lineRule="auto"/>
              <w:jc w:val="center"/>
            </w:pPr>
            <w:r>
              <w:rPr>
                <w:color w:val="FFFFFF" w:themeColor="background1"/>
                <w:sz w:val="16"/>
              </w:rPr>
              <w:t>COMPTE D’ACHATS 1</w:t>
            </w:r>
          </w:p>
          <w:p w:rsidR="006E2458" w:rsidRPr="004105EA" w:rsidRDefault="006E2458" w:rsidP="0019337E">
            <w:pPr>
              <w:pStyle w:val="BodyText"/>
              <w:spacing w:after="0" w:line="240" w:lineRule="auto"/>
              <w:jc w:val="center"/>
              <w:rPr>
                <w:color w:val="FFFFFF" w:themeColor="background1"/>
                <w:sz w:val="16"/>
              </w:rPr>
            </w:pPr>
            <w:r>
              <w:rPr>
                <w:color w:val="FFFFFF" w:themeColor="background1"/>
                <w:sz w:val="16"/>
              </w:rPr>
              <w:t>Éducation</w:t>
            </w:r>
          </w:p>
        </w:tc>
        <w:tc>
          <w:tcPr>
            <w:tcW w:w="2250" w:type="dxa"/>
            <w:vAlign w:val="center"/>
          </w:tcPr>
          <w:p w:rsidR="006E2458" w:rsidRPr="00483B32" w:rsidRDefault="006E2458"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COMPTE D’ACHATS 2</w:t>
            </w:r>
          </w:p>
          <w:p w:rsidR="006E2458" w:rsidRPr="004105EA" w:rsidRDefault="006E2458"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Commercial</w:t>
            </w:r>
          </w:p>
        </w:tc>
        <w:tc>
          <w:tcPr>
            <w:tcW w:w="2250" w:type="dxa"/>
            <w:vAlign w:val="center"/>
          </w:tcPr>
          <w:p w:rsidR="006E2458" w:rsidRPr="00483B32" w:rsidRDefault="006E2458"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COMPTE D’ACHATS 3</w:t>
            </w:r>
          </w:p>
          <w:p w:rsidR="006E2458" w:rsidRPr="004105EA" w:rsidRDefault="006E2458"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Commercial</w:t>
            </w:r>
          </w:p>
        </w:tc>
      </w:tr>
      <w:tr w:rsidR="006E2458" w:rsidRPr="004105EA" w:rsidTr="0019337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6E2458" w:rsidRPr="004105EA" w:rsidRDefault="006E2458" w:rsidP="0019337E">
            <w:pPr>
              <w:pStyle w:val="BodyText"/>
              <w:spacing w:after="0" w:line="240" w:lineRule="auto"/>
              <w:jc w:val="center"/>
              <w:rPr>
                <w:color w:val="FFFFFF" w:themeColor="background1"/>
                <w:sz w:val="16"/>
              </w:rPr>
            </w:pPr>
            <w:r>
              <w:rPr>
                <w:color w:val="FFC000" w:themeColor="accent4"/>
                <w:sz w:val="16"/>
              </w:rPr>
              <w:t>MPSA</w:t>
            </w:r>
          </w:p>
        </w:tc>
      </w:tr>
    </w:tbl>
    <w:p w:rsidR="006E2458" w:rsidRPr="00483B32" w:rsidRDefault="006E2458" w:rsidP="006E2458">
      <w:pPr>
        <w:pStyle w:val="Thirdheading"/>
      </w:pPr>
    </w:p>
    <w:tbl>
      <w:tblPr>
        <w:tblStyle w:val="MediumShading1-Accent4"/>
        <w:tblW w:w="0" w:type="auto"/>
        <w:tblInd w:w="108" w:type="dxa"/>
        <w:tblLook w:val="04A0" w:firstRow="1" w:lastRow="0" w:firstColumn="1" w:lastColumn="0" w:noHBand="0" w:noVBand="1"/>
      </w:tblPr>
      <w:tblGrid>
        <w:gridCol w:w="2250"/>
        <w:gridCol w:w="2250"/>
        <w:gridCol w:w="2250"/>
      </w:tblGrid>
      <w:tr w:rsidR="006E2458" w:rsidRPr="004105EA" w:rsidTr="0019337E">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rsidR="006E2458" w:rsidRPr="00483B32" w:rsidRDefault="006E2458" w:rsidP="0019337E">
            <w:pPr>
              <w:pStyle w:val="BodyText"/>
              <w:spacing w:after="0" w:line="240" w:lineRule="auto"/>
              <w:jc w:val="center"/>
            </w:pPr>
            <w:r>
              <w:rPr>
                <w:color w:val="FFFFFF" w:themeColor="background1"/>
                <w:sz w:val="16"/>
              </w:rPr>
              <w:t>COMPTE D’ACHATS 1</w:t>
            </w:r>
          </w:p>
          <w:p w:rsidR="006E2458" w:rsidRPr="004105EA" w:rsidRDefault="006E2458" w:rsidP="0019337E">
            <w:pPr>
              <w:pStyle w:val="BodyText"/>
              <w:spacing w:after="0" w:line="240" w:lineRule="auto"/>
              <w:jc w:val="center"/>
              <w:rPr>
                <w:color w:val="FFFFFF" w:themeColor="background1"/>
                <w:sz w:val="16"/>
              </w:rPr>
            </w:pPr>
            <w:r>
              <w:rPr>
                <w:color w:val="FFFFFF" w:themeColor="background1"/>
                <w:sz w:val="16"/>
              </w:rPr>
              <w:t>Commercial</w:t>
            </w:r>
          </w:p>
        </w:tc>
        <w:tc>
          <w:tcPr>
            <w:tcW w:w="2250" w:type="dxa"/>
            <w:vAlign w:val="center"/>
          </w:tcPr>
          <w:p w:rsidR="006E2458" w:rsidRPr="00483B32" w:rsidRDefault="006E2458"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COMPTE D’ACHATS 2</w:t>
            </w:r>
          </w:p>
          <w:p w:rsidR="006E2458" w:rsidRPr="004105EA" w:rsidRDefault="006E2458"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Commercial</w:t>
            </w:r>
          </w:p>
        </w:tc>
        <w:tc>
          <w:tcPr>
            <w:tcW w:w="2250" w:type="dxa"/>
            <w:vAlign w:val="center"/>
          </w:tcPr>
          <w:p w:rsidR="006E2458" w:rsidRPr="00483B32" w:rsidRDefault="006E2458"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COMPTE D’ACHATS 3</w:t>
            </w:r>
          </w:p>
          <w:p w:rsidR="006E2458" w:rsidRPr="004105EA" w:rsidRDefault="006E2458" w:rsidP="0019337E">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Commercial</w:t>
            </w:r>
          </w:p>
        </w:tc>
      </w:tr>
      <w:tr w:rsidR="006E2458" w:rsidRPr="004105EA" w:rsidTr="0019337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6E2458" w:rsidRPr="004105EA" w:rsidRDefault="006E2458" w:rsidP="0019337E">
            <w:pPr>
              <w:pStyle w:val="BodyText"/>
              <w:spacing w:after="0" w:line="240" w:lineRule="auto"/>
              <w:jc w:val="center"/>
              <w:rPr>
                <w:color w:val="FFFFFF" w:themeColor="background1"/>
                <w:sz w:val="16"/>
              </w:rPr>
            </w:pPr>
            <w:r>
              <w:rPr>
                <w:color w:val="FFC000" w:themeColor="accent4"/>
                <w:sz w:val="16"/>
              </w:rPr>
              <w:t>MPSA</w:t>
            </w:r>
          </w:p>
        </w:tc>
      </w:tr>
    </w:tbl>
    <w:p w:rsidR="006E2458" w:rsidRPr="00483B32" w:rsidRDefault="006E2458" w:rsidP="006E2458">
      <w:pPr>
        <w:pStyle w:val="Thirdheading"/>
      </w:pPr>
    </w:p>
    <w:p w:rsidR="006E2458" w:rsidRPr="00483B32" w:rsidRDefault="006E2458" w:rsidP="006E2458">
      <w:pPr>
        <w:pStyle w:val="Thirdheading"/>
      </w:pPr>
      <w:r>
        <w:rPr>
          <w:b/>
        </w:rPr>
        <w:t>Mois anniversaire du Compte d’Achats</w:t>
      </w:r>
    </w:p>
    <w:p w:rsidR="006E2458" w:rsidRPr="00483B32" w:rsidRDefault="006E2458" w:rsidP="006E2458">
      <w:pPr>
        <w:pStyle w:val="BodyText"/>
      </w:pPr>
      <w:r>
        <w:t>Lorsque vous enregistrez un Compte d’Achats, vous devez choisir le mois durant lequel l’ensemble des Produits, Licences ou Services en Ligne sous abonnement achetés pourront être renouvelés. Par exemple, si l’un de vos comptes choisit le mois de janvier comme mois anniversaire, alors chaque achat de Services en Ligne effectué en vertu de ce compte sera fixé sur ce mois, avec un renouvellement des Services en Ligne en janvier de chaque année. Ce choix pourra être modifié ultérieurement au besoin, via le Centre de Gestion des Licences en Volume de Microsoft (Microsoft Volume Licensing Center, MVLC).</w:t>
      </w:r>
    </w:p>
    <w:p w:rsidR="006E2458" w:rsidRPr="00483B32" w:rsidRDefault="006E2458" w:rsidP="006E2458">
      <w:pPr>
        <w:pStyle w:val="BodyText"/>
      </w:pPr>
      <w:r>
        <w:t>Les Comptes d’Achats Secteur Public et Éducation peuvent spécifier la date d’expiration des abonnements qu’ils souscrivent. Les abonnements expireront à la date choisie. Cette date peut être repoussée au besoin.</w:t>
      </w:r>
    </w:p>
    <w:p w:rsidR="006E2458" w:rsidRPr="00483B32" w:rsidRDefault="006E2458" w:rsidP="006E2458">
      <w:pPr>
        <w:pStyle w:val="BodyText"/>
      </w:pPr>
    </w:p>
    <w:p w:rsidR="006E2458" w:rsidRPr="00483B32" w:rsidRDefault="006E2458" w:rsidP="006E2458">
      <w:pPr>
        <w:pStyle w:val="Thirdheading"/>
      </w:pPr>
      <w:r>
        <w:rPr>
          <w:b/>
        </w:rPr>
        <w:t>Administrateur du Contrat</w:t>
      </w:r>
    </w:p>
    <w:p w:rsidR="006E2458" w:rsidRPr="00483B32" w:rsidRDefault="006E2458" w:rsidP="006E2458">
      <w:pPr>
        <w:pStyle w:val="BodyText"/>
      </w:pPr>
      <w:r>
        <w:t>Un Compte d’Achats doit être désigné comme Administrateur du Contrat pour chaque MPSA. Il vous offre un aperçu global des actifs de votre établissement et vous permet de gérer l’ensemble de vos Comptes d’Achats de manière centralisée. Le compte Administrateur du Contrat :</w:t>
      </w:r>
    </w:p>
    <w:p w:rsidR="006E2458" w:rsidRPr="00483B32" w:rsidRDefault="006E2458" w:rsidP="006E2458">
      <w:pPr>
        <w:pStyle w:val="BodyText"/>
        <w:numPr>
          <w:ilvl w:val="0"/>
          <w:numId w:val="16"/>
        </w:numPr>
        <w:spacing w:after="0"/>
      </w:pPr>
      <w:r>
        <w:t>a accès aux actifs de l’ensemble des Comptes d’Achats ;</w:t>
      </w:r>
    </w:p>
    <w:p w:rsidR="006E2458" w:rsidRPr="00483B32" w:rsidRDefault="006E2458" w:rsidP="006E2458">
      <w:pPr>
        <w:pStyle w:val="BodyText"/>
        <w:numPr>
          <w:ilvl w:val="0"/>
          <w:numId w:val="16"/>
        </w:numPr>
        <w:spacing w:after="0"/>
      </w:pPr>
      <w:r>
        <w:t>est averti lorsqu’un Compte d’Achats est associé à votre MPSA ;</w:t>
      </w:r>
    </w:p>
    <w:p w:rsidR="006E2458" w:rsidRPr="00483B32" w:rsidRDefault="006E2458" w:rsidP="006E2458">
      <w:pPr>
        <w:pStyle w:val="BodyText"/>
        <w:numPr>
          <w:ilvl w:val="0"/>
          <w:numId w:val="16"/>
        </w:numPr>
        <w:spacing w:after="0"/>
      </w:pPr>
      <w:r>
        <w:lastRenderedPageBreak/>
        <w:t>peut suspendre le rattachement de tout Compte d’Achats au MPSA ;</w:t>
      </w:r>
    </w:p>
    <w:p w:rsidR="006E2458" w:rsidRPr="00483B32" w:rsidRDefault="006E2458" w:rsidP="006E2458">
      <w:pPr>
        <w:pStyle w:val="BodyText"/>
        <w:numPr>
          <w:ilvl w:val="0"/>
          <w:numId w:val="16"/>
        </w:numPr>
        <w:spacing w:after="0"/>
      </w:pPr>
      <w:r>
        <w:t>peut mettre fin au MPSA ;</w:t>
      </w:r>
    </w:p>
    <w:p w:rsidR="006E2458" w:rsidRPr="00483B32" w:rsidRDefault="006E2458" w:rsidP="006E2458">
      <w:pPr>
        <w:pStyle w:val="BodyText"/>
        <w:numPr>
          <w:ilvl w:val="0"/>
          <w:numId w:val="16"/>
        </w:numPr>
        <w:spacing w:after="0"/>
      </w:pPr>
      <w:r>
        <w:t xml:space="preserve">ne peut pas passer de commandes pour d’autres Comptes d’Achats ni gérer leurs actifs ; </w:t>
      </w:r>
    </w:p>
    <w:p w:rsidR="006E2458" w:rsidRPr="00483B32" w:rsidRDefault="006E2458" w:rsidP="006E2458">
      <w:pPr>
        <w:pStyle w:val="BodyText"/>
        <w:numPr>
          <w:ilvl w:val="0"/>
          <w:numId w:val="16"/>
        </w:numPr>
        <w:spacing w:after="0"/>
      </w:pPr>
      <w:r>
        <w:t>gère les Affiliés comme des Clients à part entière (personne morale).</w:t>
      </w:r>
    </w:p>
    <w:p w:rsidR="006E2458" w:rsidRPr="00483B32" w:rsidRDefault="006E2458" w:rsidP="006E2458">
      <w:pPr>
        <w:pStyle w:val="Thirdheading"/>
        <w:spacing w:line="240" w:lineRule="auto"/>
      </w:pPr>
      <w:r>
        <w:rPr>
          <w:b/>
        </w:rPr>
        <w:t>Partenaires</w:t>
      </w:r>
    </w:p>
    <w:p w:rsidR="006E2458" w:rsidRPr="00483B32" w:rsidRDefault="006E2458" w:rsidP="006E2458">
      <w:pPr>
        <w:pStyle w:val="BodyText"/>
        <w:spacing w:after="0"/>
      </w:pPr>
      <w:r>
        <w:t>Les achats en vertu du contrat MPSA peuvent être effectués auprès de Fournisseurs de Licences Partenaires (Licensing Solution Partners, LSP). Chaque Compte d’Achats peut choisir un LSP, qui lui permettra de s’enregistrer et de signer électroniquement le contrat d’enregistrement</w:t>
      </w:r>
      <w:r>
        <w:rPr>
          <w:rStyle w:val="FootnoteReference"/>
        </w:rPr>
        <w:footnoteReference w:id="1"/>
      </w:r>
      <w:r>
        <w:t xml:space="preserve">. Vous pouvez ajouter des LSP supplémentaires à tout moment, selon vos besoins. Pour localiser les Partenaires internationaux, consultez la page </w:t>
      </w:r>
      <w:hyperlink r:id="rId13" w:history="1">
        <w:r>
          <w:rPr>
            <w:rStyle w:val="Hyperlink"/>
          </w:rPr>
          <w:t>http://pinpoint.microsoft.com</w:t>
        </w:r>
      </w:hyperlink>
      <w:r w:rsidRPr="00AF4AC2">
        <w:t>.</w:t>
      </w:r>
    </w:p>
    <w:p w:rsidR="006E2458" w:rsidRPr="001764CD" w:rsidRDefault="006E2458" w:rsidP="006E2458">
      <w:pPr>
        <w:pStyle w:val="Hdg1noborder"/>
        <w:spacing w:before="240"/>
        <w:rPr>
          <w:rFonts w:asciiTheme="majorHAnsi" w:eastAsiaTheme="majorEastAsia" w:hAnsiTheme="majorHAnsi" w:cstheme="majorBidi"/>
          <w:bCs/>
          <w:color w:val="FFC000" w:themeColor="accent4"/>
          <w:sz w:val="28"/>
          <w:szCs w:val="26"/>
        </w:rPr>
      </w:pPr>
      <w:bookmarkStart w:id="10" w:name="_Toc403380296"/>
      <w:bookmarkStart w:id="11" w:name="_Toc403985014"/>
      <w:bookmarkStart w:id="12" w:name="_Toc428272524"/>
      <w:r>
        <w:rPr>
          <w:rFonts w:asciiTheme="majorHAnsi" w:eastAsiaTheme="majorEastAsia" w:hAnsiTheme="majorHAnsi" w:cstheme="majorBidi"/>
          <w:bCs/>
          <w:color w:val="FFC000" w:themeColor="accent4"/>
          <w:sz w:val="28"/>
          <w:szCs w:val="26"/>
        </w:rPr>
        <w:t>Structure du contrat</w:t>
      </w:r>
      <w:bookmarkEnd w:id="10"/>
      <w:bookmarkEnd w:id="11"/>
      <w:bookmarkEnd w:id="12"/>
    </w:p>
    <w:p w:rsidR="006E2458" w:rsidRPr="00483B32" w:rsidRDefault="006E2458" w:rsidP="006E2458">
      <w:pPr>
        <w:pStyle w:val="BodyText"/>
      </w:pPr>
      <w:r>
        <w:t xml:space="preserve">Variables selon votre structure organisationnelle, les conditions générales du MPSA s’articulent autour des sections suivantes : </w:t>
      </w:r>
    </w:p>
    <w:p w:rsidR="006E2458" w:rsidRPr="00483B32" w:rsidRDefault="006E2458" w:rsidP="006E2458">
      <w:pPr>
        <w:pStyle w:val="BodyText"/>
        <w:numPr>
          <w:ilvl w:val="0"/>
          <w:numId w:val="45"/>
        </w:numPr>
      </w:pPr>
      <w:r>
        <w:t>Conditions Générales : dispositions applicables à tous les types de Clients, partout dans le monde ;</w:t>
      </w:r>
    </w:p>
    <w:p w:rsidR="006E2458" w:rsidRPr="00483B32" w:rsidRDefault="006E2458" w:rsidP="006E2458">
      <w:pPr>
        <w:pStyle w:val="BodyText"/>
        <w:numPr>
          <w:ilvl w:val="0"/>
          <w:numId w:val="45"/>
        </w:numPr>
      </w:pPr>
      <w:r>
        <w:t>Services Professionnels : conditions générales des services internationaux de support et de conseil de Microsoft ;</w:t>
      </w:r>
    </w:p>
    <w:p w:rsidR="006E2458" w:rsidRPr="00483B32" w:rsidRDefault="006E2458" w:rsidP="006E2458">
      <w:pPr>
        <w:pStyle w:val="BodyText"/>
        <w:numPr>
          <w:ilvl w:val="0"/>
          <w:numId w:val="45"/>
        </w:numPr>
      </w:pPr>
      <w:r>
        <w:t>Conditions Spécifiques des Comptes d’Achats : conditions spécifiques applicables aux Comptes d’Achats Secteur Public et Éducation ;</w:t>
      </w:r>
    </w:p>
    <w:p w:rsidR="006E2458" w:rsidRPr="00483B32" w:rsidRDefault="006E2458" w:rsidP="006E2458">
      <w:pPr>
        <w:pStyle w:val="BodyText"/>
        <w:numPr>
          <w:ilvl w:val="0"/>
          <w:numId w:val="45"/>
        </w:numPr>
      </w:pPr>
      <w:r>
        <w:t xml:space="preserve">Conditions Locales des Comptes d’Achats : conditions spécifiques applicables aux Comptes d’Achats Secteur Public et Éducation dans certains pays/certaines régions. </w:t>
      </w:r>
    </w:p>
    <w:p w:rsidR="006E2458" w:rsidRPr="00483B32" w:rsidRDefault="006E2458" w:rsidP="006E2458">
      <w:pPr>
        <w:pStyle w:val="BodyText"/>
      </w:pPr>
      <w:r>
        <w:t xml:space="preserve">La création de Comptes d’Achats Secteur Public et Éducation est conditionnée par le respect des exigences publiées sur la page </w:t>
      </w:r>
      <w:hyperlink r:id="rId14" w:history="1">
        <w:r>
          <w:rPr>
            <w:rStyle w:val="Hyperlink"/>
          </w:rPr>
          <w:t>http://www.microsoftvolumelicensing.com/contracts</w:t>
        </w:r>
      </w:hyperlink>
      <w:r>
        <w:t>.</w:t>
      </w:r>
    </w:p>
    <w:p w:rsidR="006E2458" w:rsidRPr="000C5C03" w:rsidRDefault="006E2458" w:rsidP="006E2458">
      <w:pPr>
        <w:pStyle w:val="Hdg1noborder"/>
        <w:spacing w:before="240"/>
        <w:rPr>
          <w:rFonts w:asciiTheme="majorHAnsi" w:eastAsiaTheme="majorEastAsia" w:hAnsiTheme="majorHAnsi" w:cstheme="majorBidi"/>
          <w:bCs/>
          <w:color w:val="FFC000" w:themeColor="accent4"/>
          <w:sz w:val="28"/>
          <w:szCs w:val="26"/>
        </w:rPr>
      </w:pPr>
      <w:bookmarkStart w:id="13" w:name="_Toc403380297"/>
      <w:bookmarkStart w:id="14" w:name="_Toc403985015"/>
      <w:bookmarkStart w:id="15" w:name="_Toc428272525"/>
      <w:r>
        <w:rPr>
          <w:rFonts w:asciiTheme="majorHAnsi" w:eastAsiaTheme="majorEastAsia" w:hAnsiTheme="majorHAnsi" w:cstheme="majorBidi"/>
          <w:bCs/>
          <w:color w:val="FFC000" w:themeColor="accent4"/>
          <w:sz w:val="28"/>
          <w:szCs w:val="26"/>
        </w:rPr>
        <w:t>Achats transactionnels</w:t>
      </w:r>
      <w:bookmarkEnd w:id="13"/>
      <w:bookmarkEnd w:id="14"/>
      <w:bookmarkEnd w:id="15"/>
    </w:p>
    <w:p w:rsidR="006E2458" w:rsidRPr="00483B32" w:rsidRDefault="006E2458" w:rsidP="006E2458">
      <w:pPr>
        <w:pStyle w:val="Thirdheading"/>
      </w:pPr>
      <w:r>
        <w:rPr>
          <w:b/>
        </w:rPr>
        <w:t>Produits</w:t>
      </w:r>
    </w:p>
    <w:p w:rsidR="006E2458" w:rsidRPr="00483B32" w:rsidRDefault="006E2458" w:rsidP="006E2458">
      <w:pPr>
        <w:pStyle w:val="BodyText"/>
      </w:pPr>
      <w:r>
        <w:t xml:space="preserve">Un MPSA vous permet de commander des Logiciels et des Services en Ligne. Il couvre la plupart des Logiciels actuellement disponibles via Select Plus, Office 365, Intune, CRM Online et Yammer. Pour obtenir la liste complète des Produits couverts par les contrats MPSA, reportez-vous aux Conditions applicables aux Produits à l’adresse </w:t>
      </w:r>
      <w:hyperlink r:id="rId15" w:history="1">
        <w:r>
          <w:rPr>
            <w:rStyle w:val="Hyperlink"/>
          </w:rPr>
          <w:t>http://www.microsoft.com/licensing/contracts</w:t>
        </w:r>
      </w:hyperlink>
      <w:r>
        <w:t>.</w:t>
      </w:r>
    </w:p>
    <w:p w:rsidR="006E2458" w:rsidRPr="00483B32" w:rsidRDefault="006E2458" w:rsidP="006E2458">
      <w:pPr>
        <w:pStyle w:val="Thirdheading"/>
      </w:pPr>
      <w:r>
        <w:rPr>
          <w:b/>
        </w:rPr>
        <w:t>Téléchargements et accès aux informations relatives aux comptes</w:t>
      </w:r>
    </w:p>
    <w:p w:rsidR="006E2458" w:rsidRPr="00483B32" w:rsidRDefault="006E2458" w:rsidP="006E2458">
      <w:pPr>
        <w:pStyle w:val="BodyText"/>
      </w:pPr>
      <w:r>
        <w:t>Le portail Microsoft Volume Licensing Center (MVLC) vous permet de télécharger des Logiciels, d’accéder à des clés de Produit, de consulter votre portefeuille de licences et de services, et de vous procurer des Services en Ligne. Il est accessible à l’adresse</w:t>
      </w:r>
      <w:r>
        <w:rPr>
          <w:color w:val="1F497D"/>
        </w:rPr>
        <w:t xml:space="preserve"> </w:t>
      </w:r>
      <w:hyperlink r:id="rId16" w:history="1">
        <w:r>
          <w:rPr>
            <w:rStyle w:val="Hyperlink"/>
          </w:rPr>
          <w:t>https://licensing.microsoft.com/customer/</w:t>
        </w:r>
      </w:hyperlink>
      <w:r>
        <w:rPr>
          <w:color w:val="1F497D"/>
        </w:rPr>
        <w:t>.</w:t>
      </w:r>
    </w:p>
    <w:p w:rsidR="006E2458" w:rsidRPr="00483B32" w:rsidRDefault="006E2458" w:rsidP="006E2458">
      <w:pPr>
        <w:pStyle w:val="Thirdheading"/>
      </w:pPr>
      <w:r>
        <w:rPr>
          <w:b/>
        </w:rPr>
        <w:t>Niveaux de prix</w:t>
      </w:r>
    </w:p>
    <w:p w:rsidR="006E2458" w:rsidRPr="00483B32" w:rsidRDefault="006E2458" w:rsidP="006E2458">
      <w:pPr>
        <w:pStyle w:val="BodyText"/>
      </w:pPr>
      <w:r>
        <w:t>Pour bénéficier des niveaux de prix de votre MPSA sur l’achat de Produits d’un groupe de Produits donné, vos achats desdits Produits doivent totaliser au moins 500 points sur l’année. Vous pouvez également en bénéficier si vos achats de Services en Ligne du même groupe de Produits totalisent au moins 250 points ou si vous associez un contrat éligible actif (Accord de Mise en Œuvre Entreprise, Accord de Mise en Œuvre Souscription Entreprise ou Contrat Select Plus) à votre MPSA. Vous devez obtenir l’approbation et être affilié avec le Client ayant signé ce contrat éligible pour pouvoir l’associer au MPSA. Vous pouvez également utiliser des Services Microsoft Azure facturés via un Compte d’Achats sans répondre aux exigences minimum concernant les points.</w:t>
      </w:r>
    </w:p>
    <w:p w:rsidR="006E2458" w:rsidRPr="00483B32" w:rsidRDefault="006E2458" w:rsidP="006E2458">
      <w:pPr>
        <w:pStyle w:val="BodyText"/>
      </w:pPr>
      <w:r>
        <w:t>Quatre niveaux de prix par groupe de Produits, définis ci-dessous, sont proposés pour les Comptes d’Achats enregistrés par des organisations commerciales. Le tableau ci-dessous indique le nombre minimum de points que les Comptes d’Achats Commerce doivent cumuler dans l’année pour bénéficier de chaque niveau de prix.</w:t>
      </w:r>
    </w:p>
    <w:tbl>
      <w:tblPr>
        <w:tblStyle w:val="MediumShading1-Accent4"/>
        <w:tblW w:w="4126" w:type="pct"/>
        <w:tblInd w:w="108" w:type="dxa"/>
        <w:tblLook w:val="04A0" w:firstRow="1" w:lastRow="0" w:firstColumn="1" w:lastColumn="0" w:noHBand="0" w:noVBand="1"/>
      </w:tblPr>
      <w:tblGrid>
        <w:gridCol w:w="4500"/>
        <w:gridCol w:w="4590"/>
      </w:tblGrid>
      <w:tr w:rsidR="006E2458" w:rsidRPr="00B50681" w:rsidTr="0019337E">
        <w:trPr>
          <w:cnfStyle w:val="100000000000" w:firstRow="1" w:lastRow="0" w:firstColumn="0" w:lastColumn="0" w:oddVBand="0" w:evenVBand="0" w:oddHBand="0" w:evenHBand="0" w:firstRowFirstColumn="0" w:firstRowLastColumn="0" w:lastRowFirstColumn="0" w:lastRowLastColumn="0"/>
          <w:trHeight w:val="106"/>
        </w:trPr>
        <w:tc>
          <w:tcPr>
            <w:cnfStyle w:val="001000000000" w:firstRow="0" w:lastRow="0" w:firstColumn="1" w:lastColumn="0" w:oddVBand="0" w:evenVBand="0" w:oddHBand="0" w:evenHBand="0" w:firstRowFirstColumn="0" w:firstRowLastColumn="0" w:lastRowFirstColumn="0" w:lastRowLastColumn="0"/>
            <w:tcW w:w="2475" w:type="pct"/>
          </w:tcPr>
          <w:p w:rsidR="006E2458" w:rsidRPr="00B50681" w:rsidRDefault="006E2458" w:rsidP="0019337E">
            <w:pPr>
              <w:pStyle w:val="VLTableHeader"/>
              <w:spacing w:before="0" w:after="0"/>
              <w:jc w:val="center"/>
              <w:rPr>
                <w:b/>
              </w:rPr>
            </w:pPr>
            <w:r>
              <w:rPr>
                <w:b/>
              </w:rPr>
              <w:t>Niveau de prix – Commerce</w:t>
            </w:r>
          </w:p>
        </w:tc>
        <w:tc>
          <w:tcPr>
            <w:tcW w:w="2525" w:type="pct"/>
          </w:tcPr>
          <w:p w:rsidR="006E2458" w:rsidRPr="00B50681" w:rsidRDefault="006E2458" w:rsidP="0019337E">
            <w:pPr>
              <w:pStyle w:val="VLTableHeader"/>
              <w:spacing w:before="0" w:after="0"/>
              <w:jc w:val="center"/>
              <w:cnfStyle w:val="100000000000" w:firstRow="1" w:lastRow="0" w:firstColumn="0" w:lastColumn="0" w:oddVBand="0" w:evenVBand="0" w:oddHBand="0" w:evenHBand="0" w:firstRowFirstColumn="0" w:firstRowLastColumn="0" w:lastRowFirstColumn="0" w:lastRowLastColumn="0"/>
              <w:rPr>
                <w:b/>
              </w:rPr>
            </w:pPr>
            <w:r>
              <w:rPr>
                <w:b/>
              </w:rPr>
              <w:t xml:space="preserve">Nombre min. de points annuels par groupe de </w:t>
            </w:r>
            <w:r>
              <w:rPr>
                <w:b/>
              </w:rPr>
              <w:lastRenderedPageBreak/>
              <w:t>Produits</w:t>
            </w:r>
          </w:p>
        </w:tc>
      </w:tr>
      <w:tr w:rsidR="006E2458" w:rsidTr="0019337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6E2458" w:rsidRPr="00B50681" w:rsidRDefault="006E2458" w:rsidP="0019337E">
            <w:pPr>
              <w:pStyle w:val="VLBodyCopy2"/>
              <w:jc w:val="center"/>
              <w:rPr>
                <w:b w:val="0"/>
              </w:rPr>
            </w:pPr>
            <w:r>
              <w:rPr>
                <w:b w:val="0"/>
              </w:rPr>
              <w:lastRenderedPageBreak/>
              <w:t>A</w:t>
            </w:r>
          </w:p>
        </w:tc>
        <w:tc>
          <w:tcPr>
            <w:tcW w:w="2525" w:type="pct"/>
          </w:tcPr>
          <w:p w:rsidR="006E2458" w:rsidRPr="00B50681" w:rsidRDefault="006E2458" w:rsidP="0019337E">
            <w:pPr>
              <w:pStyle w:val="VLBodyCopy2"/>
              <w:jc w:val="center"/>
              <w:cnfStyle w:val="000000100000" w:firstRow="0" w:lastRow="0" w:firstColumn="0" w:lastColumn="0" w:oddVBand="0" w:evenVBand="0" w:oddHBand="1" w:evenHBand="0" w:firstRowFirstColumn="0" w:firstRowLastColumn="0" w:lastRowFirstColumn="0" w:lastRowLastColumn="0"/>
            </w:pPr>
            <w:r>
              <w:t>500 ou 250 sur les Services en Ligne</w:t>
            </w:r>
          </w:p>
        </w:tc>
      </w:tr>
      <w:tr w:rsidR="006E2458" w:rsidTr="0019337E">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6E2458" w:rsidRPr="00B50681" w:rsidRDefault="006E2458" w:rsidP="0019337E">
            <w:pPr>
              <w:pStyle w:val="VLBodyCopy2"/>
              <w:jc w:val="center"/>
              <w:rPr>
                <w:b w:val="0"/>
              </w:rPr>
            </w:pPr>
            <w:r>
              <w:rPr>
                <w:b w:val="0"/>
              </w:rPr>
              <w:t>B</w:t>
            </w:r>
          </w:p>
        </w:tc>
        <w:tc>
          <w:tcPr>
            <w:tcW w:w="2525" w:type="pct"/>
          </w:tcPr>
          <w:p w:rsidR="006E2458" w:rsidRPr="00B50681" w:rsidRDefault="006E2458" w:rsidP="0019337E">
            <w:pPr>
              <w:pStyle w:val="VLBodyCopy2"/>
              <w:jc w:val="center"/>
              <w:cnfStyle w:val="000000010000" w:firstRow="0" w:lastRow="0" w:firstColumn="0" w:lastColumn="0" w:oddVBand="0" w:evenVBand="0" w:oddHBand="0" w:evenHBand="1" w:firstRowFirstColumn="0" w:firstRowLastColumn="0" w:lastRowFirstColumn="0" w:lastRowLastColumn="0"/>
            </w:pPr>
            <w:r>
              <w:t>4 000</w:t>
            </w:r>
          </w:p>
        </w:tc>
      </w:tr>
      <w:tr w:rsidR="006E2458" w:rsidTr="0019337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6E2458" w:rsidRPr="00B50681" w:rsidRDefault="006E2458" w:rsidP="0019337E">
            <w:pPr>
              <w:pStyle w:val="VLBodyCopy2"/>
              <w:jc w:val="center"/>
              <w:rPr>
                <w:b w:val="0"/>
              </w:rPr>
            </w:pPr>
            <w:r>
              <w:rPr>
                <w:b w:val="0"/>
              </w:rPr>
              <w:t>C</w:t>
            </w:r>
          </w:p>
        </w:tc>
        <w:tc>
          <w:tcPr>
            <w:tcW w:w="2525" w:type="pct"/>
          </w:tcPr>
          <w:p w:rsidR="006E2458" w:rsidRPr="00B50681" w:rsidRDefault="006E2458" w:rsidP="0019337E">
            <w:pPr>
              <w:pStyle w:val="VLBodyCopy2"/>
              <w:jc w:val="center"/>
              <w:cnfStyle w:val="000000100000" w:firstRow="0" w:lastRow="0" w:firstColumn="0" w:lastColumn="0" w:oddVBand="0" w:evenVBand="0" w:oddHBand="1" w:evenHBand="0" w:firstRowFirstColumn="0" w:firstRowLastColumn="0" w:lastRowFirstColumn="0" w:lastRowLastColumn="0"/>
            </w:pPr>
            <w:r>
              <w:t>10 000</w:t>
            </w:r>
          </w:p>
        </w:tc>
      </w:tr>
      <w:tr w:rsidR="006E2458" w:rsidTr="0019337E">
        <w:trPr>
          <w:cnfStyle w:val="000000010000" w:firstRow="0" w:lastRow="0" w:firstColumn="0" w:lastColumn="0" w:oddVBand="0" w:evenVBand="0" w:oddHBand="0" w:evenHBand="1" w:firstRowFirstColumn="0" w:firstRowLastColumn="0" w:lastRowFirstColumn="0" w:lastRowLastColumn="0"/>
          <w:trHeight w:val="46"/>
        </w:trPr>
        <w:tc>
          <w:tcPr>
            <w:cnfStyle w:val="001000000000" w:firstRow="0" w:lastRow="0" w:firstColumn="1" w:lastColumn="0" w:oddVBand="0" w:evenVBand="0" w:oddHBand="0" w:evenHBand="0" w:firstRowFirstColumn="0" w:firstRowLastColumn="0" w:lastRowFirstColumn="0" w:lastRowLastColumn="0"/>
            <w:tcW w:w="2475" w:type="pct"/>
          </w:tcPr>
          <w:p w:rsidR="006E2458" w:rsidRPr="00B50681" w:rsidRDefault="006E2458" w:rsidP="0019337E">
            <w:pPr>
              <w:pStyle w:val="VLBodyCopy2"/>
              <w:jc w:val="center"/>
              <w:rPr>
                <w:b w:val="0"/>
              </w:rPr>
            </w:pPr>
            <w:r>
              <w:rPr>
                <w:b w:val="0"/>
              </w:rPr>
              <w:t>D</w:t>
            </w:r>
          </w:p>
        </w:tc>
        <w:tc>
          <w:tcPr>
            <w:tcW w:w="2525" w:type="pct"/>
          </w:tcPr>
          <w:p w:rsidR="006E2458" w:rsidRPr="00B50681" w:rsidRDefault="006E2458" w:rsidP="0019337E">
            <w:pPr>
              <w:pStyle w:val="VLBodyCopy2"/>
              <w:jc w:val="center"/>
              <w:cnfStyle w:val="000000010000" w:firstRow="0" w:lastRow="0" w:firstColumn="0" w:lastColumn="0" w:oddVBand="0" w:evenVBand="0" w:oddHBand="0" w:evenHBand="1" w:firstRowFirstColumn="0" w:firstRowLastColumn="0" w:lastRowFirstColumn="0" w:lastRowLastColumn="0"/>
            </w:pPr>
            <w:r>
              <w:t>25 000</w:t>
            </w:r>
          </w:p>
        </w:tc>
      </w:tr>
    </w:tbl>
    <w:p w:rsidR="006E2458" w:rsidRPr="00483B32" w:rsidRDefault="006E2458" w:rsidP="006E2458">
      <w:pPr>
        <w:pStyle w:val="BodyText"/>
      </w:pPr>
      <w:bookmarkStart w:id="16" w:name="_Toc364455186"/>
      <w:r>
        <w:t>Le niveau de prix applicable à la signature du contrat est le niveau A, par défaut. Vous bénéficierez automatiquement du niveau de prix supérieur si :</w:t>
      </w:r>
    </w:p>
    <w:p w:rsidR="006E2458" w:rsidRPr="00483B32" w:rsidRDefault="006E2458" w:rsidP="006E2458">
      <w:pPr>
        <w:pStyle w:val="BodyText"/>
        <w:numPr>
          <w:ilvl w:val="0"/>
          <w:numId w:val="16"/>
        </w:numPr>
        <w:spacing w:after="0"/>
      </w:pPr>
      <w:r>
        <w:t xml:space="preserve">vous passez une commande qui vous rapporte un nombre suffisant de points ; </w:t>
      </w:r>
    </w:p>
    <w:p w:rsidR="006E2458" w:rsidRPr="00483B32" w:rsidRDefault="006E2458" w:rsidP="006E2458">
      <w:pPr>
        <w:pStyle w:val="BodyText"/>
        <w:numPr>
          <w:ilvl w:val="0"/>
          <w:numId w:val="16"/>
        </w:numPr>
        <w:spacing w:after="0"/>
      </w:pPr>
      <w:r>
        <w:t>vous associez à votre MPSA un contrat éligible actif, qui vous permet de bénéficier d’un meilleur niveau de prix sur les Produits du groupe concerné.</w:t>
      </w:r>
    </w:p>
    <w:p w:rsidR="006E2458" w:rsidRPr="00483B32" w:rsidRDefault="006E2458" w:rsidP="006E2458">
      <w:pPr>
        <w:pStyle w:val="BodyText"/>
      </w:pPr>
    </w:p>
    <w:p w:rsidR="006E2458" w:rsidRPr="00483B32" w:rsidRDefault="006E2458" w:rsidP="006E2458">
      <w:pPr>
        <w:pStyle w:val="BodyText"/>
      </w:pPr>
      <w:r>
        <w:t>Les Comptes d’Achats Secteur Public et Éducation bénéficient d’un seul niveau de prix : le plus avantageux proposé par Microsoft dans le cadre d’un MPSA (pour le Secteur Public, il équivaut au niveau D applicable aux organisations commerciales).</w:t>
      </w:r>
    </w:p>
    <w:p w:rsidR="006E2458" w:rsidRPr="00483B32" w:rsidRDefault="006E2458" w:rsidP="006E2458">
      <w:pPr>
        <w:pStyle w:val="Thirdheading"/>
      </w:pPr>
      <w:r>
        <w:rPr>
          <w:b/>
        </w:rPr>
        <w:t>Points</w:t>
      </w:r>
    </w:p>
    <w:p w:rsidR="006E2458" w:rsidRPr="00483B32" w:rsidRDefault="006E2458" w:rsidP="006E2458">
      <w:pPr>
        <w:pStyle w:val="BodyText"/>
      </w:pPr>
      <w:r>
        <w:t>Microsoft distingue trois groupes de Produits,</w:t>
      </w:r>
      <w:r>
        <w:rPr>
          <w:szCs w:val="22"/>
        </w:rPr>
        <w:t xml:space="preserve"> aux niveaux de prix distincts</w:t>
      </w:r>
      <w:r>
        <w:t> : Applications, Systèmes et Serveurs. Le niveau de prix appliqué pour chaque groupe de Produits varie en fonction du nombre de points cumulés grâce aux achats de Produits dudit groupe. Le cumul des points correspond au total de points de l’ensemble de vos Comptes d’Achats de même type (Commerce, par exemple).</w:t>
      </w:r>
    </w:p>
    <w:p w:rsidR="006E2458" w:rsidRPr="00483B32" w:rsidRDefault="006E2458" w:rsidP="006E2458">
      <w:pPr>
        <w:pStyle w:val="BodyText"/>
        <w:numPr>
          <w:ilvl w:val="0"/>
          <w:numId w:val="16"/>
        </w:numPr>
        <w:spacing w:after="0"/>
      </w:pPr>
      <w:r>
        <w:t>Applications. Ce groupe inclut, par exemple, les Produits Microsoft Office Professionnel, Microsoft Lync et Office 365.</w:t>
      </w:r>
    </w:p>
    <w:p w:rsidR="006E2458" w:rsidRPr="00483B32" w:rsidRDefault="006E2458" w:rsidP="006E2458">
      <w:pPr>
        <w:pStyle w:val="BodyText"/>
        <w:numPr>
          <w:ilvl w:val="0"/>
          <w:numId w:val="16"/>
        </w:numPr>
        <w:spacing w:after="0"/>
      </w:pPr>
      <w:r>
        <w:t>Systèmes. Par exemple, ce groupe inclut les mises à jour de systèmes d’exploitation Windows, comme Windows Professionnel.</w:t>
      </w:r>
    </w:p>
    <w:p w:rsidR="006E2458" w:rsidRPr="00483B32" w:rsidRDefault="006E2458" w:rsidP="006E2458">
      <w:pPr>
        <w:pStyle w:val="BodyText"/>
        <w:numPr>
          <w:ilvl w:val="0"/>
          <w:numId w:val="16"/>
        </w:numPr>
        <w:spacing w:after="0"/>
      </w:pPr>
      <w:r>
        <w:t>Serveurs. Les Produits Serveurs incluent notamment Microsoft Exchange Server, les logiciels de base de données Microsoft SQL Server, Intune et les Licences d’Accès Client (Client Access Licenses, CAL) associées.</w:t>
      </w:r>
    </w:p>
    <w:p w:rsidR="006E2458" w:rsidRPr="00483B32" w:rsidRDefault="006E2458" w:rsidP="006E2458">
      <w:pPr>
        <w:pStyle w:val="BodyText"/>
        <w:spacing w:after="0"/>
      </w:pPr>
    </w:p>
    <w:p w:rsidR="006E2458" w:rsidRPr="00483B32" w:rsidRDefault="006E2458" w:rsidP="006E2458">
      <w:pPr>
        <w:pStyle w:val="BodyText"/>
        <w:spacing w:after="0" w:line="240" w:lineRule="auto"/>
      </w:pPr>
      <w:r>
        <w:t>Exemple :</w:t>
      </w:r>
    </w:p>
    <w:tbl>
      <w:tblPr>
        <w:tblStyle w:val="LightList-Accent4"/>
        <w:tblW w:w="0" w:type="auto"/>
        <w:tblInd w:w="108" w:type="dxa"/>
        <w:tblBorders>
          <w:top w:val="single" w:sz="4" w:space="0" w:color="FFC000" w:themeColor="accent4"/>
          <w:left w:val="single" w:sz="4" w:space="0" w:color="FFC000" w:themeColor="accent4"/>
          <w:bottom w:val="single" w:sz="4" w:space="0" w:color="FFC000" w:themeColor="accent4"/>
          <w:right w:val="single" w:sz="4" w:space="0" w:color="FFC000" w:themeColor="accent4"/>
        </w:tblBorders>
        <w:tblLook w:val="04A0" w:firstRow="1" w:lastRow="0" w:firstColumn="1" w:lastColumn="0" w:noHBand="0" w:noVBand="1"/>
      </w:tblPr>
      <w:tblGrid>
        <w:gridCol w:w="2039"/>
        <w:gridCol w:w="746"/>
        <w:gridCol w:w="2795"/>
        <w:gridCol w:w="810"/>
        <w:gridCol w:w="2808"/>
        <w:gridCol w:w="1260"/>
      </w:tblGrid>
      <w:tr w:rsidR="006E2458" w:rsidRPr="0020545D" w:rsidTr="0019337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39" w:type="dxa"/>
          </w:tcPr>
          <w:p w:rsidR="006E2458" w:rsidRPr="0020545D" w:rsidRDefault="006E2458" w:rsidP="0019337E">
            <w:pPr>
              <w:pStyle w:val="BodyText"/>
              <w:spacing w:after="0" w:line="240" w:lineRule="auto"/>
              <w:rPr>
                <w:color w:val="FFFFFF" w:themeColor="background1"/>
              </w:rPr>
            </w:pPr>
            <w:r>
              <w:rPr>
                <w:color w:val="FFFFFF" w:themeColor="background1"/>
              </w:rPr>
              <w:t>Groupe des Produits Applications</w:t>
            </w:r>
          </w:p>
        </w:tc>
        <w:tc>
          <w:tcPr>
            <w:tcW w:w="746" w:type="dxa"/>
          </w:tcPr>
          <w:p w:rsidR="006E2458" w:rsidRPr="0020545D" w:rsidRDefault="006E2458"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Points</w:t>
            </w:r>
          </w:p>
        </w:tc>
        <w:tc>
          <w:tcPr>
            <w:tcW w:w="2795" w:type="dxa"/>
          </w:tcPr>
          <w:p w:rsidR="006E2458" w:rsidRPr="0020545D" w:rsidRDefault="006E2458"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Groupe des Produits Systèmes</w:t>
            </w:r>
          </w:p>
        </w:tc>
        <w:tc>
          <w:tcPr>
            <w:tcW w:w="810" w:type="dxa"/>
          </w:tcPr>
          <w:p w:rsidR="006E2458" w:rsidRPr="0020545D" w:rsidRDefault="006E2458"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Points</w:t>
            </w:r>
          </w:p>
        </w:tc>
        <w:tc>
          <w:tcPr>
            <w:tcW w:w="2808" w:type="dxa"/>
          </w:tcPr>
          <w:p w:rsidR="006E2458" w:rsidRPr="0020545D" w:rsidRDefault="006E2458"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Groupe des Produits Serveurs</w:t>
            </w:r>
          </w:p>
        </w:tc>
        <w:tc>
          <w:tcPr>
            <w:tcW w:w="1260" w:type="dxa"/>
          </w:tcPr>
          <w:p w:rsidR="006E2458" w:rsidRPr="0020545D" w:rsidRDefault="006E2458" w:rsidP="0019337E">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Points</w:t>
            </w:r>
          </w:p>
        </w:tc>
      </w:tr>
      <w:tr w:rsidR="006E2458" w:rsidTr="0019337E">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2039" w:type="dxa"/>
            <w:vAlign w:val="center"/>
          </w:tcPr>
          <w:p w:rsidR="006E2458" w:rsidRDefault="006E2458" w:rsidP="0019337E">
            <w:pPr>
              <w:pStyle w:val="BodyText"/>
              <w:spacing w:after="0" w:line="240" w:lineRule="auto"/>
            </w:pPr>
            <w:r>
              <w:rPr>
                <w:b w:val="0"/>
                <w:color w:val="000000" w:themeColor="text1"/>
                <w:sz w:val="16"/>
              </w:rPr>
              <w:t>Office Professionnel</w:t>
            </w:r>
          </w:p>
        </w:tc>
        <w:tc>
          <w:tcPr>
            <w:tcW w:w="746" w:type="dxa"/>
            <w:vAlign w:val="center"/>
          </w:tcPr>
          <w:p w:rsidR="006E2458" w:rsidRDefault="006E2458"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000000" w:themeColor="text1"/>
                <w:sz w:val="16"/>
              </w:rPr>
              <w:t>2</w:t>
            </w:r>
          </w:p>
        </w:tc>
        <w:tc>
          <w:tcPr>
            <w:tcW w:w="2795" w:type="dxa"/>
            <w:vAlign w:val="center"/>
          </w:tcPr>
          <w:p w:rsidR="006E2458" w:rsidRDefault="006E2458"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000000" w:themeColor="text1"/>
                <w:sz w:val="16"/>
              </w:rPr>
              <w:t>Mise à jour Windows Professionnel</w:t>
            </w:r>
          </w:p>
        </w:tc>
        <w:tc>
          <w:tcPr>
            <w:tcW w:w="810" w:type="dxa"/>
            <w:vAlign w:val="center"/>
          </w:tcPr>
          <w:p w:rsidR="006E2458" w:rsidRDefault="006E2458"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000000" w:themeColor="text1"/>
                <w:sz w:val="16"/>
              </w:rPr>
              <w:t>2</w:t>
            </w:r>
          </w:p>
        </w:tc>
        <w:tc>
          <w:tcPr>
            <w:tcW w:w="2808" w:type="dxa"/>
            <w:vAlign w:val="center"/>
          </w:tcPr>
          <w:p w:rsidR="006E2458" w:rsidRDefault="006E2458"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000000" w:themeColor="text1"/>
                <w:sz w:val="16"/>
              </w:rPr>
              <w:t>Windows Server Édition Standard</w:t>
            </w:r>
          </w:p>
        </w:tc>
        <w:tc>
          <w:tcPr>
            <w:tcW w:w="1260" w:type="dxa"/>
            <w:vAlign w:val="center"/>
          </w:tcPr>
          <w:p w:rsidR="006E2458" w:rsidRDefault="006E2458" w:rsidP="0019337E">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color w:val="000000" w:themeColor="text1"/>
                <w:sz w:val="16"/>
              </w:rPr>
              <w:t>15</w:t>
            </w:r>
          </w:p>
        </w:tc>
      </w:tr>
      <w:tr w:rsidR="006E2458" w:rsidTr="0019337E">
        <w:trPr>
          <w:trHeight w:val="70"/>
        </w:trPr>
        <w:tc>
          <w:tcPr>
            <w:cnfStyle w:val="001000000000" w:firstRow="0" w:lastRow="0" w:firstColumn="1" w:lastColumn="0" w:oddVBand="0" w:evenVBand="0" w:oddHBand="0" w:evenHBand="0" w:firstRowFirstColumn="0" w:firstRowLastColumn="0" w:lastRowFirstColumn="0" w:lastRowLastColumn="0"/>
            <w:tcW w:w="2039" w:type="dxa"/>
            <w:vAlign w:val="center"/>
          </w:tcPr>
          <w:p w:rsidR="006E2458" w:rsidRPr="0020545D" w:rsidRDefault="006E2458" w:rsidP="0019337E">
            <w:pPr>
              <w:pStyle w:val="BodyText"/>
              <w:spacing w:after="0" w:line="240" w:lineRule="auto"/>
              <w:rPr>
                <w:b w:val="0"/>
                <w:color w:val="000000" w:themeColor="text1"/>
                <w:sz w:val="16"/>
              </w:rPr>
            </w:pPr>
            <w:r>
              <w:rPr>
                <w:b w:val="0"/>
                <w:color w:val="000000" w:themeColor="text1"/>
                <w:sz w:val="16"/>
              </w:rPr>
              <w:t>O365 K1/E1/3/4</w:t>
            </w:r>
          </w:p>
        </w:tc>
        <w:tc>
          <w:tcPr>
            <w:tcW w:w="746" w:type="dxa"/>
            <w:vAlign w:val="center"/>
          </w:tcPr>
          <w:p w:rsidR="006E2458" w:rsidRPr="0020545D" w:rsidRDefault="006E2458"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000000" w:themeColor="text1"/>
                <w:sz w:val="16"/>
              </w:rPr>
            </w:pPr>
            <w:r>
              <w:rPr>
                <w:bCs/>
                <w:color w:val="000000" w:themeColor="text1"/>
                <w:sz w:val="16"/>
              </w:rPr>
              <w:t>1</w:t>
            </w:r>
          </w:p>
        </w:tc>
        <w:tc>
          <w:tcPr>
            <w:tcW w:w="2795" w:type="dxa"/>
            <w:vAlign w:val="center"/>
          </w:tcPr>
          <w:p w:rsidR="006E2458" w:rsidRPr="0020545D" w:rsidRDefault="006E2458"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000000" w:themeColor="text1"/>
                <w:sz w:val="16"/>
              </w:rPr>
            </w:pPr>
          </w:p>
        </w:tc>
        <w:tc>
          <w:tcPr>
            <w:tcW w:w="810" w:type="dxa"/>
            <w:vAlign w:val="center"/>
          </w:tcPr>
          <w:p w:rsidR="006E2458" w:rsidRPr="0020545D" w:rsidRDefault="006E2458"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000000" w:themeColor="text1"/>
                <w:sz w:val="16"/>
              </w:rPr>
            </w:pPr>
          </w:p>
        </w:tc>
        <w:tc>
          <w:tcPr>
            <w:tcW w:w="2808" w:type="dxa"/>
            <w:vAlign w:val="center"/>
          </w:tcPr>
          <w:p w:rsidR="006E2458" w:rsidRPr="0020545D" w:rsidRDefault="006E2458"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000000" w:themeColor="text1"/>
                <w:sz w:val="16"/>
              </w:rPr>
            </w:pPr>
            <w:r>
              <w:rPr>
                <w:bCs/>
                <w:color w:val="000000" w:themeColor="text1"/>
                <w:sz w:val="16"/>
              </w:rPr>
              <w:t>Windows In Tune</w:t>
            </w:r>
          </w:p>
        </w:tc>
        <w:tc>
          <w:tcPr>
            <w:tcW w:w="1260" w:type="dxa"/>
            <w:vAlign w:val="center"/>
          </w:tcPr>
          <w:p w:rsidR="006E2458" w:rsidRPr="0020545D" w:rsidRDefault="006E2458" w:rsidP="0019337E">
            <w:pPr>
              <w:pStyle w:val="BodyText"/>
              <w:spacing w:after="0" w:line="240" w:lineRule="auto"/>
              <w:cnfStyle w:val="000000000000" w:firstRow="0" w:lastRow="0" w:firstColumn="0" w:lastColumn="0" w:oddVBand="0" w:evenVBand="0" w:oddHBand="0" w:evenHBand="0" w:firstRowFirstColumn="0" w:firstRowLastColumn="0" w:lastRowFirstColumn="0" w:lastRowLastColumn="0"/>
              <w:rPr>
                <w:color w:val="000000" w:themeColor="text1"/>
                <w:sz w:val="16"/>
              </w:rPr>
            </w:pPr>
            <w:r>
              <w:rPr>
                <w:color w:val="000000" w:themeColor="text1"/>
                <w:sz w:val="16"/>
              </w:rPr>
              <w:t>1</w:t>
            </w:r>
          </w:p>
        </w:tc>
      </w:tr>
    </w:tbl>
    <w:p w:rsidR="006E2458" w:rsidRPr="00483B32" w:rsidRDefault="006E2458" w:rsidP="006E2458">
      <w:pPr>
        <w:pStyle w:val="BodyText"/>
        <w:spacing w:before="120"/>
      </w:pPr>
      <w:r>
        <w:rPr>
          <w:bCs/>
        </w:rPr>
        <w:t xml:space="preserve">Pour en savoir plus et obtenir la liste complète des points associés à chaque Produit, consultez la page </w:t>
      </w:r>
      <w:hyperlink r:id="rId17" w:history="1">
        <w:r>
          <w:rPr>
            <w:rStyle w:val="Hyperlink"/>
          </w:rPr>
          <w:t>http://www.microsoft.com/licensing/contracts</w:t>
        </w:r>
      </w:hyperlink>
      <w:r>
        <w:t>.</w:t>
      </w:r>
    </w:p>
    <w:bookmarkEnd w:id="16"/>
    <w:p w:rsidR="006E2458" w:rsidRPr="00483B32" w:rsidRDefault="006E2458" w:rsidP="006E2458">
      <w:pPr>
        <w:pStyle w:val="Thirdheading"/>
      </w:pPr>
      <w:r>
        <w:rPr>
          <w:b/>
        </w:rPr>
        <w:t>Ajustement du niveau de prix</w:t>
      </w:r>
    </w:p>
    <w:p w:rsidR="006E2458" w:rsidRPr="00483B32" w:rsidRDefault="006E2458" w:rsidP="006E2458">
      <w:pPr>
        <w:pStyle w:val="BodyText"/>
      </w:pPr>
      <w:r>
        <w:t>Vous bénéficierez du niveau de prix supérieur pour un groupe dès lors que votre établissement atteindra le nombre minimum de points nécessaires sur l’année. La commande qui vous permettra d’atteindre le niveau supérieur (par exemple du niveau A au B) bénéficiera de la réduction sur la totalité de la commande. Les niveaux de prix de chaque groupe de Produits seront réévalués tous les ans, au cours du mois anniversaire de l’activation de votre MPSA. Tout point cumulé au-delà du seuil minimum nécessaire, sans toutefois permettre de bénéficier du niveau de prix supérieur, sera comptabilisé l’année suivante lors de la vérification annuelle.</w:t>
      </w:r>
    </w:p>
    <w:p w:rsidR="006E2458" w:rsidRPr="00483B32" w:rsidRDefault="006E2458" w:rsidP="006E2458">
      <w:pPr>
        <w:pStyle w:val="BodyText"/>
      </w:pPr>
      <w:r>
        <w:t>Si vos achats ne vous permettent pas de cumuler suffisamment de points dans l’année, votre niveau de prix pour le groupe de Produits concerné sera rétrogradé d’un cran (du niveau C au niveau B, par exemple) pour l’année suivante et aucun point ne sera reporté sur l’année suivante. Le niveau de prix ne peut être rétrogradé que d’un niveau par an.</w:t>
      </w:r>
    </w:p>
    <w:p w:rsidR="006E2458" w:rsidRPr="00483B32" w:rsidRDefault="006E2458" w:rsidP="006E2458">
      <w:pPr>
        <w:pStyle w:val="BodyText"/>
      </w:pPr>
      <w:r>
        <w:t>Si vous associez votre MPSA à un contrat éligible actif qui vous permet de bénéficier d’un meilleur niveau de prix sur les Produits du groupe concerné, ce niveau de prix sera appliqué aux commandes de Produits en vertu de votre MPSA.</w:t>
      </w:r>
    </w:p>
    <w:p w:rsidR="006E2458" w:rsidRPr="00483B32" w:rsidRDefault="006E2458" w:rsidP="006E2458">
      <w:pPr>
        <w:pStyle w:val="Thirdheading"/>
      </w:pPr>
      <w:r>
        <w:rPr>
          <w:b/>
        </w:rPr>
        <w:t>Mécanismes de commande</w:t>
      </w:r>
    </w:p>
    <w:p w:rsidR="006E2458" w:rsidRPr="00483B32" w:rsidRDefault="006E2458" w:rsidP="006E2458">
      <w:pPr>
        <w:pStyle w:val="BodyText"/>
      </w:pPr>
      <w:r>
        <w:t>Les commandes de Produits Microsoft dans le cadre du MPSA peuvent être passées auprès du/des LSP désigné(s) par vos soins. Les prix et les modalités de paiement de toutes les commandes passées par l’intermédiaire d’un Partenaire seront fixés par contrat entre vous et votre Partenaire. À chaque commande, vous devrez spécifier tous les pays dans lesquels vous utiliserez les Produits.</w:t>
      </w:r>
    </w:p>
    <w:p w:rsidR="006E2458" w:rsidRPr="00483B32" w:rsidRDefault="006E2458" w:rsidP="006E2458">
      <w:pPr>
        <w:pStyle w:val="BodyText"/>
      </w:pPr>
      <w:r>
        <w:t xml:space="preserve">Toutes les licences d’abonnement aux Logiciels et Software Assurance souscrits seront renouvelés au troisième anniversaire de la date sélectionnée pour votre Compte d’Achats à compter de la commande et pourront être facturés annuellement ou comptant, au choix. </w:t>
      </w:r>
    </w:p>
    <w:p w:rsidR="006E2458" w:rsidRPr="00483B32" w:rsidRDefault="006E2458" w:rsidP="006E2458">
      <w:pPr>
        <w:pStyle w:val="BodyText"/>
      </w:pPr>
      <w:r>
        <w:lastRenderedPageBreak/>
        <w:t xml:space="preserve">Les commandes de Services en Ligne ou d’abonnements à des Packages peuvent être renouvelées au premier, deuxième ou troisième anniversaire de votre Compte d’Achats à compter de la commande. Les options de renouvellement dépendent des Produits sélectionnés. Les commandes d’abonnement supplémentaires au cours de cette période auront également la même date d’expiration. Les commandes peuvent être facturées annuellement ou comptant à la date de commande, selon votre choix. Le niveau de prix des commandes supplémentaires pour un abonnement donné sera identique à celui de la commande initiale de l’abonnement, sauf si une promotion plus avantageuse est disponible au moment de la commande. Si la durée d’abonnement était supérieure à un an, le prix appliqué pour les commandes supplémentaires est le prix applicable au moment de la commande supplémentaire ou le prix de la commande initiale. Les niveaux de prix seront révisés à la date de renouvellement des abonnements. </w:t>
      </w:r>
    </w:p>
    <w:p w:rsidR="006E2458" w:rsidRPr="00483B32" w:rsidRDefault="006E2458" w:rsidP="006E2458">
      <w:pPr>
        <w:pStyle w:val="BodyText"/>
      </w:pPr>
      <w:r>
        <w:t xml:space="preserve">Il est possible que d’autres options de facturation et d’alignement des dates de renouvellement soient disponibles ultérieurement pour les commandes passées en vertu de votre MPSA. </w:t>
      </w:r>
    </w:p>
    <w:p w:rsidR="006E2458" w:rsidRPr="00483B32" w:rsidRDefault="006E2458" w:rsidP="006E2458">
      <w:pPr>
        <w:pStyle w:val="BodyText"/>
      </w:pPr>
      <w:r>
        <w:t>À compter de l’acceptation de l’enregistrement de vos Comptes d’Achats par Microsoft, vous pourrez utiliser tout Produit comme s’il avait été concédé sous licence en vertu du MPSA, sous réserve que vous passiez commande d’un nombre de licences suffisant pour vous permettre d’utiliser le Produit au cours du mois pendant lequel le Produit a été utilisé pour la première fois. Pour commander des licences de Produit supplémentaires, vous pouvez passer commande au cours du mois où vous avez utilisé le nombre équivalent de licences pour la première fois. Pour ajuster le nombre de vos licences de Services en Ligne, déclarez la quantité utilisée en vous basant sur les rapports du site MVLC ou les informations de votre Partenaire. </w:t>
      </w:r>
    </w:p>
    <w:p w:rsidR="006E2458" w:rsidRPr="00483B32" w:rsidRDefault="006E2458" w:rsidP="006E2458">
      <w:pPr>
        <w:pStyle w:val="BodyText"/>
      </w:pPr>
      <w:r>
        <w:t>Microsoft se réserve le droit de modifier les Produits disponibles dans le cadre du contrat MPSA et de refuser une commande pour des raisons commerciales.</w:t>
      </w:r>
    </w:p>
    <w:p w:rsidR="006E2458" w:rsidRPr="00483B32" w:rsidRDefault="006E2458" w:rsidP="006E2458">
      <w:pPr>
        <w:pStyle w:val="BodyText"/>
      </w:pPr>
      <w:r>
        <w:t xml:space="preserve">Les informations sur les commandes reçues et traitées par Microsoft sont disponibles sur le site MVLC, à l’adresse </w:t>
      </w:r>
      <w:hyperlink r:id="rId18" w:history="1">
        <w:r>
          <w:rPr>
            <w:rStyle w:val="Hyperlink"/>
          </w:rPr>
          <w:t>https://licensing.microsoft.com/customer</w:t>
        </w:r>
      </w:hyperlink>
      <w:r>
        <w:t>. Une fois enregistré, l’intermédiaire du Compte d’Achat pourra accéder au site MVLC et le compte Administrateur du Contrat donnera accès aux informations de tous les Comptes d’Achats.</w:t>
      </w:r>
    </w:p>
    <w:p w:rsidR="006E2458" w:rsidRPr="00483B32" w:rsidRDefault="006E2458" w:rsidP="006E2458">
      <w:pPr>
        <w:pStyle w:val="Hdg1noborder"/>
      </w:pPr>
      <w:bookmarkStart w:id="17" w:name="_Toc403380298"/>
      <w:bookmarkStart w:id="18" w:name="_Toc403985016"/>
      <w:bookmarkStart w:id="19" w:name="_Toc428272526"/>
      <w:r>
        <w:t>Section 2</w:t>
      </w:r>
      <w:bookmarkEnd w:id="17"/>
      <w:bookmarkEnd w:id="18"/>
      <w:bookmarkEnd w:id="19"/>
    </w:p>
    <w:p w:rsidR="006E2458" w:rsidRPr="00D31B66" w:rsidRDefault="006E2458" w:rsidP="006E2458">
      <w:pPr>
        <w:pStyle w:val="Hdg1noborder"/>
        <w:spacing w:before="120" w:after="120" w:line="240" w:lineRule="auto"/>
        <w:rPr>
          <w:rFonts w:asciiTheme="majorHAnsi" w:eastAsiaTheme="majorEastAsia" w:hAnsiTheme="majorHAnsi" w:cstheme="majorBidi"/>
          <w:bCs/>
          <w:color w:val="FFC000" w:themeColor="accent4"/>
          <w:sz w:val="28"/>
          <w:szCs w:val="26"/>
        </w:rPr>
      </w:pPr>
      <w:bookmarkStart w:id="20" w:name="_Toc403380299"/>
      <w:bookmarkStart w:id="21" w:name="_Toc403985017"/>
      <w:bookmarkStart w:id="22" w:name="_Toc428272527"/>
      <w:r>
        <w:rPr>
          <w:rFonts w:asciiTheme="majorHAnsi" w:eastAsiaTheme="majorEastAsia" w:hAnsiTheme="majorHAnsi" w:cstheme="majorBidi"/>
          <w:bCs/>
          <w:color w:val="FFC000" w:themeColor="accent4"/>
          <w:sz w:val="28"/>
          <w:szCs w:val="26"/>
        </w:rPr>
        <w:t>Avantages des Services en Ligne</w:t>
      </w:r>
      <w:bookmarkEnd w:id="20"/>
      <w:bookmarkEnd w:id="21"/>
      <w:bookmarkEnd w:id="22"/>
    </w:p>
    <w:p w:rsidR="006E2458" w:rsidRPr="00483B32" w:rsidRDefault="006E2458" w:rsidP="006E2458">
      <w:pPr>
        <w:pStyle w:val="BodyText"/>
        <w:rPr>
          <w:rFonts w:eastAsiaTheme="majorEastAsia"/>
        </w:rPr>
      </w:pPr>
      <w:r>
        <w:t>L’achat de Services en Ligne peut vous permettre de bénéficier des Avantages des Services en Ligne. comme l’avantage E-Learning, disponible avec Office 365. Les avantages offerts pour les Services en Ligne sont décrits dans l’Entrée Produit correspondante des Conditions applicables aux Produits et par l’intermédiaire du site MVLC après achat. Les Avantages de la Software Assurance sont définis ci-après.</w:t>
      </w:r>
    </w:p>
    <w:p w:rsidR="006E2458" w:rsidRPr="00D31B66" w:rsidRDefault="006E2458" w:rsidP="006E2458">
      <w:pPr>
        <w:pStyle w:val="Hdg1noborder"/>
        <w:spacing w:before="120" w:after="120" w:line="240" w:lineRule="auto"/>
        <w:rPr>
          <w:rFonts w:asciiTheme="majorHAnsi" w:eastAsiaTheme="majorEastAsia" w:hAnsiTheme="majorHAnsi" w:cstheme="majorBidi"/>
          <w:bCs/>
          <w:color w:val="FFC000" w:themeColor="accent4"/>
          <w:sz w:val="28"/>
          <w:szCs w:val="26"/>
        </w:rPr>
      </w:pPr>
      <w:bookmarkStart w:id="23" w:name="_Toc403380300"/>
      <w:bookmarkStart w:id="24" w:name="_Toc403985018"/>
      <w:bookmarkStart w:id="25" w:name="_Toc428272528"/>
      <w:r>
        <w:rPr>
          <w:rFonts w:asciiTheme="majorHAnsi" w:eastAsiaTheme="majorEastAsia" w:hAnsiTheme="majorHAnsi" w:cstheme="majorBidi"/>
          <w:bCs/>
          <w:color w:val="FFC000" w:themeColor="accent4"/>
          <w:sz w:val="28"/>
          <w:szCs w:val="26"/>
        </w:rPr>
        <w:t>Software Assurance et avantages</w:t>
      </w:r>
      <w:bookmarkEnd w:id="23"/>
      <w:bookmarkEnd w:id="24"/>
      <w:bookmarkEnd w:id="25"/>
    </w:p>
    <w:p w:rsidR="006E2458" w:rsidRPr="00483B32" w:rsidRDefault="006E2458" w:rsidP="006E2458">
      <w:pPr>
        <w:pStyle w:val="BodyText"/>
      </w:pPr>
      <w:r>
        <w:rPr>
          <w:color w:val="000000" w:themeColor="text1"/>
        </w:rPr>
        <w:t xml:space="preserve">La Software Assurance Microsoft pour Licences en Volume (SA) inclut des outils et des ressources pour faciliter le déploiement et la gestion des Produits Microsoft. La Software Assurance achetée en vertu de votre MPSA est régie par les conditions du présent Manuel des Licences et non par celles de l’Annexe B - Software Assurance des Conditions applicables aux Produits. </w:t>
      </w:r>
      <w:r>
        <w:t>Les principes de calcul et d’éligibilité aux Avantages de la SA dans le cadre du MPSA sont les mêmes que ceux applicables aux contrats Select Plus, hormis pour le Support Technique 24h/24, 7 jours/7 et les Bons de Formation, comme indiqué ci-après.</w:t>
      </w:r>
    </w:p>
    <w:p w:rsidR="006E2458" w:rsidRPr="00483B32" w:rsidRDefault="006E2458" w:rsidP="006E2458">
      <w:pPr>
        <w:pStyle w:val="Thirdheading"/>
      </w:pPr>
      <w:r>
        <w:rPr>
          <w:b/>
        </w:rPr>
        <w:t>Achat de la Software Assurance</w:t>
      </w:r>
    </w:p>
    <w:p w:rsidR="006E2458" w:rsidRPr="00483B32" w:rsidRDefault="006E2458" w:rsidP="006E2458">
      <w:pPr>
        <w:pStyle w:val="BodyText"/>
      </w:pPr>
      <w:r>
        <w:t>Vous pouvez acheter une Software Assurance (SA) dans le cadre du MPSA comme suit :</w:t>
      </w:r>
    </w:p>
    <w:p w:rsidR="006E2458" w:rsidRPr="00483B32" w:rsidRDefault="006E2458" w:rsidP="006E2458">
      <w:pPr>
        <w:pStyle w:val="BodyText"/>
        <w:numPr>
          <w:ilvl w:val="0"/>
          <w:numId w:val="16"/>
        </w:numPr>
        <w:spacing w:after="0"/>
      </w:pPr>
      <w:r>
        <w:t xml:space="preserve">en vous engageant à souscrire une SA pour tous les achats effectués au sein d’un groupe de Produits donné (Applications, Systèmes ou Serveurs). Ce niveau d’engagement est appelé participation au programme Software Assurance Membership (SAM) ; </w:t>
      </w:r>
    </w:p>
    <w:p w:rsidR="006E2458" w:rsidRPr="00483B32" w:rsidRDefault="006E2458" w:rsidP="006E2458">
      <w:pPr>
        <w:pStyle w:val="BodyText"/>
        <w:numPr>
          <w:ilvl w:val="0"/>
          <w:numId w:val="16"/>
        </w:numPr>
      </w:pPr>
      <w:r>
        <w:t>en achetant une SA pour des Produits individuels sans vous engager à l’étendre à d’autres Produits.</w:t>
      </w:r>
    </w:p>
    <w:p w:rsidR="006E2458" w:rsidRPr="00483B32" w:rsidRDefault="006E2458" w:rsidP="006E2458">
      <w:pPr>
        <w:pStyle w:val="BodyText"/>
      </w:pPr>
      <w:r>
        <w:rPr>
          <w:color w:val="000000" w:themeColor="text1"/>
        </w:rPr>
        <w:t>La SA doit être achetée lors de l’achat de la Licence ou du renouvellement d’une SA existante. Sauf stipulation contraire, seules les licences de la dernière version d’un Produit sont éligibles à la SA.</w:t>
      </w:r>
    </w:p>
    <w:p w:rsidR="006E2458" w:rsidRPr="00483B32" w:rsidRDefault="006E2458" w:rsidP="006E2458">
      <w:pPr>
        <w:pStyle w:val="Thirdheading"/>
      </w:pPr>
      <w:r>
        <w:rPr>
          <w:rFonts w:ascii="Segoe UI" w:hAnsi="Segoe UI" w:cs="Times New Roman"/>
          <w:color w:val="000000" w:themeColor="text1"/>
          <w:sz w:val="18"/>
          <w:szCs w:val="20"/>
        </w:rPr>
        <w:t xml:space="preserve">À titre exceptionnel, les clients peuvent choisir d’acheter la SA pour certaines licences acquises par l‘intermédiaire du réseau de Détaillants (Produit Complet en Version Boîte (FPP)) ou par l‘intermédiaire d’un fabricant d’ordinateurs (OEM) pour les Groupes de Produits Systèmes et Serveurs du MPSA. Dans le Groupe Application, aucun Produit Complet en version Boîte (FPP) (y compris les Cartes </w:t>
      </w:r>
      <w:r>
        <w:rPr>
          <w:rFonts w:ascii="Segoe UI" w:hAnsi="Segoe UI" w:cs="Times New Roman"/>
          <w:color w:val="000000" w:themeColor="text1"/>
          <w:sz w:val="18"/>
          <w:szCs w:val="20"/>
        </w:rPr>
        <w:lastRenderedPageBreak/>
        <w:t>de Clé de Produit) n’est éligible à cette exception, et la SA pour Microsoft Office Standard ne peut être acquise que pour une licence Microsoft Office Professionnel 2013 acquise auprès d’un OEM, dans les quatre-vingt-dix (90) jours suivant la date d’achat.</w:t>
      </w:r>
    </w:p>
    <w:p w:rsidR="006E2458" w:rsidRPr="00483B32" w:rsidRDefault="006E2458" w:rsidP="006E2458">
      <w:pPr>
        <w:pStyle w:val="Thirdheading"/>
      </w:pPr>
      <w:r>
        <w:rPr>
          <w:b/>
        </w:rPr>
        <w:t>Renouvellement de la Software Assurance</w:t>
      </w:r>
    </w:p>
    <w:p w:rsidR="006E2458" w:rsidRPr="00483B32" w:rsidRDefault="006E2458" w:rsidP="006E2458">
      <w:pPr>
        <w:pStyle w:val="BodyText"/>
      </w:pPr>
      <w:r>
        <w:rPr>
          <w:color w:val="000000" w:themeColor="text1"/>
        </w:rPr>
        <w:t>Vous pouvez renouveler la SA sans commander simultanément une Licence, à condition que la SA n’ait pas expiré.</w:t>
      </w:r>
    </w:p>
    <w:p w:rsidR="006E2458" w:rsidRPr="00483B32" w:rsidRDefault="006E2458" w:rsidP="006E2458">
      <w:pPr>
        <w:pStyle w:val="Thirdheading"/>
      </w:pPr>
      <w:r>
        <w:rPr>
          <w:b/>
        </w:rPr>
        <w:t>Renouvellement de la couverture dans le cadre d’un contrat distinct</w:t>
      </w:r>
    </w:p>
    <w:p w:rsidR="006E2458" w:rsidRPr="00483B32" w:rsidRDefault="006E2458" w:rsidP="006E2458">
      <w:pPr>
        <w:pStyle w:val="BodyText"/>
      </w:pPr>
      <w:r>
        <w:t xml:space="preserve">Vous pouvez renouveler la SA pour tout Produit si vous avez obtenu une licence pour la durée des droits de propriété intellectuelle et une SA pour ledit Produit au titre d’un contrat précédent et si : </w:t>
      </w:r>
    </w:p>
    <w:p w:rsidR="006E2458" w:rsidRPr="00483B32" w:rsidRDefault="006E2458" w:rsidP="006E2458">
      <w:pPr>
        <w:pStyle w:val="BodyText"/>
        <w:numPr>
          <w:ilvl w:val="0"/>
          <w:numId w:val="16"/>
        </w:numPr>
        <w:spacing w:after="0"/>
      </w:pPr>
      <w:r>
        <w:t xml:space="preserve">la SA renouvelée entre en vigueur au plus tard le jour suivant la date d’expiration de la précédente SA ; </w:t>
      </w:r>
    </w:p>
    <w:p w:rsidR="006E2458" w:rsidRPr="00483B32" w:rsidRDefault="006E2458" w:rsidP="006E2458">
      <w:pPr>
        <w:pStyle w:val="BodyText"/>
        <w:numPr>
          <w:ilvl w:val="0"/>
          <w:numId w:val="16"/>
        </w:numPr>
        <w:spacing w:after="0"/>
      </w:pPr>
      <w:r>
        <w:t xml:space="preserve">la commande de renouvellement de la SA est passée avant la date d’expiration de la précédente SA. </w:t>
      </w:r>
    </w:p>
    <w:p w:rsidR="006E2458" w:rsidRPr="00483B32" w:rsidRDefault="006E2458" w:rsidP="006E2458">
      <w:pPr>
        <w:pStyle w:val="Thirdheading"/>
        <w:spacing w:before="240"/>
      </w:pPr>
      <w:r>
        <w:rPr>
          <w:b/>
        </w:rPr>
        <w:t>Licences d’Accès Client (Client Access Licenses, CAL) et Licences de Gestion (Management Licenses, ML) Client</w:t>
      </w:r>
    </w:p>
    <w:p w:rsidR="006E2458" w:rsidRPr="00483B32" w:rsidRDefault="006E2458" w:rsidP="006E2458">
      <w:pPr>
        <w:pStyle w:val="BodyText"/>
      </w:pPr>
      <w:r>
        <w:t>Transition entre CAL Utilisateur et CAL Dispositif : En renouvelant votre SA pour CAL, vous pouvez passer de CAL Utilisateur à des CAL Dispositif et inversement. Cette transition ne modifie pas l’édition de la CAL (par exemple, Standard ou Entreprise).</w:t>
      </w:r>
    </w:p>
    <w:p w:rsidR="006E2458" w:rsidRPr="00483B32" w:rsidRDefault="006E2458" w:rsidP="006E2458">
      <w:pPr>
        <w:pStyle w:val="BodyText"/>
      </w:pPr>
      <w:r>
        <w:t>Transition entre ML Utilisateur et ML Client OSE : En renouvelant votre SA pour ML Client, vous pouvez passer de ML Utilisateur à des ML OSE.</w:t>
      </w:r>
    </w:p>
    <w:p w:rsidR="006E2458" w:rsidRPr="00483B32" w:rsidRDefault="006E2458" w:rsidP="006E2458">
      <w:pPr>
        <w:pStyle w:val="Thirdheading"/>
      </w:pPr>
      <w:r>
        <w:rPr>
          <w:b/>
        </w:rPr>
        <w:t>Avantages de la Software Assurance</w:t>
      </w:r>
    </w:p>
    <w:p w:rsidR="006E2458" w:rsidRPr="00483B32" w:rsidRDefault="006E2458" w:rsidP="006E2458">
      <w:pPr>
        <w:pStyle w:val="BodyText"/>
      </w:pPr>
      <w:r>
        <w:t>Les avantages de la Software Assurance varient selon le Produit et le groupe de Produits. L’accès aux avantages de la SA et les droits d’utilisation relatifs prennent généralement fin à l’expiration de la SA, sauf mention contraire ci-dessous. La plupart des avantages de la SA s’appliquent dès le début de la période de couverture. Tout changement intervenant durant la période de couverture (comme les achats supplémentaires ou retours) peut modifier les modalités d’éligibilité aux avantages. Toute exception aux règles susmentionnées est indiquée dans les sections exposant les avantages individuels qui suivent. Ces avantages peuvent faire l’objet de modifications et être interrompus à tout moment sans préavis. Les avantages de la SA sont attribués par Compte d’Achats dans le cadre du MPSA.</w:t>
      </w:r>
    </w:p>
    <w:p w:rsidR="006E2458" w:rsidRPr="00814585" w:rsidRDefault="006E2458" w:rsidP="006E2458">
      <w:pPr>
        <w:spacing w:line="240" w:lineRule="auto"/>
        <w:rPr>
          <w:rFonts w:eastAsia="Times New Roman" w:cs="Times New Roman"/>
          <w:color w:val="505050"/>
          <w:szCs w:val="20"/>
        </w:rPr>
      </w:pPr>
      <w:r>
        <w:rPr>
          <w:rFonts w:eastAsia="Times New Roman" w:cs="Times New Roman"/>
          <w:color w:val="505050"/>
          <w:szCs w:val="20"/>
        </w:rPr>
        <w:t>Une SA active pour tout Produit éligible dans le cadre du MPSA, indépendamment de la version du Produit utilisée, vous permet de prétendre aux avantages mentionnés dans le tableau ci-dessous. Consultez l’article Software Assurance pour chaque produit pour connaître les avantages spécifiques à chaque produit, notamment Microsoft Desktop Optimization Pack et Windows Thin PC. Les produits éligibles sont indiqués dans chaque section relative aux produits des Conditions applicables aux Produits. Certains avantages exigent que vous soyez membre du programme SA Membership pour le groupe de Produits visé.</w:t>
      </w:r>
    </w:p>
    <w:p w:rsidR="006E2458" w:rsidRPr="00E37D14" w:rsidRDefault="006E2458" w:rsidP="006E2458">
      <w:pPr>
        <w:pStyle w:val="Hdg1noborder"/>
        <w:spacing w:before="120" w:after="120" w:line="240" w:lineRule="auto"/>
        <w:rPr>
          <w:rFonts w:asciiTheme="majorHAnsi" w:eastAsiaTheme="majorEastAsia" w:hAnsiTheme="majorHAnsi" w:cstheme="majorBidi"/>
          <w:bCs/>
          <w:color w:val="FFC000" w:themeColor="accent4"/>
          <w:sz w:val="28"/>
          <w:szCs w:val="26"/>
        </w:rPr>
      </w:pPr>
      <w:bookmarkStart w:id="26" w:name="_Toc403380301"/>
      <w:bookmarkStart w:id="27" w:name="_Toc403985019"/>
      <w:bookmarkStart w:id="28" w:name="_Toc428272529"/>
      <w:r>
        <w:rPr>
          <w:rFonts w:asciiTheme="majorHAnsi" w:eastAsiaTheme="majorEastAsia" w:hAnsiTheme="majorHAnsi" w:cstheme="majorBidi"/>
          <w:bCs/>
          <w:color w:val="FFC000" w:themeColor="accent4"/>
          <w:sz w:val="28"/>
          <w:szCs w:val="26"/>
        </w:rPr>
        <w:t>Disponibilité des Avantages de la Software Assurance au titre du MPSA</w:t>
      </w:r>
      <w:bookmarkEnd w:id="26"/>
      <w:bookmarkEnd w:id="27"/>
      <w:bookmarkEnd w:id="28"/>
    </w:p>
    <w:p w:rsidR="006E2458" w:rsidRPr="00483B32" w:rsidRDefault="006E2458" w:rsidP="006E2458">
      <w:pPr>
        <w:pStyle w:val="BodyText"/>
        <w:spacing w:after="0"/>
      </w:pPr>
      <w:r>
        <w:t>Sauf mention contraire ci-dessous, les Avantages de la SA sont accessibles via le site MVLC.</w:t>
      </w:r>
    </w:p>
    <w:tbl>
      <w:tblPr>
        <w:tblW w:w="107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36"/>
        <w:gridCol w:w="1648"/>
        <w:gridCol w:w="1828"/>
        <w:gridCol w:w="1508"/>
      </w:tblGrid>
      <w:tr w:rsidR="006E2458" w:rsidRPr="00717EC0" w:rsidTr="0019337E">
        <w:trPr>
          <w:trHeight w:val="56"/>
          <w:tblHeader/>
        </w:trPr>
        <w:tc>
          <w:tcPr>
            <w:tcW w:w="5736" w:type="dxa"/>
            <w:shd w:val="clear" w:color="auto" w:fill="BF8F00" w:themeFill="accent4" w:themeFillShade="BF"/>
            <w:vAlign w:val="center"/>
          </w:tcPr>
          <w:p w:rsidR="006E2458" w:rsidRPr="00422D62" w:rsidRDefault="006E2458" w:rsidP="0019337E">
            <w:pPr>
              <w:pStyle w:val="ProductList-Body"/>
              <w:rPr>
                <w:rFonts w:cstheme="minorHAnsi"/>
                <w:color w:val="FFFFFF" w:themeColor="background1"/>
                <w:szCs w:val="18"/>
              </w:rPr>
            </w:pPr>
            <w:r>
              <w:rPr>
                <w:rFonts w:cstheme="minorHAnsi"/>
                <w:color w:val="FFFFFF" w:themeColor="background1"/>
                <w:szCs w:val="18"/>
              </w:rPr>
              <w:t>Avantages de la SA</w:t>
            </w:r>
          </w:p>
        </w:tc>
        <w:tc>
          <w:tcPr>
            <w:tcW w:w="1648" w:type="dxa"/>
            <w:shd w:val="clear" w:color="auto" w:fill="BF8F00" w:themeFill="accent4" w:themeFillShade="BF"/>
            <w:vAlign w:val="center"/>
          </w:tcPr>
          <w:p w:rsidR="006E2458" w:rsidRPr="00422D62" w:rsidRDefault="006E2458" w:rsidP="0019337E">
            <w:pPr>
              <w:pStyle w:val="ProductList-Body"/>
              <w:jc w:val="center"/>
              <w:rPr>
                <w:rFonts w:cstheme="minorHAnsi"/>
                <w:color w:val="FFFFFF" w:themeColor="background1"/>
                <w:szCs w:val="18"/>
              </w:rPr>
            </w:pPr>
            <w:r>
              <w:rPr>
                <w:rFonts w:cstheme="minorHAnsi"/>
                <w:color w:val="FFFFFF" w:themeColor="background1"/>
                <w:szCs w:val="18"/>
              </w:rPr>
              <w:t>Groupe des Produits Applications</w:t>
            </w:r>
          </w:p>
        </w:tc>
        <w:tc>
          <w:tcPr>
            <w:tcW w:w="1828" w:type="dxa"/>
            <w:shd w:val="clear" w:color="auto" w:fill="BF8F00" w:themeFill="accent4" w:themeFillShade="BF"/>
            <w:vAlign w:val="center"/>
          </w:tcPr>
          <w:p w:rsidR="006E2458" w:rsidRPr="00422D62" w:rsidRDefault="006E2458" w:rsidP="0019337E">
            <w:pPr>
              <w:pStyle w:val="ProductList-Body"/>
              <w:jc w:val="center"/>
              <w:rPr>
                <w:rFonts w:cstheme="minorHAnsi"/>
                <w:color w:val="FFFFFF" w:themeColor="background1"/>
                <w:szCs w:val="18"/>
              </w:rPr>
            </w:pPr>
            <w:r>
              <w:rPr>
                <w:rFonts w:cstheme="minorHAnsi"/>
                <w:color w:val="FFFFFF" w:themeColor="background1"/>
                <w:szCs w:val="18"/>
              </w:rPr>
              <w:t>Groupe des Produits Systèmes</w:t>
            </w:r>
          </w:p>
        </w:tc>
        <w:tc>
          <w:tcPr>
            <w:tcW w:w="1508" w:type="dxa"/>
            <w:shd w:val="clear" w:color="auto" w:fill="BF8F00" w:themeFill="accent4" w:themeFillShade="BF"/>
            <w:vAlign w:val="center"/>
          </w:tcPr>
          <w:p w:rsidR="006E2458" w:rsidRPr="00422D62" w:rsidRDefault="006E2458" w:rsidP="0019337E">
            <w:pPr>
              <w:pStyle w:val="ProductList-Body"/>
              <w:jc w:val="center"/>
              <w:rPr>
                <w:rFonts w:cstheme="minorHAnsi"/>
                <w:color w:val="FFFFFF" w:themeColor="background1"/>
                <w:szCs w:val="18"/>
              </w:rPr>
            </w:pPr>
            <w:r>
              <w:rPr>
                <w:rFonts w:cstheme="minorHAnsi"/>
                <w:color w:val="FFFFFF" w:themeColor="background1"/>
                <w:szCs w:val="18"/>
              </w:rPr>
              <w:t>Groupe des Produits Serveurs</w:t>
            </w:r>
          </w:p>
        </w:tc>
      </w:tr>
      <w:tr w:rsidR="006E2458" w:rsidRPr="00A84C84" w:rsidTr="0019337E">
        <w:trPr>
          <w:trHeight w:val="255"/>
        </w:trPr>
        <w:tc>
          <w:tcPr>
            <w:tcW w:w="5736" w:type="dxa"/>
          </w:tcPr>
          <w:p w:rsidR="006E2458" w:rsidRPr="00BC431D" w:rsidRDefault="006E2458" w:rsidP="0019337E">
            <w:pPr>
              <w:pStyle w:val="ProductList-Body"/>
              <w:rPr>
                <w:rStyle w:val="Hyperlink"/>
                <w:sz w:val="17"/>
                <w:szCs w:val="17"/>
              </w:rPr>
            </w:pPr>
            <w:hyperlink w:anchor="_Planning_Services" w:history="1">
              <w:r>
                <w:rPr>
                  <w:rStyle w:val="Hyperlink"/>
                  <w:sz w:val="17"/>
                  <w:szCs w:val="17"/>
                </w:rPr>
                <w:t>Services de Planification</w:t>
              </w:r>
            </w:hyperlink>
          </w:p>
        </w:tc>
        <w:tc>
          <w:tcPr>
            <w:tcW w:w="1648" w:type="dxa"/>
          </w:tcPr>
          <w:p w:rsidR="006E2458" w:rsidRPr="00BC431D" w:rsidRDefault="006E2458"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vAlign w:val="center"/>
          </w:tcPr>
          <w:p w:rsidR="006E2458" w:rsidRPr="00BC431D" w:rsidRDefault="006E2458" w:rsidP="0019337E">
            <w:pPr>
              <w:pStyle w:val="ProductList-Body"/>
              <w:jc w:val="center"/>
              <w:rPr>
                <w:rFonts w:cstheme="minorHAnsi"/>
                <w:color w:val="000000" w:themeColor="text1"/>
                <w:sz w:val="17"/>
                <w:szCs w:val="17"/>
              </w:rPr>
            </w:pPr>
          </w:p>
        </w:tc>
        <w:tc>
          <w:tcPr>
            <w:tcW w:w="1508" w:type="dxa"/>
            <w:vAlign w:val="center"/>
          </w:tcPr>
          <w:p w:rsidR="006E2458" w:rsidRPr="00BC431D" w:rsidRDefault="006E2458" w:rsidP="0019337E">
            <w:pPr>
              <w:pStyle w:val="ProductList-Body"/>
              <w:jc w:val="center"/>
              <w:rPr>
                <w:rStyle w:val="CommentReference"/>
                <w:rFonts w:cstheme="minorHAnsi"/>
                <w:color w:val="000000" w:themeColor="text1"/>
                <w:sz w:val="17"/>
                <w:szCs w:val="17"/>
              </w:rPr>
            </w:pPr>
            <w:r>
              <w:rPr>
                <w:rFonts w:ascii="Wingdings" w:hAnsi="Wingdings" w:cs="Wingdings"/>
                <w:color w:val="000000" w:themeColor="text1"/>
                <w:sz w:val="17"/>
                <w:szCs w:val="17"/>
              </w:rPr>
              <w:t></w:t>
            </w:r>
          </w:p>
        </w:tc>
      </w:tr>
      <w:tr w:rsidR="006E2458" w:rsidRPr="00A84C84" w:rsidTr="0019337E">
        <w:trPr>
          <w:trHeight w:val="255"/>
        </w:trPr>
        <w:tc>
          <w:tcPr>
            <w:tcW w:w="5736" w:type="dxa"/>
          </w:tcPr>
          <w:p w:rsidR="006E2458" w:rsidRPr="00BC431D" w:rsidRDefault="006E2458" w:rsidP="0019337E">
            <w:pPr>
              <w:pStyle w:val="ProductList-Body"/>
              <w:rPr>
                <w:rStyle w:val="Hyperlink"/>
                <w:sz w:val="17"/>
                <w:szCs w:val="17"/>
              </w:rPr>
            </w:pPr>
            <w:hyperlink w:anchor="_Enhanced_Edition_Benefits" w:history="1">
              <w:r>
                <w:rPr>
                  <w:rStyle w:val="Hyperlink"/>
                  <w:sz w:val="17"/>
                  <w:szCs w:val="17"/>
                </w:rPr>
                <w:t>Bons de Formation</w:t>
              </w:r>
            </w:hyperlink>
          </w:p>
        </w:tc>
        <w:tc>
          <w:tcPr>
            <w:tcW w:w="1648" w:type="dxa"/>
          </w:tcPr>
          <w:p w:rsidR="006E2458" w:rsidRPr="00BC431D" w:rsidRDefault="006E2458"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tcPr>
          <w:p w:rsidR="006E2458" w:rsidRPr="00BC431D" w:rsidRDefault="006E2458"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508" w:type="dxa"/>
            <w:vAlign w:val="center"/>
          </w:tcPr>
          <w:p w:rsidR="006E2458" w:rsidRPr="00BC431D" w:rsidRDefault="006E2458" w:rsidP="0019337E">
            <w:pPr>
              <w:pStyle w:val="ProductList-Body"/>
              <w:jc w:val="center"/>
              <w:rPr>
                <w:rFonts w:cstheme="minorHAnsi"/>
                <w:color w:val="000000" w:themeColor="text1"/>
                <w:sz w:val="17"/>
                <w:szCs w:val="17"/>
              </w:rPr>
            </w:pPr>
          </w:p>
        </w:tc>
      </w:tr>
      <w:tr w:rsidR="006E2458" w:rsidRPr="00A84C84" w:rsidTr="0019337E">
        <w:trPr>
          <w:trHeight w:val="255"/>
        </w:trPr>
        <w:tc>
          <w:tcPr>
            <w:tcW w:w="5736" w:type="dxa"/>
          </w:tcPr>
          <w:p w:rsidR="006E2458" w:rsidRPr="00BC431D" w:rsidRDefault="006E2458" w:rsidP="0019337E">
            <w:pPr>
              <w:pStyle w:val="ProductList-Body"/>
              <w:rPr>
                <w:sz w:val="17"/>
                <w:szCs w:val="17"/>
              </w:rPr>
            </w:pPr>
            <w:hyperlink w:anchor="_24x7_Problem_Resolution_1" w:history="1">
              <w:r>
                <w:rPr>
                  <w:rStyle w:val="Hyperlink"/>
                  <w:sz w:val="17"/>
                  <w:szCs w:val="17"/>
                </w:rPr>
                <w:t>Support Technique 24h/24, 7 jours/7</w:t>
              </w:r>
            </w:hyperlink>
          </w:p>
        </w:tc>
        <w:tc>
          <w:tcPr>
            <w:tcW w:w="1648" w:type="dxa"/>
            <w:vAlign w:val="center"/>
          </w:tcPr>
          <w:p w:rsidR="006E2458" w:rsidRPr="00BC431D" w:rsidRDefault="006E2458" w:rsidP="0019337E">
            <w:pPr>
              <w:pStyle w:val="ProductList-Body"/>
              <w:jc w:val="center"/>
              <w:rPr>
                <w:rFonts w:ascii="Wingdings" w:hAnsi="Wingdings" w:cs="Wingdings"/>
                <w:color w:val="000000" w:themeColor="text1"/>
                <w:sz w:val="17"/>
                <w:szCs w:val="17"/>
              </w:rPr>
            </w:pPr>
            <w:r>
              <w:rPr>
                <w:rFonts w:ascii="Wingdings" w:hAnsi="Wingdings" w:cs="Wingdings"/>
                <w:color w:val="000000" w:themeColor="text1"/>
                <w:sz w:val="17"/>
                <w:szCs w:val="17"/>
              </w:rPr>
              <w:t></w:t>
            </w:r>
          </w:p>
        </w:tc>
        <w:tc>
          <w:tcPr>
            <w:tcW w:w="1828" w:type="dxa"/>
            <w:vAlign w:val="center"/>
          </w:tcPr>
          <w:p w:rsidR="006E2458" w:rsidRPr="00BC431D" w:rsidRDefault="006E2458"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508" w:type="dxa"/>
          </w:tcPr>
          <w:p w:rsidR="006E2458" w:rsidRPr="00BC431D" w:rsidRDefault="006E2458" w:rsidP="0019337E">
            <w:pPr>
              <w:pStyle w:val="ProductList-Body"/>
              <w:jc w:val="center"/>
              <w:rPr>
                <w:rFonts w:ascii="Wingdings" w:hAnsi="Wingdings" w:cs="Wingdings"/>
                <w:color w:val="000000" w:themeColor="text1"/>
                <w:sz w:val="17"/>
                <w:szCs w:val="17"/>
              </w:rPr>
            </w:pPr>
            <w:r>
              <w:rPr>
                <w:rFonts w:ascii="Wingdings" w:hAnsi="Wingdings" w:cs="Wingdings"/>
                <w:color w:val="000000" w:themeColor="text1"/>
                <w:sz w:val="17"/>
                <w:szCs w:val="17"/>
              </w:rPr>
              <w:t></w:t>
            </w:r>
          </w:p>
        </w:tc>
      </w:tr>
      <w:tr w:rsidR="006E2458" w:rsidRPr="00A84C84" w:rsidTr="0019337E">
        <w:trPr>
          <w:trHeight w:val="255"/>
        </w:trPr>
        <w:tc>
          <w:tcPr>
            <w:tcW w:w="5736" w:type="dxa"/>
          </w:tcPr>
          <w:p w:rsidR="006E2458" w:rsidRPr="00BC431D" w:rsidRDefault="006E2458" w:rsidP="0019337E">
            <w:pPr>
              <w:pStyle w:val="ProductList-Body"/>
              <w:rPr>
                <w:rFonts w:cstheme="minorHAnsi"/>
                <w:color w:val="000000" w:themeColor="text1"/>
                <w:sz w:val="17"/>
                <w:szCs w:val="17"/>
                <w:lang w:eastAsia="ja-JP"/>
              </w:rPr>
            </w:pPr>
            <w:hyperlink w:anchor="_Droits_Relatifs_aux" w:history="1">
              <w:r>
                <w:rPr>
                  <w:rStyle w:val="Hyperlink"/>
                  <w:rFonts w:cstheme="minorHAnsi"/>
                  <w:sz w:val="17"/>
                  <w:szCs w:val="17"/>
                </w:rPr>
                <w:t>Droits Relatifs aux Nouvelles Versions</w:t>
              </w:r>
            </w:hyperlink>
          </w:p>
        </w:tc>
        <w:tc>
          <w:tcPr>
            <w:tcW w:w="1648" w:type="dxa"/>
          </w:tcPr>
          <w:p w:rsidR="006E2458" w:rsidRPr="00BC431D" w:rsidRDefault="006E2458"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tcPr>
          <w:p w:rsidR="006E2458" w:rsidRPr="00BC431D" w:rsidRDefault="006E2458"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508" w:type="dxa"/>
          </w:tcPr>
          <w:p w:rsidR="006E2458" w:rsidRPr="00BC431D" w:rsidRDefault="006E2458"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r>
      <w:tr w:rsidR="006E2458" w:rsidRPr="00A84C84" w:rsidTr="0019337E">
        <w:trPr>
          <w:trHeight w:val="255"/>
        </w:trPr>
        <w:tc>
          <w:tcPr>
            <w:tcW w:w="5736" w:type="dxa"/>
          </w:tcPr>
          <w:p w:rsidR="006E2458" w:rsidRPr="00BC431D" w:rsidRDefault="006E2458" w:rsidP="0019337E">
            <w:pPr>
              <w:pStyle w:val="ProductList-Body"/>
              <w:rPr>
                <w:sz w:val="17"/>
                <w:szCs w:val="17"/>
              </w:rPr>
            </w:pPr>
            <w:hyperlink w:anchor="_Office_Multi_Language_1" w:history="1">
              <w:r>
                <w:rPr>
                  <w:rStyle w:val="Hyperlink"/>
                  <w:rFonts w:cstheme="minorHAnsi"/>
                  <w:sz w:val="17"/>
                  <w:szCs w:val="17"/>
                </w:rPr>
                <w:t>Pack Multilingue Office</w:t>
              </w:r>
            </w:hyperlink>
          </w:p>
        </w:tc>
        <w:tc>
          <w:tcPr>
            <w:tcW w:w="1648" w:type="dxa"/>
          </w:tcPr>
          <w:p w:rsidR="006E2458" w:rsidRPr="00BC431D" w:rsidRDefault="006E2458" w:rsidP="0019337E">
            <w:pPr>
              <w:pStyle w:val="ProductList-Body"/>
              <w:jc w:val="center"/>
              <w:rPr>
                <w:rFonts w:ascii="Wingdings" w:hAnsi="Wingdings" w:cs="Wingdings"/>
                <w:color w:val="000000" w:themeColor="text1"/>
                <w:sz w:val="17"/>
                <w:szCs w:val="17"/>
              </w:rPr>
            </w:pPr>
            <w:r>
              <w:rPr>
                <w:rFonts w:ascii="Wingdings" w:hAnsi="Wingdings" w:cs="Wingdings"/>
                <w:color w:val="000000" w:themeColor="text1"/>
                <w:sz w:val="17"/>
                <w:szCs w:val="17"/>
              </w:rPr>
              <w:t></w:t>
            </w:r>
          </w:p>
        </w:tc>
        <w:tc>
          <w:tcPr>
            <w:tcW w:w="1828" w:type="dxa"/>
            <w:vAlign w:val="center"/>
          </w:tcPr>
          <w:p w:rsidR="006E2458" w:rsidRPr="00BC431D" w:rsidRDefault="006E2458" w:rsidP="0019337E">
            <w:pPr>
              <w:pStyle w:val="ProductList-Body"/>
              <w:jc w:val="center"/>
              <w:rPr>
                <w:rFonts w:cstheme="minorHAnsi"/>
                <w:color w:val="000000" w:themeColor="text1"/>
                <w:sz w:val="17"/>
                <w:szCs w:val="17"/>
              </w:rPr>
            </w:pPr>
          </w:p>
        </w:tc>
        <w:tc>
          <w:tcPr>
            <w:tcW w:w="1508" w:type="dxa"/>
            <w:vAlign w:val="center"/>
          </w:tcPr>
          <w:p w:rsidR="006E2458" w:rsidRPr="00BC431D" w:rsidRDefault="006E2458" w:rsidP="0019337E">
            <w:pPr>
              <w:pStyle w:val="ProductList-Body"/>
              <w:jc w:val="center"/>
              <w:rPr>
                <w:rFonts w:ascii="Wingdings" w:hAnsi="Wingdings" w:cs="Wingdings"/>
                <w:color w:val="000000" w:themeColor="text1"/>
                <w:sz w:val="17"/>
                <w:szCs w:val="17"/>
              </w:rPr>
            </w:pPr>
          </w:p>
        </w:tc>
      </w:tr>
      <w:tr w:rsidR="006E2458" w:rsidRPr="00A84C84" w:rsidTr="0019337E">
        <w:trPr>
          <w:trHeight w:val="255"/>
        </w:trPr>
        <w:tc>
          <w:tcPr>
            <w:tcW w:w="5736" w:type="dxa"/>
          </w:tcPr>
          <w:p w:rsidR="006E2458" w:rsidRPr="00BC431D" w:rsidRDefault="006E2458" w:rsidP="0019337E">
            <w:pPr>
              <w:pStyle w:val="ProductList-Body"/>
              <w:rPr>
                <w:rFonts w:cstheme="minorHAnsi"/>
                <w:color w:val="000000" w:themeColor="text1"/>
                <w:sz w:val="17"/>
                <w:szCs w:val="17"/>
                <w:lang w:eastAsia="ja-JP"/>
              </w:rPr>
            </w:pPr>
            <w:hyperlink w:anchor="_E-Learning" w:history="1">
              <w:r>
                <w:rPr>
                  <w:rStyle w:val="Hyperlink"/>
                  <w:rFonts w:cstheme="minorHAnsi"/>
                  <w:sz w:val="17"/>
                  <w:szCs w:val="17"/>
                </w:rPr>
                <w:t>E-Learning</w:t>
              </w:r>
            </w:hyperlink>
          </w:p>
        </w:tc>
        <w:tc>
          <w:tcPr>
            <w:tcW w:w="1648" w:type="dxa"/>
          </w:tcPr>
          <w:p w:rsidR="006E2458" w:rsidRPr="00BC431D" w:rsidRDefault="006E2458"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tcPr>
          <w:p w:rsidR="006E2458" w:rsidRPr="00BC431D" w:rsidRDefault="006E2458"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508" w:type="dxa"/>
            <w:vAlign w:val="center"/>
          </w:tcPr>
          <w:p w:rsidR="006E2458" w:rsidRPr="00BC431D" w:rsidRDefault="006E2458"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r>
      <w:tr w:rsidR="006E2458" w:rsidRPr="00A84C84" w:rsidTr="0019337E">
        <w:trPr>
          <w:trHeight w:val="255"/>
        </w:trPr>
        <w:tc>
          <w:tcPr>
            <w:tcW w:w="5736" w:type="dxa"/>
          </w:tcPr>
          <w:p w:rsidR="006E2458" w:rsidRPr="00BC431D" w:rsidRDefault="006E2458" w:rsidP="0019337E">
            <w:pPr>
              <w:pStyle w:val="ProductList-Body"/>
              <w:rPr>
                <w:rFonts w:cstheme="minorHAnsi"/>
                <w:color w:val="000000" w:themeColor="text1"/>
                <w:sz w:val="17"/>
                <w:szCs w:val="17"/>
                <w:lang w:eastAsia="ja-JP"/>
              </w:rPr>
            </w:pPr>
            <w:hyperlink w:anchor="_Home_Use_Program" w:history="1">
              <w:r>
                <w:rPr>
                  <w:rStyle w:val="Hyperlink"/>
                  <w:rFonts w:cstheme="minorHAnsi"/>
                  <w:sz w:val="17"/>
                  <w:szCs w:val="17"/>
                </w:rPr>
                <w:t>Home Use Program (Programme d’Utilisation à Domicile)</w:t>
              </w:r>
            </w:hyperlink>
          </w:p>
        </w:tc>
        <w:tc>
          <w:tcPr>
            <w:tcW w:w="1648" w:type="dxa"/>
          </w:tcPr>
          <w:p w:rsidR="006E2458" w:rsidRPr="00BC431D" w:rsidRDefault="006E2458"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vAlign w:val="center"/>
          </w:tcPr>
          <w:p w:rsidR="006E2458" w:rsidRPr="00BC431D" w:rsidRDefault="006E2458" w:rsidP="0019337E">
            <w:pPr>
              <w:pStyle w:val="ProductList-Body"/>
              <w:jc w:val="center"/>
              <w:rPr>
                <w:rFonts w:cstheme="minorHAnsi"/>
                <w:color w:val="000000" w:themeColor="text1"/>
                <w:sz w:val="17"/>
                <w:szCs w:val="17"/>
              </w:rPr>
            </w:pPr>
          </w:p>
        </w:tc>
        <w:tc>
          <w:tcPr>
            <w:tcW w:w="1508" w:type="dxa"/>
            <w:vAlign w:val="center"/>
          </w:tcPr>
          <w:p w:rsidR="006E2458" w:rsidRPr="00BC431D" w:rsidRDefault="006E2458" w:rsidP="0019337E">
            <w:pPr>
              <w:pStyle w:val="ProductList-Body"/>
              <w:jc w:val="center"/>
              <w:rPr>
                <w:rFonts w:cstheme="minorHAnsi"/>
                <w:color w:val="000000" w:themeColor="text1"/>
                <w:sz w:val="17"/>
                <w:szCs w:val="17"/>
              </w:rPr>
            </w:pPr>
          </w:p>
        </w:tc>
      </w:tr>
      <w:tr w:rsidR="006E2458" w:rsidRPr="00A84C84" w:rsidTr="0019337E">
        <w:trPr>
          <w:trHeight w:val="255"/>
        </w:trPr>
        <w:tc>
          <w:tcPr>
            <w:tcW w:w="5736" w:type="dxa"/>
          </w:tcPr>
          <w:p w:rsidR="006E2458" w:rsidRPr="00BC431D" w:rsidRDefault="006E2458" w:rsidP="0019337E">
            <w:pPr>
              <w:pStyle w:val="ProductList-Body"/>
              <w:rPr>
                <w:rFonts w:cstheme="minorHAnsi"/>
                <w:color w:val="000000" w:themeColor="text1"/>
                <w:sz w:val="17"/>
                <w:szCs w:val="17"/>
                <w:lang w:eastAsia="ja-JP"/>
              </w:rPr>
            </w:pPr>
            <w:hyperlink w:anchor="_Enterprise_Source_Licensing" w:history="1">
              <w:r>
                <w:rPr>
                  <w:rStyle w:val="Hyperlink"/>
                  <w:rFonts w:cstheme="minorHAnsi"/>
                  <w:sz w:val="17"/>
                  <w:szCs w:val="17"/>
                </w:rPr>
                <w:t>Programme de Licences Sources aux Entreprises (ESLP)</w:t>
              </w:r>
            </w:hyperlink>
          </w:p>
        </w:tc>
        <w:tc>
          <w:tcPr>
            <w:tcW w:w="1648" w:type="dxa"/>
            <w:vAlign w:val="center"/>
          </w:tcPr>
          <w:p w:rsidR="006E2458" w:rsidRPr="00BC431D" w:rsidRDefault="006E2458" w:rsidP="0019337E">
            <w:pPr>
              <w:pStyle w:val="ProductList-Body"/>
              <w:jc w:val="center"/>
              <w:rPr>
                <w:rFonts w:cstheme="minorHAnsi"/>
                <w:color w:val="000000" w:themeColor="text1"/>
                <w:sz w:val="17"/>
                <w:szCs w:val="17"/>
              </w:rPr>
            </w:pPr>
          </w:p>
        </w:tc>
        <w:tc>
          <w:tcPr>
            <w:tcW w:w="1828" w:type="dxa"/>
            <w:vAlign w:val="center"/>
          </w:tcPr>
          <w:p w:rsidR="006E2458" w:rsidRPr="00BC431D" w:rsidRDefault="006E2458"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r>
              <w:rPr>
                <w:rFonts w:cstheme="minorHAnsi"/>
                <w:color w:val="000000" w:themeColor="text1"/>
                <w:sz w:val="17"/>
                <w:szCs w:val="17"/>
                <w:vertAlign w:val="superscript"/>
              </w:rPr>
              <w:t>1</w:t>
            </w:r>
          </w:p>
        </w:tc>
        <w:tc>
          <w:tcPr>
            <w:tcW w:w="1508" w:type="dxa"/>
            <w:vAlign w:val="center"/>
          </w:tcPr>
          <w:p w:rsidR="006E2458" w:rsidRPr="00BC431D" w:rsidRDefault="006E2458" w:rsidP="0019337E">
            <w:pPr>
              <w:pStyle w:val="ProductList-Body"/>
              <w:jc w:val="center"/>
              <w:rPr>
                <w:rFonts w:cstheme="minorHAnsi"/>
                <w:color w:val="000000" w:themeColor="text1"/>
                <w:sz w:val="17"/>
                <w:szCs w:val="17"/>
              </w:rPr>
            </w:pPr>
          </w:p>
        </w:tc>
      </w:tr>
      <w:tr w:rsidR="006E2458" w:rsidRPr="00A84C84" w:rsidTr="0019337E">
        <w:trPr>
          <w:trHeight w:val="255"/>
        </w:trPr>
        <w:tc>
          <w:tcPr>
            <w:tcW w:w="5736" w:type="dxa"/>
          </w:tcPr>
          <w:p w:rsidR="006E2458" w:rsidRPr="00BC431D" w:rsidRDefault="006E2458" w:rsidP="0019337E">
            <w:pPr>
              <w:pStyle w:val="ProductList-Body"/>
              <w:rPr>
                <w:rFonts w:cstheme="minorHAnsi"/>
                <w:color w:val="000000" w:themeColor="text1"/>
                <w:sz w:val="17"/>
                <w:szCs w:val="17"/>
                <w:lang w:eastAsia="ja-JP"/>
              </w:rPr>
            </w:pPr>
            <w:hyperlink w:anchor="_Backup_pour_la" w:history="1">
              <w:r>
                <w:rPr>
                  <w:rStyle w:val="Hyperlink"/>
                  <w:rFonts w:cstheme="minorHAnsi"/>
                  <w:sz w:val="17"/>
                  <w:szCs w:val="17"/>
                </w:rPr>
                <w:t>Backup pour la Récupération d’Urgence</w:t>
              </w:r>
            </w:hyperlink>
          </w:p>
        </w:tc>
        <w:tc>
          <w:tcPr>
            <w:tcW w:w="1648" w:type="dxa"/>
            <w:vAlign w:val="center"/>
          </w:tcPr>
          <w:p w:rsidR="006E2458" w:rsidRPr="00BC431D" w:rsidRDefault="006E2458" w:rsidP="0019337E">
            <w:pPr>
              <w:pStyle w:val="ProductList-Body"/>
              <w:jc w:val="center"/>
              <w:rPr>
                <w:rFonts w:cstheme="minorHAnsi"/>
                <w:color w:val="000000" w:themeColor="text1"/>
                <w:sz w:val="17"/>
                <w:szCs w:val="17"/>
              </w:rPr>
            </w:pPr>
          </w:p>
        </w:tc>
        <w:tc>
          <w:tcPr>
            <w:tcW w:w="1828" w:type="dxa"/>
            <w:vAlign w:val="center"/>
          </w:tcPr>
          <w:p w:rsidR="006E2458" w:rsidRPr="00BC431D" w:rsidRDefault="006E2458" w:rsidP="0019337E">
            <w:pPr>
              <w:pStyle w:val="ProductList-Body"/>
              <w:jc w:val="center"/>
              <w:rPr>
                <w:rFonts w:cstheme="minorHAnsi"/>
                <w:color w:val="000000" w:themeColor="text1"/>
                <w:sz w:val="17"/>
                <w:szCs w:val="17"/>
              </w:rPr>
            </w:pPr>
          </w:p>
        </w:tc>
        <w:tc>
          <w:tcPr>
            <w:tcW w:w="1508" w:type="dxa"/>
          </w:tcPr>
          <w:p w:rsidR="006E2458" w:rsidRPr="00BC431D" w:rsidRDefault="006E2458"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r>
      <w:tr w:rsidR="006E2458" w:rsidRPr="00A84C84" w:rsidTr="0019337E">
        <w:trPr>
          <w:trHeight w:val="246"/>
        </w:trPr>
        <w:tc>
          <w:tcPr>
            <w:tcW w:w="5736" w:type="dxa"/>
          </w:tcPr>
          <w:p w:rsidR="006E2458" w:rsidRPr="00BC431D" w:rsidRDefault="006E2458" w:rsidP="0019337E">
            <w:pPr>
              <w:pStyle w:val="ProductList-Body"/>
              <w:rPr>
                <w:rFonts w:cstheme="minorHAnsi"/>
                <w:color w:val="000000" w:themeColor="text1"/>
                <w:sz w:val="17"/>
                <w:szCs w:val="17"/>
                <w:lang w:eastAsia="ja-JP"/>
              </w:rPr>
            </w:pPr>
            <w:hyperlink w:anchor="_License_Mobility_through" w:history="1">
              <w:r>
                <w:rPr>
                  <w:rStyle w:val="Hyperlink"/>
                  <w:rFonts w:cstheme="minorHAnsi"/>
                  <w:sz w:val="17"/>
                  <w:szCs w:val="17"/>
                </w:rPr>
                <w:t>Mobilité de Licence via la SA</w:t>
              </w:r>
            </w:hyperlink>
          </w:p>
        </w:tc>
        <w:tc>
          <w:tcPr>
            <w:tcW w:w="1648" w:type="dxa"/>
            <w:vAlign w:val="center"/>
          </w:tcPr>
          <w:p w:rsidR="006E2458" w:rsidRPr="00BC431D" w:rsidRDefault="006E2458" w:rsidP="0019337E">
            <w:pPr>
              <w:pStyle w:val="ProductList-Body"/>
              <w:jc w:val="center"/>
              <w:rPr>
                <w:rFonts w:cstheme="minorHAnsi"/>
                <w:color w:val="000000" w:themeColor="text1"/>
                <w:sz w:val="17"/>
                <w:szCs w:val="17"/>
              </w:rPr>
            </w:pPr>
          </w:p>
        </w:tc>
        <w:tc>
          <w:tcPr>
            <w:tcW w:w="1828" w:type="dxa"/>
            <w:vAlign w:val="center"/>
          </w:tcPr>
          <w:p w:rsidR="006E2458" w:rsidRPr="00BC431D" w:rsidRDefault="006E2458" w:rsidP="0019337E">
            <w:pPr>
              <w:pStyle w:val="ProductList-Body"/>
              <w:jc w:val="center"/>
              <w:rPr>
                <w:rFonts w:ascii="Wingdings" w:hAnsi="Wingdings" w:cs="Wingdings"/>
                <w:color w:val="000000" w:themeColor="text1"/>
                <w:sz w:val="17"/>
                <w:szCs w:val="17"/>
              </w:rPr>
            </w:pPr>
          </w:p>
        </w:tc>
        <w:tc>
          <w:tcPr>
            <w:tcW w:w="1508" w:type="dxa"/>
            <w:vAlign w:val="center"/>
          </w:tcPr>
          <w:p w:rsidR="006E2458" w:rsidRPr="00BC431D" w:rsidRDefault="006E2458"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r>
      <w:tr w:rsidR="006E2458" w:rsidRPr="00A84C84" w:rsidTr="0019337E">
        <w:trPr>
          <w:trHeight w:val="255"/>
        </w:trPr>
        <w:tc>
          <w:tcPr>
            <w:tcW w:w="5736" w:type="dxa"/>
          </w:tcPr>
          <w:p w:rsidR="006E2458" w:rsidRPr="00BC431D" w:rsidRDefault="006E2458" w:rsidP="0019337E">
            <w:pPr>
              <w:pStyle w:val="ProductList-Body"/>
              <w:rPr>
                <w:rFonts w:cstheme="minorHAnsi"/>
                <w:color w:val="000000" w:themeColor="text1"/>
                <w:sz w:val="17"/>
                <w:szCs w:val="17"/>
                <w:lang w:eastAsia="ja-JP"/>
              </w:rPr>
            </w:pPr>
            <w:hyperlink w:anchor="_Extended_Hotfix_Support" w:history="1">
              <w:r>
                <w:rPr>
                  <w:rStyle w:val="Hyperlink"/>
                  <w:rFonts w:cstheme="minorHAnsi"/>
                  <w:sz w:val="17"/>
                  <w:szCs w:val="17"/>
                </w:rPr>
                <w:t>Support Hotfix Étendu</w:t>
              </w:r>
            </w:hyperlink>
          </w:p>
        </w:tc>
        <w:tc>
          <w:tcPr>
            <w:tcW w:w="1648" w:type="dxa"/>
            <w:vAlign w:val="center"/>
          </w:tcPr>
          <w:p w:rsidR="006E2458" w:rsidRPr="00BC431D" w:rsidRDefault="006E2458"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828" w:type="dxa"/>
          </w:tcPr>
          <w:p w:rsidR="006E2458" w:rsidRPr="00BC431D" w:rsidRDefault="006E2458" w:rsidP="0019337E">
            <w:pPr>
              <w:pStyle w:val="ProductList-Body"/>
              <w:jc w:val="center"/>
              <w:rPr>
                <w:rFonts w:cstheme="minorHAnsi"/>
                <w:color w:val="000000" w:themeColor="text1"/>
                <w:sz w:val="17"/>
                <w:szCs w:val="17"/>
              </w:rPr>
            </w:pPr>
            <w:r>
              <w:rPr>
                <w:rFonts w:ascii="Wingdings" w:hAnsi="Wingdings" w:cs="Wingdings"/>
                <w:color w:val="000000" w:themeColor="text1"/>
                <w:sz w:val="17"/>
                <w:szCs w:val="17"/>
              </w:rPr>
              <w:t></w:t>
            </w:r>
          </w:p>
        </w:tc>
        <w:tc>
          <w:tcPr>
            <w:tcW w:w="1508" w:type="dxa"/>
            <w:vAlign w:val="center"/>
          </w:tcPr>
          <w:p w:rsidR="006E2458" w:rsidRPr="00BC431D" w:rsidRDefault="006E2458" w:rsidP="0019337E">
            <w:pPr>
              <w:pStyle w:val="ProductList-Body"/>
              <w:jc w:val="center"/>
              <w:rPr>
                <w:rStyle w:val="CommentReference"/>
                <w:rFonts w:cstheme="minorHAnsi"/>
                <w:color w:val="000000" w:themeColor="text1"/>
                <w:sz w:val="17"/>
                <w:szCs w:val="17"/>
              </w:rPr>
            </w:pPr>
            <w:r>
              <w:rPr>
                <w:rFonts w:ascii="Wingdings" w:hAnsi="Wingdings" w:cs="Wingdings"/>
                <w:color w:val="000000" w:themeColor="text1"/>
                <w:sz w:val="17"/>
                <w:szCs w:val="17"/>
              </w:rPr>
              <w:t></w:t>
            </w:r>
          </w:p>
        </w:tc>
      </w:tr>
    </w:tbl>
    <w:p w:rsidR="006E2458" w:rsidRPr="008E7033" w:rsidRDefault="006E2458" w:rsidP="006E2458">
      <w:pPr>
        <w:pStyle w:val="ProductList-Body"/>
        <w:tabs>
          <w:tab w:val="clear" w:pos="158"/>
          <w:tab w:val="left" w:pos="180"/>
        </w:tabs>
        <w:rPr>
          <w:color w:val="505050"/>
          <w:sz w:val="16"/>
          <w:szCs w:val="16"/>
        </w:rPr>
      </w:pPr>
      <w:r>
        <w:rPr>
          <w:rFonts w:ascii="Wingdings" w:eastAsia="Wingdings" w:hAnsi="Wingdings" w:cs="Wingdings"/>
          <w:color w:val="000000" w:themeColor="text1"/>
          <w:szCs w:val="20"/>
        </w:rPr>
        <w:t></w:t>
      </w:r>
      <w:r>
        <w:rPr>
          <w:rFonts w:eastAsiaTheme="minorEastAsia"/>
          <w:i/>
          <w:iCs/>
          <w:color w:val="000000" w:themeColor="text1"/>
          <w:sz w:val="16"/>
        </w:rPr>
        <w:t>signifie que la participation au programme SA Membership, l’acquisition d’une SA pour les produits éligibles ou la dépense SA pour les produits éligibles au sein d’un groupe vous rend éligible à cet avantage.</w:t>
      </w:r>
    </w:p>
    <w:p w:rsidR="006E2458" w:rsidRPr="009753C7" w:rsidRDefault="006E2458" w:rsidP="006E2458">
      <w:pPr>
        <w:pStyle w:val="ProductList-Body"/>
        <w:tabs>
          <w:tab w:val="clear" w:pos="158"/>
          <w:tab w:val="left" w:pos="180"/>
        </w:tabs>
        <w:rPr>
          <w:color w:val="505050"/>
          <w:sz w:val="16"/>
          <w:szCs w:val="16"/>
        </w:rPr>
      </w:pPr>
      <w:r>
        <w:rPr>
          <w:rFonts w:cstheme="minorHAnsi"/>
          <w:i/>
          <w:color w:val="000000" w:themeColor="text1"/>
          <w:sz w:val="16"/>
          <w:szCs w:val="18"/>
        </w:rPr>
        <w:t>De manière générale, les abonnements qui comprennent des composants logiciels constitués de logiciels versionnés incluent des droits permettant l’utilisation des nouvelles versions de ces composants.</w:t>
      </w:r>
    </w:p>
    <w:p w:rsidR="006E2458" w:rsidRPr="008E7033" w:rsidRDefault="006E2458" w:rsidP="006E2458">
      <w:pPr>
        <w:pStyle w:val="ProductList-Body"/>
        <w:rPr>
          <w:color w:val="505050"/>
          <w:sz w:val="16"/>
          <w:szCs w:val="16"/>
        </w:rPr>
      </w:pPr>
      <w:r>
        <w:rPr>
          <w:rFonts w:cstheme="minorHAnsi"/>
          <w:color w:val="000000" w:themeColor="text1"/>
          <w:sz w:val="16"/>
          <w:szCs w:val="18"/>
          <w:vertAlign w:val="superscript"/>
        </w:rPr>
        <w:lastRenderedPageBreak/>
        <w:t>1</w:t>
      </w:r>
      <w:r>
        <w:rPr>
          <w:rFonts w:cstheme="minorHAnsi"/>
          <w:i/>
          <w:color w:val="000000" w:themeColor="text1"/>
          <w:sz w:val="16"/>
          <w:szCs w:val="18"/>
        </w:rPr>
        <w:t>N’est pas un avantage de la SA pour les Produits Windows Embedded.</w:t>
      </w:r>
    </w:p>
    <w:p w:rsidR="006E2458" w:rsidRPr="00770957" w:rsidRDefault="006E2458" w:rsidP="006E2458">
      <w:pPr>
        <w:pStyle w:val="Hdg1noborder"/>
        <w:spacing w:before="60" w:after="120" w:line="240" w:lineRule="auto"/>
        <w:rPr>
          <w:rFonts w:asciiTheme="majorHAnsi" w:eastAsiaTheme="majorEastAsia" w:hAnsiTheme="majorHAnsi" w:cstheme="majorBidi"/>
          <w:bCs/>
          <w:color w:val="FFC000" w:themeColor="accent4"/>
          <w:sz w:val="28"/>
          <w:szCs w:val="26"/>
        </w:rPr>
      </w:pPr>
      <w:bookmarkStart w:id="29" w:name="_Toc403380302"/>
      <w:bookmarkStart w:id="30" w:name="_Toc403985020"/>
      <w:bookmarkStart w:id="31" w:name="_Toc428272530"/>
      <w:r>
        <w:rPr>
          <w:rFonts w:asciiTheme="majorHAnsi" w:eastAsiaTheme="majorEastAsia" w:hAnsiTheme="majorHAnsi" w:cstheme="majorBidi"/>
          <w:bCs/>
          <w:color w:val="FFC000" w:themeColor="accent4"/>
          <w:sz w:val="28"/>
          <w:szCs w:val="26"/>
        </w:rPr>
        <w:t>Avantages du Cumul des Points</w:t>
      </w:r>
      <w:bookmarkEnd w:id="29"/>
      <w:bookmarkEnd w:id="30"/>
      <w:bookmarkEnd w:id="31"/>
    </w:p>
    <w:p w:rsidR="006E2458" w:rsidRPr="00483B32" w:rsidRDefault="006E2458" w:rsidP="006E2458">
      <w:pPr>
        <w:pStyle w:val="Thirdheading"/>
      </w:pPr>
      <w:r>
        <w:rPr>
          <w:b/>
        </w:rPr>
        <w:t>Calcul des points pour les Avantages de la Software Assurance au titre du MPSA</w:t>
      </w:r>
    </w:p>
    <w:p w:rsidR="006E2458" w:rsidRPr="00483B32" w:rsidRDefault="006E2458" w:rsidP="006E2458">
      <w:pPr>
        <w:pStyle w:val="BodyText"/>
      </w:pPr>
      <w:r>
        <w:t>Vous devez obtenir un certain nombre de points pour bénéficier des avantages suivants au titre du MPSA :</w:t>
      </w:r>
    </w:p>
    <w:p w:rsidR="006E2458" w:rsidRPr="00483B32" w:rsidRDefault="006E2458" w:rsidP="006E2458">
      <w:pPr>
        <w:pStyle w:val="BodyText"/>
        <w:numPr>
          <w:ilvl w:val="0"/>
          <w:numId w:val="16"/>
        </w:numPr>
        <w:spacing w:after="0"/>
      </w:pPr>
      <w:r>
        <w:t>Services de Planification</w:t>
      </w:r>
    </w:p>
    <w:p w:rsidR="006E2458" w:rsidRPr="00483B32" w:rsidRDefault="006E2458" w:rsidP="006E2458">
      <w:pPr>
        <w:pStyle w:val="BodyText"/>
        <w:numPr>
          <w:ilvl w:val="0"/>
          <w:numId w:val="16"/>
        </w:numPr>
        <w:spacing w:after="0"/>
      </w:pPr>
      <w:r>
        <w:t>Bons de Formation</w:t>
      </w:r>
    </w:p>
    <w:p w:rsidR="006E2458" w:rsidRPr="00483B32" w:rsidRDefault="006E2458" w:rsidP="006E2458">
      <w:pPr>
        <w:pStyle w:val="BodyText"/>
        <w:numPr>
          <w:ilvl w:val="0"/>
          <w:numId w:val="16"/>
        </w:numPr>
      </w:pPr>
      <w:r>
        <w:t>Support Technique (téléphonique) 24h/24, 7 jours/7</w:t>
      </w:r>
    </w:p>
    <w:p w:rsidR="006E2458" w:rsidRPr="00483B32" w:rsidRDefault="006E2458" w:rsidP="006E2458">
      <w:r>
        <w:rPr>
          <w:color w:val="000000" w:themeColor="text1"/>
          <w:szCs w:val="18"/>
        </w:rPr>
        <w:t xml:space="preserve">Le nombre de points attribués varie en fonction du nombre de licences éligibles achetées et du groupe de Produits concerné, tel que résumé dans le tableau ci-dessous. Consultez le tableau des avantages de la SA par groupe de Produits ci-dessus pour connaître les groupes de Produits rapportant des points pour les Avantages de la SA. Le total des points est calculé par groupe de Produits </w:t>
      </w:r>
      <w:r>
        <w:rPr>
          <w:rFonts w:cs="Tahoma"/>
          <w:color w:val="000000" w:themeColor="text1"/>
          <w:szCs w:val="18"/>
        </w:rPr>
        <w:t xml:space="preserve">et non pour l’ensemble des groupes de Produits. Une réduction du nombre de points résultant de retours ou autres ajustements de facturation, si autorisés, peut donner lieu à une réduction des droits au cours de la période d’attribution en cours ou de celle à venir. </w:t>
      </w:r>
    </w:p>
    <w:tbl>
      <w:tblPr>
        <w:tblW w:w="10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995"/>
        <w:gridCol w:w="720"/>
      </w:tblGrid>
      <w:tr w:rsidR="006E2458" w:rsidRPr="005B13F2" w:rsidTr="0019337E">
        <w:trPr>
          <w:trHeight w:val="208"/>
        </w:trPr>
        <w:tc>
          <w:tcPr>
            <w:tcW w:w="9995" w:type="dxa"/>
            <w:shd w:val="clear" w:color="auto" w:fill="BF8F00" w:themeFill="accent4" w:themeFillShade="BF"/>
            <w:tcMar>
              <w:top w:w="15" w:type="dxa"/>
              <w:left w:w="108" w:type="dxa"/>
              <w:bottom w:w="0" w:type="dxa"/>
              <w:right w:w="108" w:type="dxa"/>
            </w:tcMar>
          </w:tcPr>
          <w:p w:rsidR="006E2458" w:rsidRPr="00CC21B3" w:rsidRDefault="006E2458" w:rsidP="0019337E">
            <w:pPr>
              <w:pStyle w:val="ProductList-Body"/>
              <w:spacing w:before="20" w:after="20"/>
              <w:rPr>
                <w:rFonts w:cstheme="minorHAnsi"/>
                <w:color w:val="FFFFFF" w:themeColor="background1"/>
                <w:szCs w:val="18"/>
              </w:rPr>
            </w:pPr>
            <w:r>
              <w:rPr>
                <w:rFonts w:cstheme="minorHAnsi"/>
                <w:color w:val="FFFFFF" w:themeColor="background1"/>
                <w:szCs w:val="18"/>
              </w:rPr>
              <w:t>Produits</w:t>
            </w:r>
          </w:p>
        </w:tc>
        <w:tc>
          <w:tcPr>
            <w:tcW w:w="720" w:type="dxa"/>
            <w:shd w:val="clear" w:color="auto" w:fill="BF8F00" w:themeFill="accent4" w:themeFillShade="BF"/>
            <w:tcMar>
              <w:top w:w="15" w:type="dxa"/>
              <w:left w:w="108" w:type="dxa"/>
              <w:bottom w:w="0" w:type="dxa"/>
              <w:right w:w="108" w:type="dxa"/>
            </w:tcMar>
          </w:tcPr>
          <w:p w:rsidR="006E2458" w:rsidRPr="00CC21B3" w:rsidRDefault="006E2458" w:rsidP="0019337E">
            <w:pPr>
              <w:pStyle w:val="ProductList-Body"/>
              <w:spacing w:before="20" w:after="20"/>
              <w:jc w:val="center"/>
              <w:rPr>
                <w:rFonts w:cstheme="minorHAnsi"/>
                <w:color w:val="FFFFFF" w:themeColor="background1"/>
                <w:szCs w:val="18"/>
              </w:rPr>
            </w:pPr>
            <w:r>
              <w:rPr>
                <w:rFonts w:cstheme="minorHAnsi"/>
                <w:color w:val="FFFFFF" w:themeColor="background1"/>
                <w:szCs w:val="18"/>
              </w:rPr>
              <w:t>Points</w:t>
            </w:r>
          </w:p>
        </w:tc>
      </w:tr>
      <w:tr w:rsidR="006E2458" w:rsidRPr="00CC21B3" w:rsidTr="0019337E">
        <w:trPr>
          <w:trHeight w:val="127"/>
        </w:trPr>
        <w:tc>
          <w:tcPr>
            <w:tcW w:w="9995" w:type="dxa"/>
            <w:shd w:val="clear" w:color="auto" w:fill="FFFFFF"/>
            <w:tcMar>
              <w:top w:w="15" w:type="dxa"/>
              <w:left w:w="108" w:type="dxa"/>
              <w:bottom w:w="0" w:type="dxa"/>
              <w:right w:w="108" w:type="dxa"/>
            </w:tcMar>
          </w:tcPr>
          <w:p w:rsidR="006E2458" w:rsidRPr="00BC431D" w:rsidRDefault="006E2458" w:rsidP="0019337E">
            <w:pPr>
              <w:pStyle w:val="ProductList-Body"/>
              <w:rPr>
                <w:color w:val="000000" w:themeColor="text1"/>
                <w:sz w:val="16"/>
                <w:szCs w:val="18"/>
              </w:rPr>
            </w:pPr>
            <w:r>
              <w:rPr>
                <w:color w:val="000000" w:themeColor="text1"/>
                <w:sz w:val="16"/>
                <w:szCs w:val="18"/>
              </w:rPr>
              <w:t>Produits du groupe Applications Office (comprenant les suites Office, Project Standard et Professionnel, Visio Standard et Professionnel), Produits du groupe Systèmes, CAL Microsoft Dynamics CRM</w:t>
            </w:r>
            <w:r w:rsidRPr="0041292D">
              <w:rPr>
                <w:color w:val="000000" w:themeColor="text1"/>
                <w:sz w:val="16"/>
                <w:szCs w:val="18"/>
                <w:vertAlign w:val="superscript"/>
              </w:rPr>
              <w:t>1</w:t>
            </w:r>
          </w:p>
        </w:tc>
        <w:tc>
          <w:tcPr>
            <w:tcW w:w="720" w:type="dxa"/>
            <w:shd w:val="clear" w:color="auto" w:fill="FFFFFF"/>
            <w:tcMar>
              <w:top w:w="15" w:type="dxa"/>
              <w:left w:w="108" w:type="dxa"/>
              <w:bottom w:w="0" w:type="dxa"/>
              <w:right w:w="108" w:type="dxa"/>
            </w:tcMar>
          </w:tcPr>
          <w:p w:rsidR="006E2458" w:rsidRPr="00BC431D" w:rsidRDefault="006E2458" w:rsidP="0019337E">
            <w:pPr>
              <w:pStyle w:val="ProductList-Body"/>
              <w:jc w:val="center"/>
              <w:rPr>
                <w:color w:val="000000" w:themeColor="text1"/>
                <w:sz w:val="16"/>
                <w:szCs w:val="18"/>
              </w:rPr>
            </w:pPr>
            <w:r>
              <w:rPr>
                <w:color w:val="000000" w:themeColor="text1"/>
                <w:sz w:val="16"/>
                <w:szCs w:val="18"/>
              </w:rPr>
              <w:t>1</w:t>
            </w:r>
          </w:p>
        </w:tc>
      </w:tr>
      <w:tr w:rsidR="006E2458" w:rsidRPr="00CC21B3" w:rsidTr="0019337E">
        <w:trPr>
          <w:trHeight w:val="45"/>
        </w:trPr>
        <w:tc>
          <w:tcPr>
            <w:tcW w:w="9995" w:type="dxa"/>
            <w:shd w:val="clear" w:color="auto" w:fill="FFFFFF"/>
            <w:tcMar>
              <w:top w:w="15" w:type="dxa"/>
              <w:left w:w="108" w:type="dxa"/>
              <w:bottom w:w="0" w:type="dxa"/>
              <w:right w:w="108" w:type="dxa"/>
            </w:tcMar>
          </w:tcPr>
          <w:p w:rsidR="006E2458" w:rsidRPr="00BC431D" w:rsidRDefault="006E2458" w:rsidP="0019337E">
            <w:pPr>
              <w:pStyle w:val="ProductList-Body"/>
              <w:rPr>
                <w:color w:val="000000" w:themeColor="text1"/>
                <w:sz w:val="16"/>
                <w:szCs w:val="18"/>
              </w:rPr>
            </w:pPr>
            <w:r w:rsidRPr="00C37E07">
              <w:rPr>
                <w:color w:val="000000" w:themeColor="text1"/>
                <w:sz w:val="16"/>
                <w:szCs w:val="18"/>
              </w:rPr>
              <w:t>SQL Server Édition Standard, Windows Server Édition Standard, Microsoft Dynamics CRM Server 2011, Microsoft Dynamics CRM Server 2013</w:t>
            </w:r>
            <w:r w:rsidRPr="00C37E07">
              <w:rPr>
                <w:color w:val="000000" w:themeColor="text1"/>
                <w:sz w:val="16"/>
                <w:szCs w:val="18"/>
              </w:rPr>
              <w:fldChar w:fldCharType="begin"/>
            </w:r>
            <w:r w:rsidRPr="00C37E07">
              <w:rPr>
                <w:color w:val="000000" w:themeColor="text1"/>
                <w:sz w:val="16"/>
                <w:szCs w:val="18"/>
              </w:rPr>
              <w:instrText>XE "Microsoft Dynamics CRM Server 2013"</w:instrText>
            </w:r>
            <w:r w:rsidRPr="00C37E07">
              <w:rPr>
                <w:color w:val="000000" w:themeColor="text1"/>
                <w:sz w:val="16"/>
                <w:szCs w:val="18"/>
              </w:rPr>
              <w:fldChar w:fldCharType="end"/>
            </w:r>
            <w:r w:rsidRPr="00C37E07">
              <w:rPr>
                <w:color w:val="000000" w:themeColor="text1"/>
                <w:sz w:val="16"/>
                <w:szCs w:val="18"/>
              </w:rPr>
              <w:t>, Microsoft Dynamics CRM Server 2015</w:t>
            </w:r>
            <w:r w:rsidRPr="00C37E07">
              <w:rPr>
                <w:color w:val="000000" w:themeColor="text1"/>
                <w:sz w:val="16"/>
                <w:szCs w:val="18"/>
              </w:rPr>
              <w:fldChar w:fldCharType="begin"/>
            </w:r>
            <w:r w:rsidRPr="00C37E07">
              <w:rPr>
                <w:color w:val="000000" w:themeColor="text1"/>
                <w:sz w:val="16"/>
                <w:szCs w:val="18"/>
              </w:rPr>
              <w:instrText>XE "Microsoft Dynamics CRM Server 2015"</w:instrText>
            </w:r>
            <w:r w:rsidRPr="00C37E07">
              <w:rPr>
                <w:color w:val="000000" w:themeColor="text1"/>
                <w:sz w:val="16"/>
                <w:szCs w:val="18"/>
              </w:rPr>
              <w:fldChar w:fldCharType="end"/>
            </w:r>
            <w:r w:rsidRPr="00C37E07">
              <w:rPr>
                <w:color w:val="000000" w:themeColor="text1"/>
                <w:sz w:val="16"/>
                <w:szCs w:val="18"/>
              </w:rPr>
              <w:t>, System Center 2012 Standard</w:t>
            </w:r>
            <w:r w:rsidRPr="00C37E07">
              <w:rPr>
                <w:color w:val="000000" w:themeColor="text1"/>
                <w:sz w:val="16"/>
                <w:szCs w:val="18"/>
              </w:rPr>
              <w:fldChar w:fldCharType="begin"/>
            </w:r>
            <w:r w:rsidRPr="00C37E07">
              <w:rPr>
                <w:color w:val="000000" w:themeColor="text1"/>
                <w:sz w:val="16"/>
                <w:szCs w:val="18"/>
              </w:rPr>
              <w:instrText>XE "System Center 2012 Standard"</w:instrText>
            </w:r>
            <w:r w:rsidRPr="00C37E07">
              <w:rPr>
                <w:color w:val="000000" w:themeColor="text1"/>
                <w:sz w:val="16"/>
                <w:szCs w:val="18"/>
              </w:rPr>
              <w:fldChar w:fldCharType="end"/>
            </w:r>
            <w:r w:rsidRPr="00C37E07">
              <w:rPr>
                <w:color w:val="000000" w:themeColor="text1"/>
                <w:sz w:val="16"/>
                <w:szCs w:val="18"/>
              </w:rPr>
              <w:t xml:space="preserve"> - ML Serveur (2 processeurs), Visual Studio Professional avec MSDN et Visual Studio Test Professional avec MSDN</w:t>
            </w:r>
          </w:p>
        </w:tc>
        <w:tc>
          <w:tcPr>
            <w:tcW w:w="720" w:type="dxa"/>
            <w:shd w:val="clear" w:color="auto" w:fill="FFFFFF"/>
            <w:tcMar>
              <w:top w:w="15" w:type="dxa"/>
              <w:left w:w="108" w:type="dxa"/>
              <w:bottom w:w="0" w:type="dxa"/>
              <w:right w:w="108" w:type="dxa"/>
            </w:tcMar>
          </w:tcPr>
          <w:p w:rsidR="006E2458" w:rsidRPr="00BC431D" w:rsidRDefault="006E2458" w:rsidP="0019337E">
            <w:pPr>
              <w:pStyle w:val="ProductList-Body"/>
              <w:jc w:val="center"/>
              <w:rPr>
                <w:color w:val="000000" w:themeColor="text1"/>
                <w:sz w:val="16"/>
                <w:szCs w:val="18"/>
              </w:rPr>
            </w:pPr>
            <w:r>
              <w:rPr>
                <w:color w:val="000000" w:themeColor="text1"/>
                <w:sz w:val="16"/>
                <w:szCs w:val="18"/>
              </w:rPr>
              <w:t>25</w:t>
            </w:r>
          </w:p>
        </w:tc>
      </w:tr>
      <w:tr w:rsidR="006E2458" w:rsidRPr="00CC21B3" w:rsidTr="0019337E">
        <w:trPr>
          <w:trHeight w:val="45"/>
        </w:trPr>
        <w:tc>
          <w:tcPr>
            <w:tcW w:w="9995" w:type="dxa"/>
            <w:shd w:val="clear" w:color="auto" w:fill="FFFFFF"/>
            <w:tcMar>
              <w:top w:w="15" w:type="dxa"/>
              <w:left w:w="108" w:type="dxa"/>
              <w:bottom w:w="0" w:type="dxa"/>
              <w:right w:w="108" w:type="dxa"/>
            </w:tcMar>
          </w:tcPr>
          <w:p w:rsidR="006E2458" w:rsidRPr="00BC431D" w:rsidRDefault="006E2458" w:rsidP="0019337E">
            <w:pPr>
              <w:pStyle w:val="ProductList-Body"/>
              <w:rPr>
                <w:color w:val="000000" w:themeColor="text1"/>
                <w:sz w:val="16"/>
                <w:szCs w:val="18"/>
              </w:rPr>
            </w:pPr>
            <w:r w:rsidRPr="00C37E07">
              <w:rPr>
                <w:color w:val="000000" w:themeColor="text1"/>
                <w:sz w:val="16"/>
                <w:szCs w:val="18"/>
              </w:rPr>
              <w:t xml:space="preserve">SQL Server Édition Enterprise, </w:t>
            </w:r>
            <w:r>
              <w:rPr>
                <w:color w:val="000000" w:themeColor="text1"/>
                <w:sz w:val="16"/>
                <w:szCs w:val="18"/>
              </w:rPr>
              <w:t xml:space="preserve">SQL Server Business Intelligence, </w:t>
            </w:r>
            <w:r w:rsidRPr="00C37E07">
              <w:rPr>
                <w:color w:val="000000" w:themeColor="text1"/>
                <w:sz w:val="16"/>
                <w:szCs w:val="18"/>
              </w:rPr>
              <w:t>Windows Server Édition Entreprise et Visual Studio Premium avec MSDN</w:t>
            </w:r>
          </w:p>
        </w:tc>
        <w:tc>
          <w:tcPr>
            <w:tcW w:w="720" w:type="dxa"/>
            <w:shd w:val="clear" w:color="auto" w:fill="FFFFFF"/>
            <w:tcMar>
              <w:top w:w="15" w:type="dxa"/>
              <w:left w:w="108" w:type="dxa"/>
              <w:bottom w:w="0" w:type="dxa"/>
              <w:right w:w="108" w:type="dxa"/>
            </w:tcMar>
          </w:tcPr>
          <w:p w:rsidR="006E2458" w:rsidRPr="00BC431D" w:rsidRDefault="006E2458" w:rsidP="0019337E">
            <w:pPr>
              <w:pStyle w:val="ProductList-Body"/>
              <w:jc w:val="center"/>
              <w:rPr>
                <w:color w:val="000000" w:themeColor="text1"/>
                <w:sz w:val="16"/>
                <w:szCs w:val="18"/>
              </w:rPr>
            </w:pPr>
            <w:r>
              <w:rPr>
                <w:color w:val="000000" w:themeColor="text1"/>
                <w:sz w:val="16"/>
                <w:szCs w:val="18"/>
              </w:rPr>
              <w:t>50</w:t>
            </w:r>
          </w:p>
        </w:tc>
      </w:tr>
      <w:tr w:rsidR="006E2458" w:rsidRPr="00CC21B3" w:rsidTr="0019337E">
        <w:trPr>
          <w:trHeight w:val="45"/>
        </w:trPr>
        <w:tc>
          <w:tcPr>
            <w:tcW w:w="9995" w:type="dxa"/>
            <w:shd w:val="clear" w:color="auto" w:fill="FFFFFF"/>
            <w:tcMar>
              <w:top w:w="15" w:type="dxa"/>
              <w:left w:w="108" w:type="dxa"/>
              <w:bottom w:w="0" w:type="dxa"/>
              <w:right w:w="108" w:type="dxa"/>
            </w:tcMar>
          </w:tcPr>
          <w:p w:rsidR="006E2458" w:rsidRPr="00BC431D" w:rsidRDefault="006E2458" w:rsidP="0019337E">
            <w:pPr>
              <w:pStyle w:val="ProductList-Body"/>
              <w:rPr>
                <w:color w:val="000000" w:themeColor="text1"/>
                <w:sz w:val="16"/>
                <w:szCs w:val="18"/>
              </w:rPr>
            </w:pPr>
            <w:r w:rsidRPr="00C37E07">
              <w:rPr>
                <w:color w:val="000000" w:themeColor="text1"/>
                <w:sz w:val="16"/>
                <w:szCs w:val="18"/>
              </w:rPr>
              <w:t>SQL Server Data Center Edition, SQL Parallel Data Warehouse, Windows Server Data Center Edition, System Center 2012 Datacenter</w:t>
            </w:r>
            <w:r w:rsidRPr="00C37E07">
              <w:rPr>
                <w:color w:val="000000" w:themeColor="text1"/>
                <w:sz w:val="16"/>
                <w:szCs w:val="18"/>
              </w:rPr>
              <w:fldChar w:fldCharType="begin"/>
            </w:r>
            <w:r w:rsidRPr="00C37E07">
              <w:rPr>
                <w:color w:val="000000" w:themeColor="text1"/>
                <w:sz w:val="16"/>
                <w:szCs w:val="18"/>
              </w:rPr>
              <w:instrText>XE "System Center 2012 Datacenter"</w:instrText>
            </w:r>
            <w:r w:rsidRPr="00C37E07">
              <w:rPr>
                <w:color w:val="000000" w:themeColor="text1"/>
                <w:sz w:val="16"/>
                <w:szCs w:val="18"/>
              </w:rPr>
              <w:fldChar w:fldCharType="end"/>
            </w:r>
            <w:r w:rsidRPr="00C37E07">
              <w:rPr>
                <w:color w:val="000000" w:themeColor="text1"/>
                <w:sz w:val="16"/>
                <w:szCs w:val="18"/>
              </w:rPr>
              <w:t xml:space="preserve"> - ML Serveur (2 processeurs) et Visual Studio Ultimate avec MSDN</w:t>
            </w:r>
          </w:p>
        </w:tc>
        <w:tc>
          <w:tcPr>
            <w:tcW w:w="720" w:type="dxa"/>
            <w:shd w:val="clear" w:color="auto" w:fill="FFFFFF"/>
            <w:tcMar>
              <w:top w:w="15" w:type="dxa"/>
              <w:left w:w="108" w:type="dxa"/>
              <w:bottom w:w="0" w:type="dxa"/>
              <w:right w:w="108" w:type="dxa"/>
            </w:tcMar>
          </w:tcPr>
          <w:p w:rsidR="006E2458" w:rsidRPr="00BC431D" w:rsidRDefault="006E2458" w:rsidP="0019337E">
            <w:pPr>
              <w:pStyle w:val="ProductList-Body"/>
              <w:jc w:val="center"/>
              <w:rPr>
                <w:color w:val="000000" w:themeColor="text1"/>
                <w:sz w:val="16"/>
                <w:szCs w:val="18"/>
              </w:rPr>
            </w:pPr>
            <w:r>
              <w:rPr>
                <w:color w:val="000000" w:themeColor="text1"/>
                <w:sz w:val="16"/>
                <w:szCs w:val="18"/>
              </w:rPr>
              <w:t>75</w:t>
            </w:r>
          </w:p>
        </w:tc>
      </w:tr>
    </w:tbl>
    <w:p w:rsidR="006E2458" w:rsidRPr="00646B42" w:rsidRDefault="006E2458" w:rsidP="006E2458">
      <w:pPr>
        <w:pStyle w:val="ProductList-Body"/>
        <w:tabs>
          <w:tab w:val="clear" w:pos="158"/>
          <w:tab w:val="left" w:pos="180"/>
        </w:tabs>
        <w:rPr>
          <w:i/>
          <w:color w:val="000000" w:themeColor="text1"/>
          <w:sz w:val="16"/>
          <w:szCs w:val="18"/>
        </w:rPr>
      </w:pPr>
      <w:r>
        <w:rPr>
          <w:color w:val="000000" w:themeColor="text1"/>
          <w:sz w:val="16"/>
          <w:szCs w:val="18"/>
          <w:vertAlign w:val="superscript"/>
        </w:rPr>
        <w:t>1</w:t>
      </w:r>
      <w:r>
        <w:rPr>
          <w:i/>
          <w:color w:val="000000" w:themeColor="text1"/>
          <w:sz w:val="16"/>
          <w:szCs w:val="18"/>
        </w:rPr>
        <w:t xml:space="preserve"> La CAL Microsoft Dynamics CRM Professional vaut deux (2) points</w:t>
      </w:r>
    </w:p>
    <w:p w:rsidR="006E2458" w:rsidRPr="00646B42" w:rsidRDefault="006E2458" w:rsidP="006E2458">
      <w:pPr>
        <w:pStyle w:val="ProductList-Body"/>
        <w:tabs>
          <w:tab w:val="clear" w:pos="158"/>
          <w:tab w:val="left" w:pos="180"/>
        </w:tabs>
        <w:rPr>
          <w:i/>
          <w:color w:val="000000" w:themeColor="text1"/>
          <w:sz w:val="16"/>
          <w:szCs w:val="18"/>
        </w:rPr>
      </w:pPr>
      <w:r>
        <w:rPr>
          <w:i/>
          <w:color w:val="000000" w:themeColor="text1"/>
          <w:sz w:val="16"/>
          <w:szCs w:val="18"/>
        </w:rPr>
        <w:t>*Les SA pour CAL Core Suite et CAL SQL comptent pour un (1) point et la SA pour CAL Entreprise Suite compte pour deux (2) points</w:t>
      </w:r>
    </w:p>
    <w:p w:rsidR="006E2458" w:rsidRPr="00483B32" w:rsidRDefault="006E2458" w:rsidP="006E2458">
      <w:pPr>
        <w:pStyle w:val="Heading2"/>
      </w:pPr>
      <w:bookmarkStart w:id="32" w:name="_New_Version_Rights"/>
      <w:bookmarkStart w:id="33" w:name="_Office_Multi_Language"/>
      <w:bookmarkStart w:id="34" w:name="_Office_Online"/>
      <w:bookmarkStart w:id="35" w:name="_Planning_Services"/>
      <w:bookmarkStart w:id="36" w:name="_Toc403380303"/>
      <w:bookmarkStart w:id="37" w:name="_Toc403985021"/>
      <w:bookmarkStart w:id="38" w:name="_Toc428272531"/>
      <w:bookmarkEnd w:id="32"/>
      <w:bookmarkEnd w:id="33"/>
      <w:bookmarkEnd w:id="34"/>
      <w:bookmarkEnd w:id="35"/>
      <w:r>
        <w:t>Services de Planification</w:t>
      </w:r>
      <w:bookmarkEnd w:id="36"/>
      <w:bookmarkEnd w:id="37"/>
      <w:bookmarkEnd w:id="38"/>
    </w:p>
    <w:p w:rsidR="006E2458" w:rsidRPr="00483B32" w:rsidRDefault="006E2458" w:rsidP="006E2458">
      <w:pPr>
        <w:pStyle w:val="ProductList-Body"/>
      </w:pPr>
      <w:r>
        <w:rPr>
          <w:color w:val="000000" w:themeColor="text1"/>
          <w:szCs w:val="18"/>
        </w:rPr>
        <w:t xml:space="preserve">Si vous participez au programme Software Assurance Membership pour le(s) groupe(s) Applications et/ou Serveurs, vous pouvez prétendre à cet avantage. L’avantage Services de Planification vous permet de bénéficier d’offres de service prédéfinies personnalisées,comme indiqué à l’adresse </w:t>
      </w:r>
      <w:hyperlink r:id="rId19" w:history="1">
        <w:r>
          <w:rPr>
            <w:rStyle w:val="Hyperlink"/>
          </w:rPr>
          <w:t>http://www.microsoft.com/licensing/software-assurance/planning-services-overview.aspx</w:t>
        </w:r>
      </w:hyperlink>
      <w:r>
        <w:rPr>
          <w:color w:val="000000" w:themeColor="text1"/>
          <w:szCs w:val="18"/>
        </w:rPr>
        <w:t xml:space="preserve">. La liste des services disponibles et les niveaux de service associés peuvent faire l’objet de modifications à tout moment. </w:t>
      </w:r>
      <w:r>
        <w:rPr>
          <w:rFonts w:ascii="Segoe UI" w:hAnsi="Segoe UI"/>
          <w:color w:val="000000" w:themeColor="text1"/>
          <w:szCs w:val="18"/>
        </w:rPr>
        <w:t xml:space="preserve">Les Fournisseurs de Services de Planification Partenaires (Planning Services Partners, PSP) (cf. </w:t>
      </w:r>
      <w:hyperlink r:id="rId20" w:history="1">
        <w:r>
          <w:rPr>
            <w:rStyle w:val="Hyperlink"/>
            <w:rFonts w:ascii="Segoe UI" w:hAnsi="Segoe UI"/>
            <w:szCs w:val="18"/>
          </w:rPr>
          <w:t>http://directory.partners.extranet.microsoft.com/psbproviders</w:t>
        </w:r>
      </w:hyperlink>
      <w:r>
        <w:rPr>
          <w:rFonts w:ascii="Segoe UI" w:hAnsi="Segoe UI"/>
          <w:color w:val="000000" w:themeColor="text1"/>
          <w:szCs w:val="18"/>
        </w:rPr>
        <w:t xml:space="preserve">) </w:t>
      </w:r>
      <w:r>
        <w:rPr>
          <w:color w:val="000000" w:themeColor="text1"/>
          <w:szCs w:val="18"/>
        </w:rPr>
        <w:t xml:space="preserve">vous fourniront une ébauche de la Portée des Travaux pour chaque offre de service décrite ci-dessus, sur demande. Vous pouvez choisir une ou plusieurs des offres disponibles et opter pour les niveaux de service disponibles à hauteur du nombre de jours de Services de Planification dont vous disposez. </w:t>
      </w:r>
      <w:r>
        <w:fldChar w:fldCharType="begin"/>
      </w:r>
      <w:r>
        <w:instrText>XE "Microsoft Dynamics CRM Server 2013"</w:instrText>
      </w:r>
      <w:r>
        <w:fldChar w:fldCharType="end"/>
      </w:r>
      <w:r>
        <w:fldChar w:fldCharType="begin"/>
      </w:r>
      <w:r>
        <w:instrText>XE "System Center 2012 Standard"</w:instrText>
      </w:r>
      <w:r>
        <w:fldChar w:fldCharType="end"/>
      </w:r>
      <w:r>
        <w:fldChar w:fldCharType="begin"/>
      </w:r>
      <w:r>
        <w:instrText>XE "System Center 2012 Datacenter"</w:instrText>
      </w:r>
      <w:r>
        <w:fldChar w:fldCharType="end"/>
      </w:r>
      <w:r>
        <w:fldChar w:fldCharType="begin"/>
      </w:r>
      <w:r>
        <w:instrText>XE "CAL Core Suite"</w:instrText>
      </w:r>
      <w:r>
        <w:fldChar w:fldCharType="end"/>
      </w:r>
      <w:r>
        <w:fldChar w:fldCharType="begin"/>
      </w:r>
      <w:r>
        <w:instrText>XE "CAL Entreprise Suite"</w:instrText>
      </w:r>
      <w:r>
        <w:fldChar w:fldCharType="end"/>
      </w:r>
      <w:r>
        <w:fldChar w:fldCharType="begin"/>
      </w:r>
      <w:r>
        <w:instrText>XE "CAL Entreprise Suite"</w:instrText>
      </w:r>
      <w:r>
        <w:fldChar w:fldCharType="end"/>
      </w:r>
      <w:r>
        <w:fldChar w:fldCharType="begin"/>
      </w:r>
      <w:r>
        <w:instrText>XE "CAL Entreprise Suite"</w:instrText>
      </w:r>
      <w:r>
        <w:fldChar w:fldCharType="end"/>
      </w:r>
    </w:p>
    <w:p w:rsidR="006E2458" w:rsidRPr="00483B32" w:rsidRDefault="006E2458" w:rsidP="006E2458">
      <w:r>
        <w:rPr>
          <w:color w:val="000000" w:themeColor="text1"/>
          <w:szCs w:val="18"/>
        </w:rPr>
        <w:t>Si vous êtes éligible, vous disposerez d’un nombre de jours de prestation de Services de Planification déterminé en fonction du nombre de licences d’Applications Office éligibles, du nombre de licences du groupe Serveurs éligibles et du nombre de suites de CAL Core, CAL SQL et CAL Entreprise couvertes par une SA. Le nombre de jours de prestation de Services de Planification disponibles dont vous bénéficiez est ajouté à votre « portefeuille » de Services de Planification pour chaque Compte d’Achats.</w:t>
      </w:r>
    </w:p>
    <w:p w:rsidR="006E2458" w:rsidRPr="00483B32" w:rsidRDefault="006E2458" w:rsidP="006E2458">
      <w:pPr>
        <w:pStyle w:val="ProductList-Body"/>
      </w:pPr>
    </w:p>
    <w:p w:rsidR="006E2458" w:rsidRPr="00483B32" w:rsidRDefault="006E2458" w:rsidP="006E2458">
      <w:pPr>
        <w:pStyle w:val="ProductList-Body"/>
      </w:pPr>
      <w:r>
        <w:rPr>
          <w:rFonts w:ascii="Segoe UI" w:hAnsi="Segoe UI"/>
          <w:color w:val="000000" w:themeColor="text1"/>
          <w:szCs w:val="18"/>
        </w:rPr>
        <w:t>Le nombre de jours de Services de Planification dont vous pouvez bénéficier dépend du nombre total de points cumulés par votre Compte d’Achats, comme indiqué ci-dessous (cf. section « Calcul des points pour les Avantages de la Software Assurance au titre du MPSA » du présent document pour en savoir plus sur les modalités de calcul) :</w:t>
      </w:r>
    </w:p>
    <w:p w:rsidR="006E2458" w:rsidRPr="00483B32" w:rsidRDefault="006E2458" w:rsidP="006E2458">
      <w:pPr>
        <w:pStyle w:val="ProductList-Body"/>
      </w:pPr>
    </w:p>
    <w:tbl>
      <w:tblPr>
        <w:tblW w:w="747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2210"/>
      </w:tblGrid>
      <w:tr w:rsidR="006E2458" w:rsidRPr="005B13F2" w:rsidTr="0019337E">
        <w:trPr>
          <w:trHeight w:val="226"/>
          <w:tblHeader/>
        </w:trPr>
        <w:tc>
          <w:tcPr>
            <w:tcW w:w="5265" w:type="dxa"/>
            <w:shd w:val="clear" w:color="auto" w:fill="BF8F00" w:themeFill="accent4" w:themeFillShade="BF"/>
            <w:tcMar>
              <w:top w:w="15" w:type="dxa"/>
              <w:left w:w="108" w:type="dxa"/>
              <w:bottom w:w="0" w:type="dxa"/>
              <w:right w:w="108" w:type="dxa"/>
            </w:tcMar>
          </w:tcPr>
          <w:p w:rsidR="006E2458" w:rsidRPr="005B13F2" w:rsidRDefault="006E2458" w:rsidP="0019337E">
            <w:pPr>
              <w:pStyle w:val="ProductList-Body"/>
              <w:spacing w:before="20" w:after="20"/>
              <w:rPr>
                <w:color w:val="FFFFFF" w:themeColor="background1"/>
                <w:szCs w:val="18"/>
              </w:rPr>
            </w:pPr>
            <w:r>
              <w:rPr>
                <w:color w:val="FFFFFF" w:themeColor="background1"/>
                <w:szCs w:val="18"/>
              </w:rPr>
              <w:t>Points attribués pour les licences Office des groupes Applications et/ou Serveurs avec la participation au programme Software Assurance Membership</w:t>
            </w:r>
          </w:p>
        </w:tc>
        <w:tc>
          <w:tcPr>
            <w:tcW w:w="2210" w:type="dxa"/>
            <w:shd w:val="clear" w:color="auto" w:fill="BF8F00" w:themeFill="accent4" w:themeFillShade="BF"/>
            <w:tcMar>
              <w:top w:w="15" w:type="dxa"/>
              <w:left w:w="108" w:type="dxa"/>
              <w:bottom w:w="0" w:type="dxa"/>
              <w:right w:w="108" w:type="dxa"/>
            </w:tcMar>
          </w:tcPr>
          <w:p w:rsidR="006E2458" w:rsidRPr="005B13F2" w:rsidRDefault="006E2458" w:rsidP="0019337E">
            <w:pPr>
              <w:pStyle w:val="ProductList-Body"/>
              <w:spacing w:before="20" w:after="20"/>
              <w:rPr>
                <w:color w:val="FFFFFF" w:themeColor="background1"/>
                <w:szCs w:val="18"/>
              </w:rPr>
            </w:pPr>
            <w:r>
              <w:rPr>
                <w:color w:val="FFFFFF" w:themeColor="background1"/>
                <w:szCs w:val="18"/>
              </w:rPr>
              <w:t>Jours de Services de Planification</w:t>
            </w:r>
          </w:p>
        </w:tc>
      </w:tr>
      <w:tr w:rsidR="006E2458" w:rsidRPr="005B13F2" w:rsidTr="0019337E">
        <w:trPr>
          <w:trHeight w:val="127"/>
        </w:trPr>
        <w:tc>
          <w:tcPr>
            <w:tcW w:w="5265" w:type="dxa"/>
            <w:shd w:val="clear" w:color="auto" w:fill="FFFFFF"/>
            <w:tcMar>
              <w:top w:w="15" w:type="dxa"/>
              <w:left w:w="108" w:type="dxa"/>
              <w:bottom w:w="0" w:type="dxa"/>
              <w:right w:w="108" w:type="dxa"/>
            </w:tcMar>
          </w:tcPr>
          <w:p w:rsidR="006E2458" w:rsidRPr="00D814DA" w:rsidRDefault="006E2458" w:rsidP="0019337E">
            <w:pPr>
              <w:pStyle w:val="ProductList-Body"/>
              <w:rPr>
                <w:color w:val="000000" w:themeColor="text1"/>
                <w:szCs w:val="18"/>
              </w:rPr>
            </w:pPr>
            <w:r>
              <w:rPr>
                <w:color w:val="000000" w:themeColor="text1"/>
                <w:szCs w:val="18"/>
              </w:rPr>
              <w:t>200 – 499</w:t>
            </w:r>
          </w:p>
        </w:tc>
        <w:tc>
          <w:tcPr>
            <w:tcW w:w="2210" w:type="dxa"/>
            <w:shd w:val="clear" w:color="auto" w:fill="FFFFFF"/>
            <w:tcMar>
              <w:top w:w="15" w:type="dxa"/>
              <w:left w:w="108" w:type="dxa"/>
              <w:bottom w:w="0" w:type="dxa"/>
              <w:right w:w="108" w:type="dxa"/>
            </w:tcMar>
          </w:tcPr>
          <w:p w:rsidR="006E2458" w:rsidRPr="00D814DA" w:rsidRDefault="006E2458" w:rsidP="0019337E">
            <w:pPr>
              <w:pStyle w:val="ProductList-Body"/>
              <w:jc w:val="center"/>
              <w:rPr>
                <w:color w:val="000000" w:themeColor="text1"/>
                <w:szCs w:val="18"/>
              </w:rPr>
            </w:pPr>
            <w:r>
              <w:rPr>
                <w:color w:val="000000" w:themeColor="text1"/>
                <w:szCs w:val="18"/>
              </w:rPr>
              <w:t>1</w:t>
            </w:r>
          </w:p>
        </w:tc>
      </w:tr>
      <w:tr w:rsidR="006E2458" w:rsidRPr="005B13F2" w:rsidTr="0019337E">
        <w:trPr>
          <w:trHeight w:val="45"/>
        </w:trPr>
        <w:tc>
          <w:tcPr>
            <w:tcW w:w="5265" w:type="dxa"/>
            <w:shd w:val="clear" w:color="auto" w:fill="FFFFFF"/>
            <w:tcMar>
              <w:top w:w="15" w:type="dxa"/>
              <w:left w:w="108" w:type="dxa"/>
              <w:bottom w:w="0" w:type="dxa"/>
              <w:right w:w="108" w:type="dxa"/>
            </w:tcMar>
          </w:tcPr>
          <w:p w:rsidR="006E2458" w:rsidRPr="00D814DA" w:rsidRDefault="006E2458" w:rsidP="0019337E">
            <w:pPr>
              <w:pStyle w:val="ProductList-Body"/>
              <w:rPr>
                <w:color w:val="000000" w:themeColor="text1"/>
                <w:szCs w:val="18"/>
              </w:rPr>
            </w:pPr>
            <w:r>
              <w:rPr>
                <w:color w:val="000000" w:themeColor="text1"/>
                <w:szCs w:val="18"/>
              </w:rPr>
              <w:t>500 – 1 999</w:t>
            </w:r>
          </w:p>
        </w:tc>
        <w:tc>
          <w:tcPr>
            <w:tcW w:w="2210" w:type="dxa"/>
            <w:shd w:val="clear" w:color="auto" w:fill="FFFFFF"/>
            <w:tcMar>
              <w:top w:w="15" w:type="dxa"/>
              <w:left w:w="108" w:type="dxa"/>
              <w:bottom w:w="0" w:type="dxa"/>
              <w:right w:w="108" w:type="dxa"/>
            </w:tcMar>
          </w:tcPr>
          <w:p w:rsidR="006E2458" w:rsidRPr="00D814DA" w:rsidRDefault="006E2458" w:rsidP="0019337E">
            <w:pPr>
              <w:pStyle w:val="ProductList-Body"/>
              <w:jc w:val="center"/>
              <w:rPr>
                <w:color w:val="000000" w:themeColor="text1"/>
                <w:szCs w:val="18"/>
              </w:rPr>
            </w:pPr>
            <w:r>
              <w:rPr>
                <w:color w:val="000000" w:themeColor="text1"/>
                <w:szCs w:val="18"/>
              </w:rPr>
              <w:t>3</w:t>
            </w:r>
          </w:p>
        </w:tc>
      </w:tr>
      <w:tr w:rsidR="006E2458" w:rsidRPr="005B13F2" w:rsidTr="0019337E">
        <w:trPr>
          <w:trHeight w:val="45"/>
        </w:trPr>
        <w:tc>
          <w:tcPr>
            <w:tcW w:w="5265" w:type="dxa"/>
            <w:shd w:val="clear" w:color="auto" w:fill="FFFFFF"/>
            <w:tcMar>
              <w:top w:w="15" w:type="dxa"/>
              <w:left w:w="108" w:type="dxa"/>
              <w:bottom w:w="0" w:type="dxa"/>
              <w:right w:w="108" w:type="dxa"/>
            </w:tcMar>
          </w:tcPr>
          <w:p w:rsidR="006E2458" w:rsidRPr="00D814DA" w:rsidRDefault="006E2458" w:rsidP="0019337E">
            <w:pPr>
              <w:pStyle w:val="ProductList-Body"/>
              <w:rPr>
                <w:color w:val="000000" w:themeColor="text1"/>
                <w:szCs w:val="18"/>
              </w:rPr>
            </w:pPr>
            <w:r>
              <w:rPr>
                <w:color w:val="000000" w:themeColor="text1"/>
                <w:szCs w:val="18"/>
              </w:rPr>
              <w:t>2 000 – 3 999</w:t>
            </w:r>
          </w:p>
        </w:tc>
        <w:tc>
          <w:tcPr>
            <w:tcW w:w="2210" w:type="dxa"/>
            <w:shd w:val="clear" w:color="auto" w:fill="FFFFFF"/>
            <w:tcMar>
              <w:top w:w="15" w:type="dxa"/>
              <w:left w:w="108" w:type="dxa"/>
              <w:bottom w:w="0" w:type="dxa"/>
              <w:right w:w="108" w:type="dxa"/>
            </w:tcMar>
          </w:tcPr>
          <w:p w:rsidR="006E2458" w:rsidRPr="00D814DA" w:rsidRDefault="006E2458" w:rsidP="0019337E">
            <w:pPr>
              <w:pStyle w:val="ProductList-Body"/>
              <w:jc w:val="center"/>
              <w:rPr>
                <w:color w:val="000000" w:themeColor="text1"/>
                <w:szCs w:val="18"/>
              </w:rPr>
            </w:pPr>
            <w:r>
              <w:rPr>
                <w:color w:val="000000" w:themeColor="text1"/>
                <w:szCs w:val="18"/>
              </w:rPr>
              <w:t>5</w:t>
            </w:r>
          </w:p>
        </w:tc>
      </w:tr>
      <w:tr w:rsidR="006E2458" w:rsidRPr="005B13F2" w:rsidTr="0019337E">
        <w:trPr>
          <w:trHeight w:val="45"/>
        </w:trPr>
        <w:tc>
          <w:tcPr>
            <w:tcW w:w="5265" w:type="dxa"/>
            <w:shd w:val="clear" w:color="auto" w:fill="FFFFFF"/>
            <w:tcMar>
              <w:top w:w="15" w:type="dxa"/>
              <w:left w:w="108" w:type="dxa"/>
              <w:bottom w:w="0" w:type="dxa"/>
              <w:right w:w="108" w:type="dxa"/>
            </w:tcMar>
          </w:tcPr>
          <w:p w:rsidR="006E2458" w:rsidRPr="00D814DA" w:rsidRDefault="006E2458" w:rsidP="0019337E">
            <w:pPr>
              <w:pStyle w:val="ProductList-Body"/>
              <w:rPr>
                <w:color w:val="000000" w:themeColor="text1"/>
                <w:szCs w:val="18"/>
              </w:rPr>
            </w:pPr>
            <w:r>
              <w:rPr>
                <w:color w:val="000000" w:themeColor="text1"/>
                <w:szCs w:val="18"/>
              </w:rPr>
              <w:t>4 000 – 29 999</w:t>
            </w:r>
          </w:p>
        </w:tc>
        <w:tc>
          <w:tcPr>
            <w:tcW w:w="2210" w:type="dxa"/>
            <w:shd w:val="clear" w:color="auto" w:fill="FFFFFF"/>
            <w:tcMar>
              <w:top w:w="15" w:type="dxa"/>
              <w:left w:w="108" w:type="dxa"/>
              <w:bottom w:w="0" w:type="dxa"/>
              <w:right w:w="108" w:type="dxa"/>
            </w:tcMar>
          </w:tcPr>
          <w:p w:rsidR="006E2458" w:rsidRPr="00D814DA" w:rsidRDefault="006E2458" w:rsidP="0019337E">
            <w:pPr>
              <w:pStyle w:val="ProductList-Body"/>
              <w:jc w:val="center"/>
              <w:rPr>
                <w:color w:val="000000" w:themeColor="text1"/>
                <w:szCs w:val="18"/>
              </w:rPr>
            </w:pPr>
            <w:r>
              <w:rPr>
                <w:color w:val="000000" w:themeColor="text1"/>
                <w:szCs w:val="18"/>
              </w:rPr>
              <w:t>10</w:t>
            </w:r>
          </w:p>
        </w:tc>
      </w:tr>
      <w:tr w:rsidR="006E2458" w:rsidRPr="005B13F2" w:rsidTr="0019337E">
        <w:trPr>
          <w:trHeight w:val="45"/>
        </w:trPr>
        <w:tc>
          <w:tcPr>
            <w:tcW w:w="5265" w:type="dxa"/>
            <w:shd w:val="clear" w:color="auto" w:fill="FFFFFF"/>
            <w:tcMar>
              <w:top w:w="15" w:type="dxa"/>
              <w:left w:w="108" w:type="dxa"/>
              <w:bottom w:w="0" w:type="dxa"/>
              <w:right w:w="108" w:type="dxa"/>
            </w:tcMar>
          </w:tcPr>
          <w:p w:rsidR="006E2458" w:rsidRPr="00D814DA" w:rsidRDefault="006E2458" w:rsidP="0019337E">
            <w:pPr>
              <w:pStyle w:val="ProductList-Body"/>
              <w:rPr>
                <w:color w:val="000000" w:themeColor="text1"/>
                <w:szCs w:val="18"/>
              </w:rPr>
            </w:pPr>
            <w:r>
              <w:rPr>
                <w:color w:val="000000" w:themeColor="text1"/>
                <w:szCs w:val="18"/>
              </w:rPr>
              <w:t>30 000 – 49 999</w:t>
            </w:r>
          </w:p>
        </w:tc>
        <w:tc>
          <w:tcPr>
            <w:tcW w:w="2210" w:type="dxa"/>
            <w:shd w:val="clear" w:color="auto" w:fill="FFFFFF"/>
            <w:tcMar>
              <w:top w:w="15" w:type="dxa"/>
              <w:left w:w="108" w:type="dxa"/>
              <w:bottom w:w="0" w:type="dxa"/>
              <w:right w:w="108" w:type="dxa"/>
            </w:tcMar>
          </w:tcPr>
          <w:p w:rsidR="006E2458" w:rsidRPr="00D814DA" w:rsidRDefault="006E2458" w:rsidP="0019337E">
            <w:pPr>
              <w:pStyle w:val="ProductList-Body"/>
              <w:jc w:val="center"/>
              <w:rPr>
                <w:color w:val="000000" w:themeColor="text1"/>
                <w:szCs w:val="18"/>
              </w:rPr>
            </w:pPr>
            <w:r>
              <w:rPr>
                <w:color w:val="000000" w:themeColor="text1"/>
                <w:szCs w:val="18"/>
              </w:rPr>
              <w:t>15</w:t>
            </w:r>
          </w:p>
        </w:tc>
      </w:tr>
      <w:tr w:rsidR="006E2458" w:rsidRPr="005B13F2" w:rsidTr="0019337E">
        <w:trPr>
          <w:trHeight w:val="45"/>
        </w:trPr>
        <w:tc>
          <w:tcPr>
            <w:tcW w:w="5265" w:type="dxa"/>
            <w:shd w:val="clear" w:color="auto" w:fill="FFFFFF"/>
            <w:tcMar>
              <w:top w:w="15" w:type="dxa"/>
              <w:left w:w="108" w:type="dxa"/>
              <w:bottom w:w="0" w:type="dxa"/>
              <w:right w:w="108" w:type="dxa"/>
            </w:tcMar>
          </w:tcPr>
          <w:p w:rsidR="006E2458" w:rsidRPr="00D814DA" w:rsidRDefault="006E2458" w:rsidP="0019337E">
            <w:pPr>
              <w:pStyle w:val="ProductList-Body"/>
              <w:rPr>
                <w:color w:val="000000" w:themeColor="text1"/>
                <w:szCs w:val="18"/>
              </w:rPr>
            </w:pPr>
            <w:r>
              <w:rPr>
                <w:color w:val="000000" w:themeColor="text1"/>
                <w:szCs w:val="18"/>
              </w:rPr>
              <w:t>50 000 – 99 999</w:t>
            </w:r>
          </w:p>
        </w:tc>
        <w:tc>
          <w:tcPr>
            <w:tcW w:w="2210" w:type="dxa"/>
            <w:shd w:val="clear" w:color="auto" w:fill="FFFFFF"/>
            <w:tcMar>
              <w:top w:w="15" w:type="dxa"/>
              <w:left w:w="108" w:type="dxa"/>
              <w:bottom w:w="0" w:type="dxa"/>
              <w:right w:w="108" w:type="dxa"/>
            </w:tcMar>
          </w:tcPr>
          <w:p w:rsidR="006E2458" w:rsidRPr="00D814DA" w:rsidRDefault="006E2458" w:rsidP="0019337E">
            <w:pPr>
              <w:pStyle w:val="ProductList-Body"/>
              <w:jc w:val="center"/>
              <w:rPr>
                <w:color w:val="000000" w:themeColor="text1"/>
                <w:szCs w:val="18"/>
              </w:rPr>
            </w:pPr>
            <w:r>
              <w:rPr>
                <w:color w:val="000000" w:themeColor="text1"/>
                <w:szCs w:val="18"/>
              </w:rPr>
              <w:t>20</w:t>
            </w:r>
          </w:p>
        </w:tc>
      </w:tr>
      <w:tr w:rsidR="006E2458" w:rsidRPr="005B13F2" w:rsidTr="0019337E">
        <w:trPr>
          <w:trHeight w:val="45"/>
        </w:trPr>
        <w:tc>
          <w:tcPr>
            <w:tcW w:w="5265" w:type="dxa"/>
            <w:shd w:val="clear" w:color="auto" w:fill="FFFFFF"/>
            <w:tcMar>
              <w:top w:w="15" w:type="dxa"/>
              <w:left w:w="108" w:type="dxa"/>
              <w:bottom w:w="0" w:type="dxa"/>
              <w:right w:w="108" w:type="dxa"/>
            </w:tcMar>
          </w:tcPr>
          <w:p w:rsidR="006E2458" w:rsidRPr="00D814DA" w:rsidRDefault="006E2458" w:rsidP="0019337E">
            <w:pPr>
              <w:pStyle w:val="ProductList-Body"/>
              <w:rPr>
                <w:color w:val="000000" w:themeColor="text1"/>
                <w:szCs w:val="18"/>
              </w:rPr>
            </w:pPr>
            <w:r>
              <w:rPr>
                <w:color w:val="000000" w:themeColor="text1"/>
                <w:szCs w:val="18"/>
              </w:rPr>
              <w:t>100 000 – 199 999</w:t>
            </w:r>
          </w:p>
        </w:tc>
        <w:tc>
          <w:tcPr>
            <w:tcW w:w="2210" w:type="dxa"/>
            <w:shd w:val="clear" w:color="auto" w:fill="FFFFFF"/>
            <w:tcMar>
              <w:top w:w="15" w:type="dxa"/>
              <w:left w:w="108" w:type="dxa"/>
              <w:bottom w:w="0" w:type="dxa"/>
              <w:right w:w="108" w:type="dxa"/>
            </w:tcMar>
          </w:tcPr>
          <w:p w:rsidR="006E2458" w:rsidRPr="00D814DA" w:rsidRDefault="006E2458" w:rsidP="0019337E">
            <w:pPr>
              <w:pStyle w:val="ProductList-Body"/>
              <w:jc w:val="center"/>
              <w:rPr>
                <w:color w:val="000000" w:themeColor="text1"/>
                <w:szCs w:val="18"/>
              </w:rPr>
            </w:pPr>
            <w:r>
              <w:rPr>
                <w:color w:val="000000" w:themeColor="text1"/>
                <w:szCs w:val="18"/>
              </w:rPr>
              <w:t>30</w:t>
            </w:r>
          </w:p>
        </w:tc>
      </w:tr>
      <w:tr w:rsidR="006E2458" w:rsidRPr="005B13F2" w:rsidTr="0019337E">
        <w:trPr>
          <w:trHeight w:val="45"/>
        </w:trPr>
        <w:tc>
          <w:tcPr>
            <w:tcW w:w="5265" w:type="dxa"/>
            <w:shd w:val="clear" w:color="auto" w:fill="FFFFFF"/>
            <w:tcMar>
              <w:top w:w="15" w:type="dxa"/>
              <w:left w:w="108" w:type="dxa"/>
              <w:bottom w:w="0" w:type="dxa"/>
              <w:right w:w="108" w:type="dxa"/>
            </w:tcMar>
          </w:tcPr>
          <w:p w:rsidR="006E2458" w:rsidRPr="00D814DA" w:rsidRDefault="006E2458" w:rsidP="0019337E">
            <w:pPr>
              <w:pStyle w:val="ProductList-Body"/>
              <w:rPr>
                <w:color w:val="000000" w:themeColor="text1"/>
                <w:szCs w:val="18"/>
              </w:rPr>
            </w:pPr>
            <w:r>
              <w:rPr>
                <w:color w:val="000000" w:themeColor="text1"/>
                <w:szCs w:val="18"/>
              </w:rPr>
              <w:t>200 000 – 399 999</w:t>
            </w:r>
          </w:p>
        </w:tc>
        <w:tc>
          <w:tcPr>
            <w:tcW w:w="2210" w:type="dxa"/>
            <w:shd w:val="clear" w:color="auto" w:fill="FFFFFF"/>
            <w:tcMar>
              <w:top w:w="15" w:type="dxa"/>
              <w:left w:w="108" w:type="dxa"/>
              <w:bottom w:w="0" w:type="dxa"/>
              <w:right w:w="108" w:type="dxa"/>
            </w:tcMar>
          </w:tcPr>
          <w:p w:rsidR="006E2458" w:rsidRPr="00D814DA" w:rsidRDefault="006E2458" w:rsidP="0019337E">
            <w:pPr>
              <w:pStyle w:val="ProductList-Body"/>
              <w:jc w:val="center"/>
              <w:rPr>
                <w:color w:val="000000" w:themeColor="text1"/>
                <w:szCs w:val="18"/>
              </w:rPr>
            </w:pPr>
            <w:r>
              <w:rPr>
                <w:color w:val="000000" w:themeColor="text1"/>
                <w:szCs w:val="18"/>
              </w:rPr>
              <w:t>40</w:t>
            </w:r>
          </w:p>
        </w:tc>
      </w:tr>
      <w:tr w:rsidR="006E2458" w:rsidRPr="005B13F2" w:rsidTr="0019337E">
        <w:trPr>
          <w:trHeight w:val="45"/>
        </w:trPr>
        <w:tc>
          <w:tcPr>
            <w:tcW w:w="5265" w:type="dxa"/>
            <w:shd w:val="clear" w:color="auto" w:fill="FFFFFF"/>
            <w:tcMar>
              <w:top w:w="15" w:type="dxa"/>
              <w:left w:w="108" w:type="dxa"/>
              <w:bottom w:w="0" w:type="dxa"/>
              <w:right w:w="108" w:type="dxa"/>
            </w:tcMar>
          </w:tcPr>
          <w:p w:rsidR="006E2458" w:rsidRPr="00D814DA" w:rsidRDefault="006E2458" w:rsidP="0019337E">
            <w:pPr>
              <w:pStyle w:val="ProductList-Body"/>
              <w:rPr>
                <w:color w:val="000000" w:themeColor="text1"/>
                <w:szCs w:val="18"/>
              </w:rPr>
            </w:pPr>
            <w:r>
              <w:rPr>
                <w:color w:val="000000" w:themeColor="text1"/>
                <w:szCs w:val="18"/>
              </w:rPr>
              <w:lastRenderedPageBreak/>
              <w:t>400 000 – 599 999</w:t>
            </w:r>
          </w:p>
        </w:tc>
        <w:tc>
          <w:tcPr>
            <w:tcW w:w="2210" w:type="dxa"/>
            <w:shd w:val="clear" w:color="auto" w:fill="FFFFFF"/>
            <w:tcMar>
              <w:top w:w="15" w:type="dxa"/>
              <w:left w:w="108" w:type="dxa"/>
              <w:bottom w:w="0" w:type="dxa"/>
              <w:right w:w="108" w:type="dxa"/>
            </w:tcMar>
          </w:tcPr>
          <w:p w:rsidR="006E2458" w:rsidRPr="00D814DA" w:rsidRDefault="006E2458" w:rsidP="0019337E">
            <w:pPr>
              <w:pStyle w:val="ProductList-Body"/>
              <w:jc w:val="center"/>
              <w:rPr>
                <w:color w:val="000000" w:themeColor="text1"/>
                <w:szCs w:val="18"/>
              </w:rPr>
            </w:pPr>
            <w:r>
              <w:rPr>
                <w:color w:val="000000" w:themeColor="text1"/>
                <w:szCs w:val="18"/>
              </w:rPr>
              <w:t>50</w:t>
            </w:r>
          </w:p>
        </w:tc>
      </w:tr>
      <w:tr w:rsidR="006E2458" w:rsidRPr="005B13F2" w:rsidTr="0019337E">
        <w:trPr>
          <w:trHeight w:val="45"/>
        </w:trPr>
        <w:tc>
          <w:tcPr>
            <w:tcW w:w="5265" w:type="dxa"/>
            <w:shd w:val="clear" w:color="auto" w:fill="FFFFFF"/>
            <w:tcMar>
              <w:top w:w="15" w:type="dxa"/>
              <w:left w:w="108" w:type="dxa"/>
              <w:bottom w:w="0" w:type="dxa"/>
              <w:right w:w="108" w:type="dxa"/>
            </w:tcMar>
          </w:tcPr>
          <w:p w:rsidR="006E2458" w:rsidRPr="00D814DA" w:rsidRDefault="006E2458" w:rsidP="0019337E">
            <w:pPr>
              <w:pStyle w:val="ProductList-Body"/>
              <w:rPr>
                <w:color w:val="000000" w:themeColor="text1"/>
                <w:szCs w:val="18"/>
              </w:rPr>
            </w:pPr>
            <w:r>
              <w:rPr>
                <w:color w:val="000000" w:themeColor="text1"/>
                <w:szCs w:val="18"/>
              </w:rPr>
              <w:t>600 000 +</w:t>
            </w:r>
          </w:p>
        </w:tc>
        <w:tc>
          <w:tcPr>
            <w:tcW w:w="2210" w:type="dxa"/>
            <w:shd w:val="clear" w:color="auto" w:fill="FFFFFF"/>
            <w:tcMar>
              <w:top w:w="15" w:type="dxa"/>
              <w:left w:w="108" w:type="dxa"/>
              <w:bottom w:w="0" w:type="dxa"/>
              <w:right w:w="108" w:type="dxa"/>
            </w:tcMar>
          </w:tcPr>
          <w:p w:rsidR="006E2458" w:rsidRPr="00D814DA" w:rsidRDefault="006E2458" w:rsidP="0019337E">
            <w:pPr>
              <w:pStyle w:val="ProductList-Body"/>
              <w:jc w:val="center"/>
              <w:rPr>
                <w:color w:val="000000" w:themeColor="text1"/>
                <w:szCs w:val="18"/>
              </w:rPr>
            </w:pPr>
            <w:r>
              <w:rPr>
                <w:color w:val="000000" w:themeColor="text1"/>
                <w:szCs w:val="18"/>
              </w:rPr>
              <w:t>75</w:t>
            </w:r>
          </w:p>
        </w:tc>
      </w:tr>
    </w:tbl>
    <w:p w:rsidR="006E2458" w:rsidRPr="00483B32" w:rsidRDefault="006E2458" w:rsidP="006E2458">
      <w:pPr>
        <w:pStyle w:val="ProductList-Body"/>
      </w:pPr>
    </w:p>
    <w:tbl>
      <w:tblPr>
        <w:tblW w:w="747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2210"/>
      </w:tblGrid>
      <w:tr w:rsidR="006E2458" w:rsidRPr="005B13F2" w:rsidTr="0019337E">
        <w:trPr>
          <w:trHeight w:val="172"/>
          <w:tblHeader/>
        </w:trPr>
        <w:tc>
          <w:tcPr>
            <w:tcW w:w="5265" w:type="dxa"/>
            <w:shd w:val="clear" w:color="auto" w:fill="BF8F00" w:themeFill="accent4" w:themeFillShade="BF"/>
            <w:tcMar>
              <w:top w:w="15" w:type="dxa"/>
              <w:left w:w="108" w:type="dxa"/>
              <w:bottom w:w="0" w:type="dxa"/>
              <w:right w:w="108" w:type="dxa"/>
            </w:tcMar>
          </w:tcPr>
          <w:p w:rsidR="006E2458" w:rsidRPr="005B13F2" w:rsidRDefault="006E2458" w:rsidP="0019337E">
            <w:pPr>
              <w:pStyle w:val="ProductList-Body"/>
              <w:spacing w:before="20" w:after="20"/>
              <w:rPr>
                <w:color w:val="FFFFFF" w:themeColor="background1"/>
                <w:szCs w:val="18"/>
              </w:rPr>
            </w:pPr>
            <w:r>
              <w:rPr>
                <w:color w:val="FFFFFF" w:themeColor="background1"/>
                <w:szCs w:val="18"/>
              </w:rPr>
              <w:t>Points CAL Suite avec la participation au programme Software Assurance Membership</w:t>
            </w:r>
          </w:p>
        </w:tc>
        <w:tc>
          <w:tcPr>
            <w:tcW w:w="2210" w:type="dxa"/>
            <w:shd w:val="clear" w:color="auto" w:fill="BF8F00" w:themeFill="accent4" w:themeFillShade="BF"/>
            <w:tcMar>
              <w:top w:w="15" w:type="dxa"/>
              <w:left w:w="108" w:type="dxa"/>
              <w:bottom w:w="0" w:type="dxa"/>
              <w:right w:w="108" w:type="dxa"/>
            </w:tcMar>
          </w:tcPr>
          <w:p w:rsidR="006E2458" w:rsidRPr="005B13F2" w:rsidRDefault="006E2458" w:rsidP="0019337E">
            <w:pPr>
              <w:pStyle w:val="ProductList-Body"/>
              <w:spacing w:before="20" w:after="20"/>
              <w:rPr>
                <w:color w:val="FFFFFF" w:themeColor="background1"/>
                <w:szCs w:val="18"/>
              </w:rPr>
            </w:pPr>
            <w:r>
              <w:rPr>
                <w:color w:val="FFFFFF" w:themeColor="background1"/>
                <w:szCs w:val="18"/>
              </w:rPr>
              <w:t xml:space="preserve">Jours de Services de Planification </w:t>
            </w:r>
          </w:p>
        </w:tc>
      </w:tr>
      <w:tr w:rsidR="006E2458" w:rsidRPr="005B13F2" w:rsidTr="0019337E">
        <w:trPr>
          <w:trHeight w:val="235"/>
        </w:trPr>
        <w:tc>
          <w:tcPr>
            <w:tcW w:w="5265" w:type="dxa"/>
            <w:shd w:val="clear" w:color="auto" w:fill="FFFFFF"/>
            <w:tcMar>
              <w:top w:w="15" w:type="dxa"/>
              <w:left w:w="108" w:type="dxa"/>
              <w:bottom w:w="0" w:type="dxa"/>
              <w:right w:w="108" w:type="dxa"/>
            </w:tcMar>
          </w:tcPr>
          <w:p w:rsidR="006E2458" w:rsidRPr="00C144DF" w:rsidRDefault="006E2458" w:rsidP="0019337E">
            <w:pPr>
              <w:pStyle w:val="ProductList-Body"/>
              <w:rPr>
                <w:rFonts w:cstheme="minorHAnsi"/>
                <w:color w:val="000000" w:themeColor="text1"/>
                <w:szCs w:val="18"/>
              </w:rPr>
            </w:pPr>
            <w:r>
              <w:rPr>
                <w:rFonts w:cstheme="minorHAnsi"/>
                <w:color w:val="000000" w:themeColor="text1"/>
                <w:szCs w:val="18"/>
              </w:rPr>
              <w:t>200</w:t>
            </w:r>
            <w:r>
              <w:rPr>
                <w:color w:val="000000" w:themeColor="text1"/>
                <w:szCs w:val="18"/>
              </w:rPr>
              <w:t xml:space="preserve"> – </w:t>
            </w:r>
            <w:r>
              <w:rPr>
                <w:rFonts w:cstheme="minorHAnsi"/>
                <w:color w:val="000000" w:themeColor="text1"/>
                <w:szCs w:val="18"/>
              </w:rPr>
              <w:t>3 999</w:t>
            </w:r>
          </w:p>
        </w:tc>
        <w:tc>
          <w:tcPr>
            <w:tcW w:w="2210" w:type="dxa"/>
            <w:shd w:val="clear" w:color="auto" w:fill="FFFFFF"/>
            <w:tcMar>
              <w:top w:w="15" w:type="dxa"/>
              <w:left w:w="108" w:type="dxa"/>
              <w:bottom w:w="0" w:type="dxa"/>
              <w:right w:w="108" w:type="dxa"/>
            </w:tcMar>
          </w:tcPr>
          <w:p w:rsidR="006E2458" w:rsidRPr="00C144DF" w:rsidRDefault="006E2458" w:rsidP="0019337E">
            <w:pPr>
              <w:pStyle w:val="ProductList-Body"/>
              <w:jc w:val="center"/>
              <w:rPr>
                <w:rFonts w:cstheme="minorHAnsi"/>
                <w:color w:val="000000" w:themeColor="text1"/>
                <w:szCs w:val="18"/>
              </w:rPr>
            </w:pPr>
            <w:r>
              <w:rPr>
                <w:rFonts w:cstheme="minorHAnsi"/>
                <w:color w:val="000000" w:themeColor="text1"/>
                <w:szCs w:val="18"/>
              </w:rPr>
              <w:t>1</w:t>
            </w:r>
          </w:p>
        </w:tc>
      </w:tr>
      <w:tr w:rsidR="006E2458" w:rsidRPr="005B13F2" w:rsidTr="0019337E">
        <w:trPr>
          <w:trHeight w:val="55"/>
        </w:trPr>
        <w:tc>
          <w:tcPr>
            <w:tcW w:w="5265" w:type="dxa"/>
            <w:shd w:val="clear" w:color="auto" w:fill="FFFFFF"/>
            <w:tcMar>
              <w:top w:w="15" w:type="dxa"/>
              <w:left w:w="108" w:type="dxa"/>
              <w:bottom w:w="0" w:type="dxa"/>
              <w:right w:w="108" w:type="dxa"/>
            </w:tcMar>
          </w:tcPr>
          <w:p w:rsidR="006E2458" w:rsidRPr="00C144DF" w:rsidRDefault="006E2458" w:rsidP="0019337E">
            <w:pPr>
              <w:pStyle w:val="ProductList-Body"/>
              <w:rPr>
                <w:rFonts w:cstheme="minorHAnsi"/>
                <w:color w:val="000000" w:themeColor="text1"/>
                <w:szCs w:val="18"/>
              </w:rPr>
            </w:pPr>
            <w:r>
              <w:rPr>
                <w:rFonts w:cstheme="minorHAnsi"/>
                <w:color w:val="000000" w:themeColor="text1"/>
                <w:szCs w:val="18"/>
              </w:rPr>
              <w:t>4 000 – 9 999</w:t>
            </w:r>
          </w:p>
        </w:tc>
        <w:tc>
          <w:tcPr>
            <w:tcW w:w="2210" w:type="dxa"/>
            <w:shd w:val="clear" w:color="auto" w:fill="FFFFFF"/>
            <w:tcMar>
              <w:top w:w="15" w:type="dxa"/>
              <w:left w:w="108" w:type="dxa"/>
              <w:bottom w:w="0" w:type="dxa"/>
              <w:right w:w="108" w:type="dxa"/>
            </w:tcMar>
          </w:tcPr>
          <w:p w:rsidR="006E2458" w:rsidRPr="00C144DF" w:rsidRDefault="006E2458" w:rsidP="0019337E">
            <w:pPr>
              <w:pStyle w:val="ProductList-Body"/>
              <w:jc w:val="center"/>
              <w:rPr>
                <w:rFonts w:cstheme="minorHAnsi"/>
                <w:color w:val="000000" w:themeColor="text1"/>
                <w:szCs w:val="18"/>
              </w:rPr>
            </w:pPr>
            <w:r>
              <w:rPr>
                <w:rFonts w:cstheme="minorHAnsi"/>
                <w:color w:val="000000" w:themeColor="text1"/>
                <w:szCs w:val="18"/>
              </w:rPr>
              <w:t>3</w:t>
            </w:r>
          </w:p>
        </w:tc>
      </w:tr>
      <w:tr w:rsidR="006E2458" w:rsidRPr="005B13F2" w:rsidTr="0019337E">
        <w:trPr>
          <w:trHeight w:val="45"/>
        </w:trPr>
        <w:tc>
          <w:tcPr>
            <w:tcW w:w="5265" w:type="dxa"/>
            <w:shd w:val="clear" w:color="auto" w:fill="FFFFFF"/>
            <w:tcMar>
              <w:top w:w="15" w:type="dxa"/>
              <w:left w:w="108" w:type="dxa"/>
              <w:bottom w:w="0" w:type="dxa"/>
              <w:right w:w="108" w:type="dxa"/>
            </w:tcMar>
          </w:tcPr>
          <w:p w:rsidR="006E2458" w:rsidRPr="00C144DF" w:rsidRDefault="006E2458" w:rsidP="0019337E">
            <w:pPr>
              <w:pStyle w:val="ProductList-Body"/>
              <w:rPr>
                <w:rFonts w:cstheme="minorHAnsi"/>
                <w:color w:val="000000" w:themeColor="text1"/>
                <w:szCs w:val="18"/>
              </w:rPr>
            </w:pPr>
            <w:r>
              <w:rPr>
                <w:rFonts w:cstheme="minorHAnsi"/>
                <w:color w:val="000000" w:themeColor="text1"/>
                <w:szCs w:val="18"/>
              </w:rPr>
              <w:t>10 000 – 99 999</w:t>
            </w:r>
          </w:p>
        </w:tc>
        <w:tc>
          <w:tcPr>
            <w:tcW w:w="2210" w:type="dxa"/>
            <w:shd w:val="clear" w:color="auto" w:fill="FFFFFF"/>
            <w:tcMar>
              <w:top w:w="15" w:type="dxa"/>
              <w:left w:w="108" w:type="dxa"/>
              <w:bottom w:w="0" w:type="dxa"/>
              <w:right w:w="108" w:type="dxa"/>
            </w:tcMar>
          </w:tcPr>
          <w:p w:rsidR="006E2458" w:rsidRPr="00C144DF" w:rsidRDefault="006E2458" w:rsidP="0019337E">
            <w:pPr>
              <w:pStyle w:val="ProductList-Body"/>
              <w:jc w:val="center"/>
              <w:rPr>
                <w:rFonts w:cstheme="minorHAnsi"/>
                <w:color w:val="000000" w:themeColor="text1"/>
                <w:szCs w:val="18"/>
              </w:rPr>
            </w:pPr>
            <w:r>
              <w:rPr>
                <w:rFonts w:cstheme="minorHAnsi"/>
                <w:color w:val="000000" w:themeColor="text1"/>
                <w:szCs w:val="18"/>
              </w:rPr>
              <w:t>5</w:t>
            </w:r>
          </w:p>
        </w:tc>
      </w:tr>
      <w:tr w:rsidR="006E2458" w:rsidRPr="005B13F2" w:rsidTr="0019337E">
        <w:trPr>
          <w:trHeight w:val="45"/>
        </w:trPr>
        <w:tc>
          <w:tcPr>
            <w:tcW w:w="5265" w:type="dxa"/>
            <w:shd w:val="clear" w:color="auto" w:fill="FFFFFF"/>
            <w:tcMar>
              <w:top w:w="15" w:type="dxa"/>
              <w:left w:w="108" w:type="dxa"/>
              <w:bottom w:w="0" w:type="dxa"/>
              <w:right w:w="108" w:type="dxa"/>
            </w:tcMar>
          </w:tcPr>
          <w:p w:rsidR="006E2458" w:rsidRPr="00C144DF" w:rsidRDefault="006E2458" w:rsidP="0019337E">
            <w:pPr>
              <w:pStyle w:val="ProductList-Body"/>
              <w:rPr>
                <w:rFonts w:cstheme="minorHAnsi"/>
                <w:color w:val="000000" w:themeColor="text1"/>
                <w:szCs w:val="18"/>
              </w:rPr>
            </w:pPr>
            <w:r>
              <w:rPr>
                <w:rFonts w:cstheme="minorHAnsi"/>
                <w:color w:val="000000" w:themeColor="text1"/>
                <w:szCs w:val="18"/>
              </w:rPr>
              <w:t>100 000 – 299 999</w:t>
            </w:r>
          </w:p>
        </w:tc>
        <w:tc>
          <w:tcPr>
            <w:tcW w:w="2210" w:type="dxa"/>
            <w:shd w:val="clear" w:color="auto" w:fill="FFFFFF"/>
            <w:tcMar>
              <w:top w:w="15" w:type="dxa"/>
              <w:left w:w="108" w:type="dxa"/>
              <w:bottom w:w="0" w:type="dxa"/>
              <w:right w:w="108" w:type="dxa"/>
            </w:tcMar>
          </w:tcPr>
          <w:p w:rsidR="006E2458" w:rsidRPr="00C144DF" w:rsidRDefault="006E2458" w:rsidP="0019337E">
            <w:pPr>
              <w:pStyle w:val="ProductList-Body"/>
              <w:jc w:val="center"/>
              <w:rPr>
                <w:rFonts w:cstheme="minorHAnsi"/>
                <w:color w:val="000000" w:themeColor="text1"/>
                <w:szCs w:val="18"/>
              </w:rPr>
            </w:pPr>
            <w:r>
              <w:rPr>
                <w:rFonts w:cstheme="minorHAnsi"/>
                <w:color w:val="000000" w:themeColor="text1"/>
                <w:szCs w:val="18"/>
              </w:rPr>
              <w:t>7</w:t>
            </w:r>
          </w:p>
        </w:tc>
      </w:tr>
      <w:tr w:rsidR="006E2458" w:rsidRPr="005B13F2" w:rsidTr="0019337E">
        <w:trPr>
          <w:trHeight w:val="36"/>
        </w:trPr>
        <w:tc>
          <w:tcPr>
            <w:tcW w:w="5265" w:type="dxa"/>
            <w:shd w:val="clear" w:color="auto" w:fill="FFFFFF"/>
            <w:tcMar>
              <w:top w:w="15" w:type="dxa"/>
              <w:left w:w="108" w:type="dxa"/>
              <w:bottom w:w="0" w:type="dxa"/>
              <w:right w:w="108" w:type="dxa"/>
            </w:tcMar>
          </w:tcPr>
          <w:p w:rsidR="006E2458" w:rsidRPr="00C144DF" w:rsidRDefault="006E2458" w:rsidP="0019337E">
            <w:pPr>
              <w:pStyle w:val="ProductList-Body"/>
              <w:rPr>
                <w:rFonts w:cstheme="minorHAnsi"/>
                <w:color w:val="000000" w:themeColor="text1"/>
                <w:szCs w:val="18"/>
              </w:rPr>
            </w:pPr>
            <w:r>
              <w:rPr>
                <w:rFonts w:cstheme="minorHAnsi"/>
                <w:color w:val="000000" w:themeColor="text1"/>
                <w:szCs w:val="18"/>
              </w:rPr>
              <w:t>300 000 – 599 999</w:t>
            </w:r>
          </w:p>
        </w:tc>
        <w:tc>
          <w:tcPr>
            <w:tcW w:w="2210" w:type="dxa"/>
            <w:shd w:val="clear" w:color="auto" w:fill="FFFFFF"/>
            <w:tcMar>
              <w:top w:w="15" w:type="dxa"/>
              <w:left w:w="108" w:type="dxa"/>
              <w:bottom w:w="0" w:type="dxa"/>
              <w:right w:w="108" w:type="dxa"/>
            </w:tcMar>
          </w:tcPr>
          <w:p w:rsidR="006E2458" w:rsidRPr="00C144DF" w:rsidRDefault="006E2458" w:rsidP="0019337E">
            <w:pPr>
              <w:pStyle w:val="ProductList-Body"/>
              <w:jc w:val="center"/>
              <w:rPr>
                <w:rFonts w:cstheme="minorHAnsi"/>
                <w:color w:val="000000" w:themeColor="text1"/>
                <w:szCs w:val="18"/>
              </w:rPr>
            </w:pPr>
            <w:r>
              <w:rPr>
                <w:rFonts w:cstheme="minorHAnsi"/>
                <w:color w:val="000000" w:themeColor="text1"/>
                <w:szCs w:val="18"/>
              </w:rPr>
              <w:t>10</w:t>
            </w:r>
          </w:p>
        </w:tc>
      </w:tr>
      <w:tr w:rsidR="006E2458" w:rsidRPr="005B13F2" w:rsidTr="0019337E">
        <w:trPr>
          <w:trHeight w:val="45"/>
        </w:trPr>
        <w:tc>
          <w:tcPr>
            <w:tcW w:w="5265" w:type="dxa"/>
            <w:shd w:val="clear" w:color="auto" w:fill="FFFFFF"/>
            <w:tcMar>
              <w:top w:w="15" w:type="dxa"/>
              <w:left w:w="108" w:type="dxa"/>
              <w:bottom w:w="0" w:type="dxa"/>
              <w:right w:w="108" w:type="dxa"/>
            </w:tcMar>
          </w:tcPr>
          <w:p w:rsidR="006E2458" w:rsidRPr="00C144DF" w:rsidRDefault="006E2458" w:rsidP="0019337E">
            <w:pPr>
              <w:pStyle w:val="ProductList-Body"/>
              <w:rPr>
                <w:rFonts w:cstheme="minorHAnsi"/>
                <w:color w:val="000000" w:themeColor="text1"/>
                <w:szCs w:val="18"/>
              </w:rPr>
            </w:pPr>
            <w:r>
              <w:rPr>
                <w:rFonts w:cstheme="minorHAnsi"/>
                <w:color w:val="000000" w:themeColor="text1"/>
                <w:szCs w:val="18"/>
              </w:rPr>
              <w:t>600 000 +</w:t>
            </w:r>
          </w:p>
        </w:tc>
        <w:tc>
          <w:tcPr>
            <w:tcW w:w="2210" w:type="dxa"/>
            <w:shd w:val="clear" w:color="auto" w:fill="FFFFFF"/>
            <w:tcMar>
              <w:top w:w="15" w:type="dxa"/>
              <w:left w:w="108" w:type="dxa"/>
              <w:bottom w:w="0" w:type="dxa"/>
              <w:right w:w="108" w:type="dxa"/>
            </w:tcMar>
          </w:tcPr>
          <w:p w:rsidR="006E2458" w:rsidRPr="00C144DF" w:rsidRDefault="006E2458" w:rsidP="0019337E">
            <w:pPr>
              <w:pStyle w:val="ProductList-Body"/>
              <w:jc w:val="center"/>
              <w:rPr>
                <w:rFonts w:cstheme="minorHAnsi"/>
                <w:color w:val="000000" w:themeColor="text1"/>
                <w:szCs w:val="18"/>
              </w:rPr>
            </w:pPr>
            <w:r>
              <w:rPr>
                <w:rFonts w:cstheme="minorHAnsi"/>
                <w:color w:val="000000" w:themeColor="text1"/>
                <w:szCs w:val="18"/>
              </w:rPr>
              <w:t>12</w:t>
            </w:r>
          </w:p>
        </w:tc>
      </w:tr>
    </w:tbl>
    <w:p w:rsidR="006E2458" w:rsidRPr="00483B32" w:rsidRDefault="006E2458" w:rsidP="006E2458">
      <w:pPr>
        <w:pStyle w:val="Thirdheading"/>
        <w:rPr>
          <w:rFonts w:eastAsiaTheme="majorEastAsia"/>
        </w:rPr>
      </w:pPr>
      <w:r>
        <w:rPr>
          <w:rFonts w:eastAsiaTheme="majorEastAsia" w:cstheme="majorBidi"/>
          <w:b/>
          <w:bCs/>
          <w:color w:val="FFC000" w:themeColor="accent4"/>
          <w:sz w:val="18"/>
          <w:szCs w:val="18"/>
        </w:rPr>
        <w:t>Utilisation des jours de Services de Planification</w:t>
      </w:r>
    </w:p>
    <w:p w:rsidR="006E2458" w:rsidRPr="00483B32" w:rsidRDefault="006E2458" w:rsidP="006E2458">
      <w:pPr>
        <w:pStyle w:val="ListParagraph"/>
        <w:numPr>
          <w:ilvl w:val="0"/>
          <w:numId w:val="16"/>
        </w:numPr>
      </w:pPr>
      <w:r>
        <w:rPr>
          <w:rFonts w:eastAsia="Times New Roman" w:cs="Times New Roman"/>
          <w:color w:val="505050"/>
          <w:szCs w:val="20"/>
        </w:rPr>
        <w:t>La liste des PSP Microsoft est accessible à l’adresse suivante :</w:t>
      </w:r>
      <w:r>
        <w:rPr>
          <w:color w:val="505050"/>
          <w:szCs w:val="20"/>
        </w:rPr>
        <w:t xml:space="preserve"> </w:t>
      </w:r>
      <w:hyperlink r:id="rId21" w:history="1">
        <w:r>
          <w:rPr>
            <w:rStyle w:val="Hyperlink"/>
            <w:rFonts w:eastAsia="Times New Roman" w:cs="Times New Roman"/>
            <w:szCs w:val="20"/>
          </w:rPr>
          <w:t>http://directory.partners.extranet.microsoft.com/psbproviders</w:t>
        </w:r>
      </w:hyperlink>
      <w:r>
        <w:rPr>
          <w:rFonts w:eastAsia="Times New Roman" w:cs="Times New Roman"/>
          <w:color w:val="505050"/>
          <w:szCs w:val="20"/>
        </w:rPr>
        <w:t xml:space="preserve"> </w:t>
      </w:r>
    </w:p>
    <w:p w:rsidR="006E2458" w:rsidRPr="00483B32" w:rsidRDefault="006E2458" w:rsidP="006E2458">
      <w:pPr>
        <w:pStyle w:val="BodyText"/>
        <w:numPr>
          <w:ilvl w:val="0"/>
          <w:numId w:val="16"/>
        </w:numPr>
        <w:spacing w:after="0"/>
      </w:pPr>
      <w:r>
        <w:t>Les Services de Planification peuvent vous être fournis par des Partenaires Microsoft ou par les Services de Conseil Microsoft. Les conditions d’utilisation locales définies par le PSP s’appliquent. Les services fournis en échange des bons le sont en vertu d’un contrat conclu entre vous et le PSP ; Microsoft n’est pas responsable des travaux effectués par le PSP ou des manquements de ce dernier en ce qui concerne les services.</w:t>
      </w:r>
    </w:p>
    <w:p w:rsidR="006E2458" w:rsidRPr="00483B32" w:rsidRDefault="006E2458" w:rsidP="006E2458">
      <w:pPr>
        <w:pStyle w:val="BodyText"/>
        <w:numPr>
          <w:ilvl w:val="0"/>
          <w:numId w:val="16"/>
        </w:numPr>
        <w:spacing w:after="0"/>
      </w:pPr>
      <w:r>
        <w:t>Les Services de Planification incluent des prestations de conseil comprenant la définition préalable de la portée des travaux et le développement d’un plan de déploiement de haut niveau ; le déploiement effectif du logiciel n’est pas inclus.</w:t>
      </w:r>
    </w:p>
    <w:p w:rsidR="006E2458" w:rsidRPr="00483B32" w:rsidRDefault="006E2458" w:rsidP="006E2458">
      <w:pPr>
        <w:pStyle w:val="BodyText"/>
        <w:numPr>
          <w:ilvl w:val="0"/>
          <w:numId w:val="16"/>
        </w:numPr>
        <w:spacing w:after="0"/>
      </w:pPr>
      <w:r>
        <w:t>Les bons de Services de Planification peuvent être convertis uniquement par les Clients éligibles à l’avantage.</w:t>
      </w:r>
    </w:p>
    <w:p w:rsidR="006E2458" w:rsidRPr="00483B32" w:rsidRDefault="006E2458" w:rsidP="006E2458">
      <w:pPr>
        <w:pStyle w:val="BodyText"/>
        <w:numPr>
          <w:ilvl w:val="0"/>
          <w:numId w:val="16"/>
        </w:numPr>
        <w:spacing w:after="0"/>
      </w:pPr>
      <w:r>
        <w:t>Les bons de Services de Planification ne peuvent pas être échangés contre de l’argent comptant, des sommes d’argent ou d’autres valeurs.</w:t>
      </w:r>
    </w:p>
    <w:p w:rsidR="006E2458" w:rsidRPr="00483B32" w:rsidRDefault="006E2458" w:rsidP="006E2458">
      <w:pPr>
        <w:pStyle w:val="BodyText"/>
        <w:numPr>
          <w:ilvl w:val="0"/>
          <w:numId w:val="16"/>
        </w:numPr>
        <w:spacing w:after="0"/>
      </w:pPr>
      <w:r>
        <w:t>Vous pouvez acheter des services supplémentaires en plus de ceux dont vous bénéficiez au titre du bon attribué (tel que défini par le type de bon et le niveau de service) directement auprès de votre PSP, en dehors de ce programme.</w:t>
      </w:r>
    </w:p>
    <w:p w:rsidR="006E2458" w:rsidRPr="00483B32" w:rsidRDefault="006E2458" w:rsidP="006E2458">
      <w:pPr>
        <w:pStyle w:val="BodyText"/>
        <w:numPr>
          <w:ilvl w:val="0"/>
          <w:numId w:val="16"/>
        </w:numPr>
        <w:spacing w:after="0"/>
      </w:pPr>
      <w:r>
        <w:t>Une réduction de la SA éligible, résultant de retours ou autres ajustements de facturation, si autorisés, peut donner lieu à une réduction du nombre de jours de Services de Planification qui vous sont attribués.</w:t>
      </w:r>
    </w:p>
    <w:p w:rsidR="006E2458" w:rsidRPr="00483B32" w:rsidRDefault="006E2458" w:rsidP="006E2458">
      <w:pPr>
        <w:pStyle w:val="BodyText"/>
        <w:numPr>
          <w:ilvl w:val="0"/>
          <w:numId w:val="16"/>
        </w:numPr>
        <w:spacing w:after="0"/>
      </w:pPr>
      <w:r>
        <w:t>Les bons ne sont pas cumulables ni associables. La société doit remettre un bon par mission dans la limite du nombre de jours disponibles.</w:t>
      </w:r>
    </w:p>
    <w:p w:rsidR="006E2458" w:rsidRPr="00483B32" w:rsidRDefault="006E2458" w:rsidP="006E2458">
      <w:pPr>
        <w:pStyle w:val="BodyText"/>
        <w:numPr>
          <w:ilvl w:val="0"/>
          <w:numId w:val="16"/>
        </w:numPr>
        <w:spacing w:after="0"/>
      </w:pPr>
      <w:r>
        <w:t>Les bons ne sont valables qu’auprès des PSP, pour le type de service spécifique pour lequel ils sont convertis. Les bons peuvent être utilisés auprès des PSP dans le monde entier. La participation peut varier. Les PSP se réservent le droit d’annuler une prestation de service conformément aux règles d’annulation locales.</w:t>
      </w:r>
    </w:p>
    <w:p w:rsidR="006E2458" w:rsidRPr="00483B32" w:rsidRDefault="006E2458" w:rsidP="006E2458">
      <w:pPr>
        <w:pStyle w:val="BodyText"/>
        <w:numPr>
          <w:ilvl w:val="0"/>
          <w:numId w:val="16"/>
        </w:numPr>
        <w:spacing w:after="0"/>
      </w:pPr>
      <w:r>
        <w:t>Les bons doivent être attribués pendant la durée de la SA.</w:t>
      </w:r>
    </w:p>
    <w:p w:rsidR="006E2458" w:rsidRPr="00483B32" w:rsidRDefault="006E2458" w:rsidP="006E2458">
      <w:pPr>
        <w:pStyle w:val="BodyText"/>
        <w:numPr>
          <w:ilvl w:val="0"/>
          <w:numId w:val="16"/>
        </w:numPr>
        <w:spacing w:after="0"/>
      </w:pPr>
      <w:r>
        <w:t>Les bons expirent cent quatre-vingt (180) jours après leur attribution, indépendamment de la date d’expiration de la SA. Tous les services doivent être fournis (bons convertis) avant leur expiration. Les bons qui expirent avant l’expiration de la SA seront réintégrés au portefeuille de jours de Services de Planification disponibles.</w:t>
      </w:r>
    </w:p>
    <w:p w:rsidR="006E2458" w:rsidRPr="00483B32" w:rsidRDefault="006E2458" w:rsidP="006E2458">
      <w:pPr>
        <w:pStyle w:val="BodyText"/>
        <w:numPr>
          <w:ilvl w:val="0"/>
          <w:numId w:val="16"/>
        </w:numPr>
        <w:spacing w:after="0"/>
      </w:pPr>
      <w:r>
        <w:t>En acceptant l’offre de Services de Planification, vous reconnaissez avoir été informé qu’à la fin de la prestation, vous serez invité à répondre à un sondage pour évaluer la qualité des services fournis.</w:t>
      </w:r>
    </w:p>
    <w:p w:rsidR="006E2458" w:rsidRPr="00483B32" w:rsidRDefault="006E2458" w:rsidP="006E2458">
      <w:pPr>
        <w:pStyle w:val="BodyText"/>
        <w:numPr>
          <w:ilvl w:val="0"/>
          <w:numId w:val="16"/>
        </w:numPr>
        <w:spacing w:after="0"/>
      </w:pPr>
      <w:r>
        <w:t>Les tableaux ci-dessus répertorient le nombre de jours de Services de Planification disponibles pour l’achat d’une SA pour une durée de trois (3) ans par un Compte d’Achats. Si la durée de la SA est inférieure à 3 ans, le nombre de jours de Services de Planification dont le Compte d’Achats pourra bénéficier sera calculé au prorata.</w:t>
      </w:r>
    </w:p>
    <w:p w:rsidR="006E2458" w:rsidRPr="00483B32" w:rsidRDefault="006E2458" w:rsidP="006E2458">
      <w:pPr>
        <w:pStyle w:val="ProductList-Body"/>
      </w:pPr>
    </w:p>
    <w:p w:rsidR="006E2458" w:rsidRPr="00483B32" w:rsidRDefault="006E2458" w:rsidP="006E2458">
      <w:pPr>
        <w:pStyle w:val="ProductList-Body"/>
      </w:pPr>
      <w:r>
        <w:rPr>
          <w:rFonts w:ascii="Segoe UI" w:hAnsi="Segoe UI"/>
          <w:color w:val="000000" w:themeColor="text1"/>
          <w:szCs w:val="18"/>
        </w:rPr>
        <w:t>Les livrables complets remis par le PSP à Microsoft à la fin de la prestation pourront être utilisés par Microsoft à des fins d’assurance qualité et pourront être divulgués dans ce but à l’équipe Microsoft chargée de votre compte client.</w:t>
      </w:r>
    </w:p>
    <w:p w:rsidR="006E2458" w:rsidRPr="00483B32" w:rsidRDefault="006E2458" w:rsidP="006E2458">
      <w:pPr>
        <w:pStyle w:val="Heading2"/>
      </w:pPr>
      <w:bookmarkStart w:id="39" w:name="_Enhanced_Edition_Benefits"/>
      <w:bookmarkStart w:id="40" w:name="_Toc403380304"/>
      <w:bookmarkStart w:id="41" w:name="_Toc403985022"/>
      <w:bookmarkStart w:id="42" w:name="_Toc428272532"/>
      <w:bookmarkStart w:id="43" w:name="_Toc394601024"/>
      <w:bookmarkEnd w:id="39"/>
      <w:r>
        <w:t>Bons de Formation</w:t>
      </w:r>
      <w:bookmarkEnd w:id="40"/>
      <w:bookmarkEnd w:id="41"/>
      <w:bookmarkEnd w:id="42"/>
    </w:p>
    <w:p w:rsidR="006E2458" w:rsidRPr="00483B32" w:rsidRDefault="006E2458" w:rsidP="006E2458">
      <w:pPr>
        <w:pStyle w:val="ProductList-Body"/>
      </w:pPr>
      <w:r>
        <w:rPr>
          <w:color w:val="000000" w:themeColor="text1"/>
        </w:rPr>
        <w:t>Si vous participez au programme Software Assurance Membership pour le groupe Applications ou Serveurs, vous pouvez prétendre à cet avantage. Ces bons vous permettent de suivre des cours délivrés par un Partenaire Microsoft ayant acquis un Domaine de Compétence (Partenaire de Formation Microsoft) pendant un nombre spécifique de jours.</w:t>
      </w:r>
    </w:p>
    <w:p w:rsidR="006E2458" w:rsidRPr="00483B32" w:rsidRDefault="006E2458" w:rsidP="006E2458">
      <w:pPr>
        <w:pStyle w:val="ProductList-Body"/>
        <w:spacing w:before="120" w:after="120"/>
      </w:pPr>
      <w:r>
        <w:rPr>
          <w:color w:val="000000" w:themeColor="text1"/>
          <w:szCs w:val="18"/>
        </w:rPr>
        <w:lastRenderedPageBreak/>
        <w:t>Le nombre de jours de Formation dont vous pouvez bénéficier dépend du nombre total de points cumulés</w:t>
      </w:r>
      <w:r>
        <w:rPr>
          <w:rFonts w:ascii="Segoe UI" w:hAnsi="Segoe UI"/>
          <w:color w:val="000000" w:themeColor="text1"/>
          <w:szCs w:val="18"/>
        </w:rPr>
        <w:t xml:space="preserve"> par votre Compte d’Achats,</w:t>
      </w:r>
      <w:r>
        <w:rPr>
          <w:color w:val="000000" w:themeColor="text1"/>
          <w:szCs w:val="18"/>
        </w:rPr>
        <w:t xml:space="preserve"> comme indiqué ci-dessous </w:t>
      </w:r>
      <w:r>
        <w:rPr>
          <w:rFonts w:ascii="Segoe UI" w:hAnsi="Segoe UI"/>
          <w:color w:val="000000" w:themeColor="text1"/>
          <w:szCs w:val="18"/>
        </w:rPr>
        <w:t>(cf. section « Calcul des points pour les Avantages de la Software Assurance au titre du MPSA » du présent document pour en savoir plus sur les modalités de calcul)</w:t>
      </w:r>
      <w:r>
        <w:rPr>
          <w:color w:val="000000" w:themeColor="text1"/>
          <w:szCs w:val="18"/>
        </w:rPr>
        <w:t> :</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8"/>
        <w:gridCol w:w="2382"/>
        <w:gridCol w:w="1890"/>
      </w:tblGrid>
      <w:tr w:rsidR="006E2458" w:rsidRPr="005B13F2" w:rsidTr="0019337E">
        <w:trPr>
          <w:tblHeader/>
        </w:trPr>
        <w:tc>
          <w:tcPr>
            <w:tcW w:w="3198" w:type="dxa"/>
            <w:shd w:val="clear" w:color="auto" w:fill="BF8F00" w:themeFill="accent4" w:themeFillShade="BF"/>
            <w:vAlign w:val="center"/>
          </w:tcPr>
          <w:p w:rsidR="006E2458" w:rsidRPr="005B13F2" w:rsidRDefault="006E2458" w:rsidP="0019337E">
            <w:pPr>
              <w:pStyle w:val="ProductList-Body"/>
              <w:spacing w:before="20" w:after="20"/>
              <w:rPr>
                <w:color w:val="FFFFFF" w:themeColor="background1"/>
                <w:szCs w:val="18"/>
              </w:rPr>
            </w:pPr>
            <w:r>
              <w:rPr>
                <w:color w:val="FFFFFF" w:themeColor="background1"/>
                <w:szCs w:val="18"/>
              </w:rPr>
              <w:t>Points avec la participation au programme Software Assurance Membership</w:t>
            </w:r>
          </w:p>
        </w:tc>
        <w:tc>
          <w:tcPr>
            <w:tcW w:w="2382" w:type="dxa"/>
            <w:shd w:val="clear" w:color="auto" w:fill="BF8F00" w:themeFill="accent4" w:themeFillShade="BF"/>
            <w:vAlign w:val="center"/>
          </w:tcPr>
          <w:p w:rsidR="006E2458" w:rsidRPr="005B13F2" w:rsidRDefault="006E2458" w:rsidP="0019337E">
            <w:pPr>
              <w:pStyle w:val="ProductList-Body"/>
              <w:spacing w:before="20" w:after="20"/>
              <w:jc w:val="center"/>
              <w:rPr>
                <w:color w:val="FFFFFF" w:themeColor="background1"/>
                <w:szCs w:val="18"/>
              </w:rPr>
            </w:pPr>
            <w:r>
              <w:rPr>
                <w:color w:val="FFFFFF" w:themeColor="background1"/>
                <w:szCs w:val="18"/>
              </w:rPr>
              <w:t>Bons de Formation pour les Produits du</w:t>
            </w:r>
            <w:r>
              <w:rPr>
                <w:i/>
                <w:color w:val="FFFFFF" w:themeColor="background1"/>
                <w:szCs w:val="18"/>
              </w:rPr>
              <w:t xml:space="preserve"> </w:t>
            </w:r>
            <w:r>
              <w:rPr>
                <w:color w:val="FFFFFF" w:themeColor="background1"/>
                <w:szCs w:val="18"/>
              </w:rPr>
              <w:t>groupe Applications</w:t>
            </w:r>
          </w:p>
        </w:tc>
        <w:tc>
          <w:tcPr>
            <w:tcW w:w="1890" w:type="dxa"/>
            <w:shd w:val="clear" w:color="auto" w:fill="BF8F00" w:themeFill="accent4" w:themeFillShade="BF"/>
            <w:vAlign w:val="center"/>
          </w:tcPr>
          <w:p w:rsidR="006E2458" w:rsidRPr="005B13F2" w:rsidRDefault="006E2458" w:rsidP="0019337E">
            <w:pPr>
              <w:pStyle w:val="ProductList-Body"/>
              <w:spacing w:before="20" w:after="20"/>
              <w:jc w:val="center"/>
              <w:rPr>
                <w:color w:val="FFFFFF" w:themeColor="background1"/>
                <w:szCs w:val="18"/>
              </w:rPr>
            </w:pPr>
            <w:r>
              <w:rPr>
                <w:color w:val="FFFFFF" w:themeColor="background1"/>
                <w:szCs w:val="18"/>
              </w:rPr>
              <w:t>Bons de Formation pour les Produits du groupe Systèmes</w:t>
            </w:r>
          </w:p>
        </w:tc>
      </w:tr>
      <w:tr w:rsidR="006E2458" w:rsidRPr="005B13F2" w:rsidTr="0019337E">
        <w:tc>
          <w:tcPr>
            <w:tcW w:w="3198" w:type="dxa"/>
            <w:vAlign w:val="center"/>
          </w:tcPr>
          <w:p w:rsidR="006E2458" w:rsidRPr="002123CF" w:rsidRDefault="006E2458" w:rsidP="0019337E">
            <w:pPr>
              <w:pStyle w:val="ProductList-Body"/>
              <w:rPr>
                <w:rFonts w:ascii="Segoe UI" w:hAnsi="Segoe UI"/>
                <w:color w:val="000000" w:themeColor="text1"/>
                <w:szCs w:val="18"/>
              </w:rPr>
            </w:pPr>
            <w:r>
              <w:rPr>
                <w:rFonts w:ascii="Segoe UI" w:hAnsi="Segoe UI"/>
                <w:color w:val="000000" w:themeColor="text1"/>
                <w:szCs w:val="18"/>
              </w:rPr>
              <w:t>50 – 99</w:t>
            </w:r>
          </w:p>
        </w:tc>
        <w:tc>
          <w:tcPr>
            <w:tcW w:w="2382" w:type="dxa"/>
            <w:vAlign w:val="center"/>
          </w:tcPr>
          <w:p w:rsidR="006E2458" w:rsidRPr="002123CF" w:rsidRDefault="006E2458" w:rsidP="0019337E">
            <w:pPr>
              <w:pStyle w:val="ProductList-Body"/>
              <w:jc w:val="center"/>
              <w:rPr>
                <w:rFonts w:ascii="Segoe UI" w:hAnsi="Segoe UI"/>
                <w:color w:val="000000" w:themeColor="text1"/>
                <w:szCs w:val="18"/>
              </w:rPr>
            </w:pPr>
            <w:r>
              <w:rPr>
                <w:rFonts w:ascii="Segoe UI" w:hAnsi="Segoe UI"/>
                <w:color w:val="000000" w:themeColor="text1"/>
                <w:szCs w:val="18"/>
              </w:rPr>
              <w:t>2</w:t>
            </w:r>
          </w:p>
        </w:tc>
        <w:tc>
          <w:tcPr>
            <w:tcW w:w="1890" w:type="dxa"/>
            <w:vAlign w:val="center"/>
          </w:tcPr>
          <w:p w:rsidR="006E2458" w:rsidRPr="002123CF" w:rsidRDefault="006E2458" w:rsidP="0019337E">
            <w:pPr>
              <w:pStyle w:val="ProductList-Body"/>
              <w:jc w:val="center"/>
              <w:rPr>
                <w:rFonts w:ascii="Segoe UI" w:hAnsi="Segoe UI"/>
                <w:color w:val="000000" w:themeColor="text1"/>
                <w:szCs w:val="18"/>
              </w:rPr>
            </w:pPr>
            <w:r>
              <w:rPr>
                <w:rFonts w:ascii="Segoe UI" w:hAnsi="Segoe UI"/>
                <w:color w:val="000000" w:themeColor="text1"/>
                <w:szCs w:val="18"/>
              </w:rPr>
              <w:t>1</w:t>
            </w:r>
          </w:p>
        </w:tc>
      </w:tr>
      <w:tr w:rsidR="006E2458" w:rsidRPr="005B13F2" w:rsidTr="0019337E">
        <w:trPr>
          <w:trHeight w:val="70"/>
        </w:trPr>
        <w:tc>
          <w:tcPr>
            <w:tcW w:w="3198" w:type="dxa"/>
            <w:vAlign w:val="center"/>
          </w:tcPr>
          <w:p w:rsidR="006E2458" w:rsidRPr="002123CF" w:rsidRDefault="006E2458" w:rsidP="0019337E">
            <w:pPr>
              <w:pStyle w:val="ProductList-Body"/>
              <w:rPr>
                <w:rFonts w:ascii="Segoe UI" w:hAnsi="Segoe UI"/>
                <w:color w:val="000000" w:themeColor="text1"/>
                <w:szCs w:val="18"/>
              </w:rPr>
            </w:pPr>
            <w:r>
              <w:rPr>
                <w:rFonts w:ascii="Segoe UI" w:hAnsi="Segoe UI"/>
                <w:color w:val="000000" w:themeColor="text1"/>
                <w:szCs w:val="18"/>
              </w:rPr>
              <w:t>100 – 149</w:t>
            </w:r>
          </w:p>
        </w:tc>
        <w:tc>
          <w:tcPr>
            <w:tcW w:w="2382" w:type="dxa"/>
            <w:vAlign w:val="center"/>
          </w:tcPr>
          <w:p w:rsidR="006E2458" w:rsidRPr="002123CF" w:rsidRDefault="006E2458" w:rsidP="0019337E">
            <w:pPr>
              <w:pStyle w:val="ProductList-Body"/>
              <w:jc w:val="center"/>
              <w:rPr>
                <w:rFonts w:ascii="Segoe UI" w:hAnsi="Segoe UI"/>
                <w:color w:val="000000" w:themeColor="text1"/>
                <w:szCs w:val="18"/>
              </w:rPr>
            </w:pPr>
            <w:r>
              <w:rPr>
                <w:rFonts w:ascii="Segoe UI" w:hAnsi="Segoe UI"/>
                <w:color w:val="000000" w:themeColor="text1"/>
                <w:szCs w:val="18"/>
              </w:rPr>
              <w:t>4</w:t>
            </w:r>
          </w:p>
        </w:tc>
        <w:tc>
          <w:tcPr>
            <w:tcW w:w="1890" w:type="dxa"/>
            <w:vAlign w:val="center"/>
          </w:tcPr>
          <w:p w:rsidR="006E2458" w:rsidRPr="002123CF" w:rsidRDefault="006E2458" w:rsidP="0019337E">
            <w:pPr>
              <w:pStyle w:val="ProductList-Body"/>
              <w:jc w:val="center"/>
              <w:rPr>
                <w:rFonts w:ascii="Segoe UI" w:hAnsi="Segoe UI"/>
                <w:color w:val="000000" w:themeColor="text1"/>
                <w:szCs w:val="18"/>
              </w:rPr>
            </w:pPr>
            <w:r>
              <w:rPr>
                <w:rFonts w:ascii="Segoe UI" w:hAnsi="Segoe UI"/>
                <w:color w:val="000000" w:themeColor="text1"/>
                <w:szCs w:val="18"/>
              </w:rPr>
              <w:t>2</w:t>
            </w:r>
          </w:p>
        </w:tc>
      </w:tr>
      <w:tr w:rsidR="006E2458" w:rsidRPr="005B13F2" w:rsidTr="0019337E">
        <w:tc>
          <w:tcPr>
            <w:tcW w:w="3198" w:type="dxa"/>
            <w:vAlign w:val="center"/>
          </w:tcPr>
          <w:p w:rsidR="006E2458" w:rsidRPr="002123CF" w:rsidRDefault="006E2458" w:rsidP="0019337E">
            <w:pPr>
              <w:pStyle w:val="ProductList-Body"/>
              <w:rPr>
                <w:rFonts w:ascii="Segoe UI" w:hAnsi="Segoe UI"/>
                <w:color w:val="000000" w:themeColor="text1"/>
                <w:szCs w:val="18"/>
              </w:rPr>
            </w:pPr>
            <w:r>
              <w:rPr>
                <w:rFonts w:ascii="Segoe UI" w:hAnsi="Segoe UI"/>
                <w:color w:val="000000" w:themeColor="text1"/>
                <w:szCs w:val="18"/>
              </w:rPr>
              <w:t>150 – 199</w:t>
            </w:r>
          </w:p>
        </w:tc>
        <w:tc>
          <w:tcPr>
            <w:tcW w:w="2382" w:type="dxa"/>
            <w:vAlign w:val="center"/>
          </w:tcPr>
          <w:p w:rsidR="006E2458" w:rsidRPr="002123CF" w:rsidRDefault="006E2458" w:rsidP="0019337E">
            <w:pPr>
              <w:pStyle w:val="ProductList-Body"/>
              <w:jc w:val="center"/>
              <w:rPr>
                <w:rFonts w:ascii="Segoe UI" w:hAnsi="Segoe UI"/>
                <w:color w:val="000000" w:themeColor="text1"/>
                <w:szCs w:val="18"/>
              </w:rPr>
            </w:pPr>
            <w:r>
              <w:rPr>
                <w:rFonts w:ascii="Segoe UI" w:hAnsi="Segoe UI"/>
                <w:color w:val="000000" w:themeColor="text1"/>
                <w:szCs w:val="18"/>
              </w:rPr>
              <w:t>6</w:t>
            </w:r>
          </w:p>
        </w:tc>
        <w:tc>
          <w:tcPr>
            <w:tcW w:w="1890" w:type="dxa"/>
            <w:vAlign w:val="center"/>
          </w:tcPr>
          <w:p w:rsidR="006E2458" w:rsidRPr="002123CF" w:rsidRDefault="006E2458" w:rsidP="0019337E">
            <w:pPr>
              <w:pStyle w:val="ProductList-Body"/>
              <w:jc w:val="center"/>
              <w:rPr>
                <w:rFonts w:ascii="Segoe UI" w:hAnsi="Segoe UI"/>
                <w:color w:val="000000" w:themeColor="text1"/>
                <w:szCs w:val="18"/>
              </w:rPr>
            </w:pPr>
            <w:r>
              <w:rPr>
                <w:rFonts w:ascii="Segoe UI" w:hAnsi="Segoe UI"/>
                <w:color w:val="000000" w:themeColor="text1"/>
                <w:szCs w:val="18"/>
              </w:rPr>
              <w:t>3</w:t>
            </w:r>
          </w:p>
        </w:tc>
      </w:tr>
      <w:tr w:rsidR="006E2458" w:rsidRPr="005B13F2" w:rsidTr="0019337E">
        <w:tc>
          <w:tcPr>
            <w:tcW w:w="3198" w:type="dxa"/>
            <w:vAlign w:val="center"/>
          </w:tcPr>
          <w:p w:rsidR="006E2458" w:rsidRPr="002123CF" w:rsidRDefault="006E2458" w:rsidP="0019337E">
            <w:pPr>
              <w:pStyle w:val="ProductList-Body"/>
              <w:rPr>
                <w:rFonts w:ascii="Segoe UI" w:hAnsi="Segoe UI"/>
                <w:color w:val="000000" w:themeColor="text1"/>
                <w:szCs w:val="18"/>
              </w:rPr>
            </w:pPr>
            <w:r>
              <w:rPr>
                <w:rFonts w:ascii="Segoe UI" w:hAnsi="Segoe UI"/>
                <w:color w:val="000000" w:themeColor="text1"/>
                <w:szCs w:val="18"/>
              </w:rPr>
              <w:t>200 – 249</w:t>
            </w:r>
          </w:p>
        </w:tc>
        <w:tc>
          <w:tcPr>
            <w:tcW w:w="2382" w:type="dxa"/>
            <w:vAlign w:val="center"/>
          </w:tcPr>
          <w:p w:rsidR="006E2458" w:rsidRPr="002123CF" w:rsidRDefault="006E2458" w:rsidP="0019337E">
            <w:pPr>
              <w:pStyle w:val="ProductList-Body"/>
              <w:jc w:val="center"/>
              <w:rPr>
                <w:rFonts w:ascii="Segoe UI" w:hAnsi="Segoe UI"/>
                <w:color w:val="000000" w:themeColor="text1"/>
                <w:szCs w:val="18"/>
              </w:rPr>
            </w:pPr>
            <w:r>
              <w:rPr>
                <w:rFonts w:ascii="Segoe UI" w:hAnsi="Segoe UI"/>
                <w:color w:val="000000" w:themeColor="text1"/>
                <w:szCs w:val="18"/>
              </w:rPr>
              <w:t>8</w:t>
            </w:r>
          </w:p>
        </w:tc>
        <w:tc>
          <w:tcPr>
            <w:tcW w:w="1890" w:type="dxa"/>
            <w:vAlign w:val="center"/>
          </w:tcPr>
          <w:p w:rsidR="006E2458" w:rsidRPr="002123CF" w:rsidRDefault="006E2458" w:rsidP="0019337E">
            <w:pPr>
              <w:pStyle w:val="ProductList-Body"/>
              <w:jc w:val="center"/>
              <w:rPr>
                <w:rFonts w:ascii="Segoe UI" w:hAnsi="Segoe UI"/>
                <w:color w:val="000000" w:themeColor="text1"/>
                <w:szCs w:val="18"/>
              </w:rPr>
            </w:pPr>
            <w:r>
              <w:rPr>
                <w:rFonts w:ascii="Segoe UI" w:hAnsi="Segoe UI"/>
                <w:color w:val="000000" w:themeColor="text1"/>
                <w:szCs w:val="18"/>
              </w:rPr>
              <w:t>4</w:t>
            </w:r>
          </w:p>
        </w:tc>
      </w:tr>
      <w:tr w:rsidR="006E2458" w:rsidRPr="005B13F2" w:rsidTr="0019337E">
        <w:tc>
          <w:tcPr>
            <w:tcW w:w="3198" w:type="dxa"/>
            <w:vAlign w:val="center"/>
          </w:tcPr>
          <w:p w:rsidR="006E2458" w:rsidRPr="002123CF" w:rsidRDefault="006E2458" w:rsidP="0019337E">
            <w:pPr>
              <w:pStyle w:val="ProductList-Body"/>
              <w:rPr>
                <w:rFonts w:ascii="Segoe UI" w:hAnsi="Segoe UI"/>
                <w:color w:val="000000" w:themeColor="text1"/>
                <w:szCs w:val="18"/>
              </w:rPr>
            </w:pPr>
            <w:r>
              <w:rPr>
                <w:rFonts w:ascii="Segoe UI" w:hAnsi="Segoe UI"/>
                <w:color w:val="000000" w:themeColor="text1"/>
                <w:szCs w:val="18"/>
              </w:rPr>
              <w:t>250 – 2 399</w:t>
            </w:r>
          </w:p>
        </w:tc>
        <w:tc>
          <w:tcPr>
            <w:tcW w:w="2382" w:type="dxa"/>
            <w:vAlign w:val="center"/>
          </w:tcPr>
          <w:p w:rsidR="006E2458" w:rsidRPr="002123CF" w:rsidRDefault="006E2458" w:rsidP="0019337E">
            <w:pPr>
              <w:pStyle w:val="ProductList-Body"/>
              <w:jc w:val="center"/>
              <w:rPr>
                <w:rFonts w:ascii="Segoe UI" w:hAnsi="Segoe UI"/>
                <w:color w:val="000000" w:themeColor="text1"/>
                <w:szCs w:val="18"/>
              </w:rPr>
            </w:pPr>
            <w:r>
              <w:rPr>
                <w:rFonts w:ascii="Segoe UI" w:hAnsi="Segoe UI"/>
                <w:color w:val="000000" w:themeColor="text1"/>
                <w:szCs w:val="18"/>
              </w:rPr>
              <w:t>20</w:t>
            </w:r>
          </w:p>
        </w:tc>
        <w:tc>
          <w:tcPr>
            <w:tcW w:w="1890" w:type="dxa"/>
            <w:vAlign w:val="center"/>
          </w:tcPr>
          <w:p w:rsidR="006E2458" w:rsidRPr="002123CF" w:rsidRDefault="006E2458" w:rsidP="0019337E">
            <w:pPr>
              <w:pStyle w:val="ProductList-Body"/>
              <w:jc w:val="center"/>
              <w:rPr>
                <w:rFonts w:ascii="Segoe UI" w:hAnsi="Segoe UI"/>
                <w:color w:val="000000" w:themeColor="text1"/>
                <w:szCs w:val="18"/>
              </w:rPr>
            </w:pPr>
            <w:r>
              <w:rPr>
                <w:rFonts w:ascii="Segoe UI" w:hAnsi="Segoe UI"/>
                <w:color w:val="000000" w:themeColor="text1"/>
                <w:szCs w:val="18"/>
              </w:rPr>
              <w:t>10</w:t>
            </w:r>
          </w:p>
        </w:tc>
      </w:tr>
      <w:tr w:rsidR="006E2458" w:rsidRPr="005B13F2" w:rsidTr="0019337E">
        <w:tc>
          <w:tcPr>
            <w:tcW w:w="3198" w:type="dxa"/>
            <w:vAlign w:val="center"/>
          </w:tcPr>
          <w:p w:rsidR="006E2458" w:rsidRPr="002123CF" w:rsidRDefault="006E2458" w:rsidP="0019337E">
            <w:pPr>
              <w:pStyle w:val="ProductList-Body"/>
              <w:rPr>
                <w:rFonts w:ascii="Segoe UI" w:hAnsi="Segoe UI"/>
                <w:color w:val="000000" w:themeColor="text1"/>
                <w:szCs w:val="18"/>
              </w:rPr>
            </w:pPr>
            <w:r>
              <w:rPr>
                <w:rFonts w:ascii="Segoe UI" w:hAnsi="Segoe UI"/>
                <w:color w:val="000000" w:themeColor="text1"/>
                <w:szCs w:val="18"/>
              </w:rPr>
              <w:t>2 400 – 5 999</w:t>
            </w:r>
          </w:p>
        </w:tc>
        <w:tc>
          <w:tcPr>
            <w:tcW w:w="2382" w:type="dxa"/>
            <w:vAlign w:val="center"/>
          </w:tcPr>
          <w:p w:rsidR="006E2458" w:rsidRPr="002123CF" w:rsidRDefault="006E2458" w:rsidP="0019337E">
            <w:pPr>
              <w:pStyle w:val="ProductList-Body"/>
              <w:jc w:val="center"/>
              <w:rPr>
                <w:rFonts w:ascii="Segoe UI" w:hAnsi="Segoe UI"/>
                <w:color w:val="000000" w:themeColor="text1"/>
                <w:szCs w:val="18"/>
              </w:rPr>
            </w:pPr>
            <w:r>
              <w:rPr>
                <w:rFonts w:ascii="Segoe UI" w:hAnsi="Segoe UI"/>
                <w:color w:val="000000" w:themeColor="text1"/>
                <w:szCs w:val="18"/>
              </w:rPr>
              <w:t>30</w:t>
            </w:r>
          </w:p>
        </w:tc>
        <w:tc>
          <w:tcPr>
            <w:tcW w:w="1890" w:type="dxa"/>
            <w:vAlign w:val="center"/>
          </w:tcPr>
          <w:p w:rsidR="006E2458" w:rsidRPr="002123CF" w:rsidRDefault="006E2458" w:rsidP="0019337E">
            <w:pPr>
              <w:pStyle w:val="ProductList-Body"/>
              <w:jc w:val="center"/>
              <w:rPr>
                <w:rFonts w:ascii="Segoe UI" w:hAnsi="Segoe UI"/>
                <w:color w:val="000000" w:themeColor="text1"/>
                <w:szCs w:val="18"/>
              </w:rPr>
            </w:pPr>
            <w:r>
              <w:rPr>
                <w:rFonts w:ascii="Segoe UI" w:hAnsi="Segoe UI"/>
                <w:color w:val="000000" w:themeColor="text1"/>
                <w:szCs w:val="18"/>
              </w:rPr>
              <w:t>15</w:t>
            </w:r>
          </w:p>
        </w:tc>
      </w:tr>
      <w:tr w:rsidR="006E2458" w:rsidRPr="005B13F2" w:rsidTr="0019337E">
        <w:trPr>
          <w:trHeight w:val="51"/>
        </w:trPr>
        <w:tc>
          <w:tcPr>
            <w:tcW w:w="3198" w:type="dxa"/>
            <w:vAlign w:val="center"/>
          </w:tcPr>
          <w:p w:rsidR="006E2458" w:rsidRPr="002123CF" w:rsidRDefault="006E2458" w:rsidP="0019337E">
            <w:pPr>
              <w:pStyle w:val="ProductList-Body"/>
              <w:rPr>
                <w:rFonts w:ascii="Segoe UI" w:hAnsi="Segoe UI"/>
                <w:color w:val="000000" w:themeColor="text1"/>
                <w:szCs w:val="18"/>
              </w:rPr>
            </w:pPr>
            <w:r>
              <w:rPr>
                <w:rFonts w:ascii="Segoe UI" w:hAnsi="Segoe UI"/>
                <w:color w:val="000000" w:themeColor="text1"/>
                <w:szCs w:val="18"/>
              </w:rPr>
              <w:t>6 000 – 14 999</w:t>
            </w:r>
          </w:p>
        </w:tc>
        <w:tc>
          <w:tcPr>
            <w:tcW w:w="2382" w:type="dxa"/>
            <w:vAlign w:val="center"/>
          </w:tcPr>
          <w:p w:rsidR="006E2458" w:rsidRPr="002123CF" w:rsidRDefault="006E2458" w:rsidP="0019337E">
            <w:pPr>
              <w:pStyle w:val="ProductList-Body"/>
              <w:jc w:val="center"/>
              <w:rPr>
                <w:rFonts w:ascii="Segoe UI" w:hAnsi="Segoe UI"/>
                <w:color w:val="000000" w:themeColor="text1"/>
                <w:szCs w:val="18"/>
              </w:rPr>
            </w:pPr>
            <w:r>
              <w:rPr>
                <w:rFonts w:ascii="Segoe UI" w:hAnsi="Segoe UI"/>
                <w:color w:val="000000" w:themeColor="text1"/>
                <w:szCs w:val="18"/>
              </w:rPr>
              <w:t>50</w:t>
            </w:r>
          </w:p>
        </w:tc>
        <w:tc>
          <w:tcPr>
            <w:tcW w:w="1890" w:type="dxa"/>
            <w:vAlign w:val="center"/>
          </w:tcPr>
          <w:p w:rsidR="006E2458" w:rsidRPr="002123CF" w:rsidRDefault="006E2458" w:rsidP="0019337E">
            <w:pPr>
              <w:pStyle w:val="ProductList-Body"/>
              <w:jc w:val="center"/>
              <w:rPr>
                <w:rFonts w:ascii="Segoe UI" w:hAnsi="Segoe UI"/>
                <w:color w:val="000000" w:themeColor="text1"/>
                <w:szCs w:val="18"/>
              </w:rPr>
            </w:pPr>
            <w:r>
              <w:rPr>
                <w:rFonts w:ascii="Segoe UI" w:hAnsi="Segoe UI"/>
                <w:color w:val="000000" w:themeColor="text1"/>
                <w:szCs w:val="18"/>
              </w:rPr>
              <w:t>25</w:t>
            </w:r>
          </w:p>
        </w:tc>
      </w:tr>
      <w:tr w:rsidR="006E2458" w:rsidRPr="005B13F2" w:rsidTr="0019337E">
        <w:tc>
          <w:tcPr>
            <w:tcW w:w="3198" w:type="dxa"/>
            <w:vAlign w:val="center"/>
          </w:tcPr>
          <w:p w:rsidR="006E2458" w:rsidRPr="002123CF" w:rsidRDefault="006E2458" w:rsidP="0019337E">
            <w:pPr>
              <w:pStyle w:val="ProductList-Body"/>
              <w:rPr>
                <w:rFonts w:ascii="Segoe UI" w:hAnsi="Segoe UI"/>
                <w:color w:val="000000" w:themeColor="text1"/>
                <w:szCs w:val="18"/>
              </w:rPr>
            </w:pPr>
            <w:r>
              <w:rPr>
                <w:rFonts w:ascii="Segoe UI" w:hAnsi="Segoe UI"/>
                <w:color w:val="000000" w:themeColor="text1"/>
                <w:szCs w:val="18"/>
              </w:rPr>
              <w:t>15 000 – 29 999</w:t>
            </w:r>
          </w:p>
        </w:tc>
        <w:tc>
          <w:tcPr>
            <w:tcW w:w="2382" w:type="dxa"/>
            <w:vAlign w:val="center"/>
          </w:tcPr>
          <w:p w:rsidR="006E2458" w:rsidRPr="002123CF" w:rsidRDefault="006E2458" w:rsidP="0019337E">
            <w:pPr>
              <w:pStyle w:val="ProductList-Body"/>
              <w:jc w:val="center"/>
              <w:rPr>
                <w:rFonts w:ascii="Segoe UI" w:hAnsi="Segoe UI"/>
                <w:color w:val="000000" w:themeColor="text1"/>
                <w:szCs w:val="18"/>
              </w:rPr>
            </w:pPr>
            <w:r>
              <w:rPr>
                <w:rFonts w:ascii="Segoe UI" w:hAnsi="Segoe UI"/>
                <w:color w:val="000000" w:themeColor="text1"/>
                <w:szCs w:val="18"/>
              </w:rPr>
              <w:t>110</w:t>
            </w:r>
          </w:p>
        </w:tc>
        <w:tc>
          <w:tcPr>
            <w:tcW w:w="1890" w:type="dxa"/>
            <w:vAlign w:val="center"/>
          </w:tcPr>
          <w:p w:rsidR="006E2458" w:rsidRPr="002123CF" w:rsidRDefault="006E2458" w:rsidP="0019337E">
            <w:pPr>
              <w:pStyle w:val="ProductList-Body"/>
              <w:jc w:val="center"/>
              <w:rPr>
                <w:rFonts w:ascii="Segoe UI" w:hAnsi="Segoe UI"/>
                <w:color w:val="000000" w:themeColor="text1"/>
                <w:szCs w:val="18"/>
              </w:rPr>
            </w:pPr>
            <w:r>
              <w:rPr>
                <w:rFonts w:ascii="Segoe UI" w:hAnsi="Segoe UI"/>
                <w:color w:val="000000" w:themeColor="text1"/>
                <w:szCs w:val="18"/>
              </w:rPr>
              <w:t>55</w:t>
            </w:r>
          </w:p>
        </w:tc>
      </w:tr>
      <w:tr w:rsidR="006E2458" w:rsidRPr="005B13F2" w:rsidTr="0019337E">
        <w:tc>
          <w:tcPr>
            <w:tcW w:w="3198" w:type="dxa"/>
            <w:vAlign w:val="center"/>
          </w:tcPr>
          <w:p w:rsidR="006E2458" w:rsidRPr="002123CF" w:rsidRDefault="006E2458" w:rsidP="0019337E">
            <w:pPr>
              <w:pStyle w:val="ProductList-Body"/>
              <w:rPr>
                <w:rFonts w:ascii="Segoe UI" w:hAnsi="Segoe UI"/>
                <w:color w:val="000000" w:themeColor="text1"/>
                <w:szCs w:val="18"/>
              </w:rPr>
            </w:pPr>
            <w:r>
              <w:rPr>
                <w:rFonts w:ascii="Segoe UI" w:hAnsi="Segoe UI"/>
                <w:color w:val="000000" w:themeColor="text1"/>
                <w:szCs w:val="18"/>
              </w:rPr>
              <w:t>30 000 – 49 999</w:t>
            </w:r>
          </w:p>
        </w:tc>
        <w:tc>
          <w:tcPr>
            <w:tcW w:w="2382" w:type="dxa"/>
            <w:vAlign w:val="center"/>
          </w:tcPr>
          <w:p w:rsidR="006E2458" w:rsidRPr="002123CF" w:rsidRDefault="006E2458" w:rsidP="0019337E">
            <w:pPr>
              <w:pStyle w:val="ProductList-Body"/>
              <w:jc w:val="center"/>
              <w:rPr>
                <w:rFonts w:ascii="Segoe UI" w:hAnsi="Segoe UI"/>
                <w:color w:val="000000" w:themeColor="text1"/>
                <w:szCs w:val="18"/>
              </w:rPr>
            </w:pPr>
            <w:r>
              <w:rPr>
                <w:rFonts w:ascii="Segoe UI" w:hAnsi="Segoe UI"/>
                <w:color w:val="000000" w:themeColor="text1"/>
                <w:szCs w:val="18"/>
              </w:rPr>
              <w:t>160</w:t>
            </w:r>
          </w:p>
        </w:tc>
        <w:tc>
          <w:tcPr>
            <w:tcW w:w="1890" w:type="dxa"/>
            <w:vAlign w:val="center"/>
          </w:tcPr>
          <w:p w:rsidR="006E2458" w:rsidRPr="002123CF" w:rsidRDefault="006E2458" w:rsidP="0019337E">
            <w:pPr>
              <w:pStyle w:val="ProductList-Body"/>
              <w:jc w:val="center"/>
              <w:rPr>
                <w:rFonts w:ascii="Segoe UI" w:hAnsi="Segoe UI"/>
                <w:color w:val="000000" w:themeColor="text1"/>
                <w:szCs w:val="18"/>
              </w:rPr>
            </w:pPr>
            <w:r>
              <w:rPr>
                <w:rFonts w:ascii="Segoe UI" w:hAnsi="Segoe UI"/>
                <w:color w:val="000000" w:themeColor="text1"/>
                <w:szCs w:val="18"/>
              </w:rPr>
              <w:t>80</w:t>
            </w:r>
          </w:p>
        </w:tc>
      </w:tr>
      <w:tr w:rsidR="006E2458" w:rsidRPr="005B13F2" w:rsidTr="0019337E">
        <w:tc>
          <w:tcPr>
            <w:tcW w:w="3198" w:type="dxa"/>
            <w:vAlign w:val="center"/>
          </w:tcPr>
          <w:p w:rsidR="006E2458" w:rsidRPr="002123CF" w:rsidRDefault="006E2458" w:rsidP="0019337E">
            <w:pPr>
              <w:pStyle w:val="ProductList-Body"/>
              <w:tabs>
                <w:tab w:val="clear" w:pos="158"/>
                <w:tab w:val="left" w:pos="162"/>
              </w:tabs>
              <w:rPr>
                <w:rFonts w:ascii="Segoe UI" w:hAnsi="Segoe UI"/>
                <w:color w:val="000000" w:themeColor="text1"/>
                <w:szCs w:val="18"/>
              </w:rPr>
            </w:pPr>
            <w:r>
              <w:rPr>
                <w:rFonts w:ascii="Segoe UI" w:hAnsi="Segoe UI"/>
                <w:color w:val="000000" w:themeColor="text1"/>
                <w:szCs w:val="18"/>
              </w:rPr>
              <w:t>50 000 – 99 999</w:t>
            </w:r>
          </w:p>
        </w:tc>
        <w:tc>
          <w:tcPr>
            <w:tcW w:w="2382" w:type="dxa"/>
            <w:vAlign w:val="center"/>
          </w:tcPr>
          <w:p w:rsidR="006E2458" w:rsidRPr="002123CF" w:rsidRDefault="006E2458" w:rsidP="0019337E">
            <w:pPr>
              <w:pStyle w:val="ProductList-Body"/>
              <w:jc w:val="center"/>
              <w:rPr>
                <w:rFonts w:ascii="Segoe UI" w:hAnsi="Segoe UI"/>
                <w:color w:val="000000" w:themeColor="text1"/>
                <w:szCs w:val="18"/>
              </w:rPr>
            </w:pPr>
            <w:r>
              <w:rPr>
                <w:rFonts w:ascii="Segoe UI" w:hAnsi="Segoe UI"/>
                <w:color w:val="000000" w:themeColor="text1"/>
                <w:szCs w:val="18"/>
              </w:rPr>
              <w:t>250</w:t>
            </w:r>
          </w:p>
        </w:tc>
        <w:tc>
          <w:tcPr>
            <w:tcW w:w="1890" w:type="dxa"/>
            <w:vAlign w:val="center"/>
          </w:tcPr>
          <w:p w:rsidR="006E2458" w:rsidRPr="002123CF" w:rsidRDefault="006E2458" w:rsidP="0019337E">
            <w:pPr>
              <w:pStyle w:val="ProductList-Body"/>
              <w:jc w:val="center"/>
              <w:rPr>
                <w:rFonts w:ascii="Segoe UI" w:hAnsi="Segoe UI"/>
                <w:color w:val="000000" w:themeColor="text1"/>
                <w:szCs w:val="18"/>
              </w:rPr>
            </w:pPr>
            <w:r>
              <w:rPr>
                <w:rFonts w:ascii="Segoe UI" w:hAnsi="Segoe UI"/>
                <w:color w:val="000000" w:themeColor="text1"/>
                <w:szCs w:val="18"/>
              </w:rPr>
              <w:t>125</w:t>
            </w:r>
          </w:p>
        </w:tc>
      </w:tr>
      <w:tr w:rsidR="006E2458" w:rsidRPr="005B13F2" w:rsidTr="0019337E">
        <w:tc>
          <w:tcPr>
            <w:tcW w:w="3198" w:type="dxa"/>
            <w:vAlign w:val="center"/>
          </w:tcPr>
          <w:p w:rsidR="006E2458" w:rsidRPr="002123CF" w:rsidRDefault="006E2458" w:rsidP="0019337E">
            <w:pPr>
              <w:pStyle w:val="ProductList-Body"/>
              <w:rPr>
                <w:rFonts w:ascii="Segoe UI" w:hAnsi="Segoe UI"/>
                <w:color w:val="000000" w:themeColor="text1"/>
                <w:szCs w:val="18"/>
              </w:rPr>
            </w:pPr>
            <w:r>
              <w:rPr>
                <w:rFonts w:ascii="Segoe UI" w:hAnsi="Segoe UI"/>
                <w:color w:val="000000" w:themeColor="text1"/>
                <w:szCs w:val="18"/>
              </w:rPr>
              <w:t>100 000 – 199 999</w:t>
            </w:r>
          </w:p>
        </w:tc>
        <w:tc>
          <w:tcPr>
            <w:tcW w:w="2382" w:type="dxa"/>
            <w:vAlign w:val="center"/>
          </w:tcPr>
          <w:p w:rsidR="006E2458" w:rsidRPr="002123CF" w:rsidRDefault="006E2458" w:rsidP="0019337E">
            <w:pPr>
              <w:pStyle w:val="ProductList-Body"/>
              <w:jc w:val="center"/>
              <w:rPr>
                <w:rFonts w:ascii="Segoe UI" w:hAnsi="Segoe UI"/>
                <w:color w:val="000000" w:themeColor="text1"/>
                <w:szCs w:val="18"/>
              </w:rPr>
            </w:pPr>
            <w:r>
              <w:rPr>
                <w:rFonts w:ascii="Segoe UI" w:hAnsi="Segoe UI"/>
                <w:color w:val="000000" w:themeColor="text1"/>
                <w:szCs w:val="18"/>
              </w:rPr>
              <w:t>400</w:t>
            </w:r>
          </w:p>
        </w:tc>
        <w:tc>
          <w:tcPr>
            <w:tcW w:w="1890" w:type="dxa"/>
            <w:vAlign w:val="center"/>
          </w:tcPr>
          <w:p w:rsidR="006E2458" w:rsidRPr="002123CF" w:rsidRDefault="006E2458" w:rsidP="0019337E">
            <w:pPr>
              <w:pStyle w:val="ProductList-Body"/>
              <w:jc w:val="center"/>
              <w:rPr>
                <w:rFonts w:ascii="Segoe UI" w:hAnsi="Segoe UI"/>
                <w:color w:val="000000" w:themeColor="text1"/>
                <w:szCs w:val="18"/>
              </w:rPr>
            </w:pPr>
            <w:r>
              <w:rPr>
                <w:rFonts w:ascii="Segoe UI" w:hAnsi="Segoe UI"/>
                <w:color w:val="000000" w:themeColor="text1"/>
                <w:szCs w:val="18"/>
              </w:rPr>
              <w:t>200</w:t>
            </w:r>
          </w:p>
        </w:tc>
      </w:tr>
      <w:tr w:rsidR="006E2458" w:rsidRPr="005B13F2" w:rsidTr="0019337E">
        <w:tc>
          <w:tcPr>
            <w:tcW w:w="3198" w:type="dxa"/>
            <w:vAlign w:val="center"/>
          </w:tcPr>
          <w:p w:rsidR="006E2458" w:rsidRPr="002123CF" w:rsidRDefault="006E2458" w:rsidP="0019337E">
            <w:pPr>
              <w:pStyle w:val="ProductList-Body"/>
              <w:rPr>
                <w:rFonts w:ascii="Segoe UI" w:hAnsi="Segoe UI"/>
                <w:color w:val="000000" w:themeColor="text1"/>
                <w:szCs w:val="18"/>
              </w:rPr>
            </w:pPr>
            <w:r>
              <w:rPr>
                <w:rFonts w:ascii="Segoe UI" w:hAnsi="Segoe UI"/>
                <w:color w:val="000000" w:themeColor="text1"/>
                <w:szCs w:val="18"/>
              </w:rPr>
              <w:t>200 000 – 399 999</w:t>
            </w:r>
          </w:p>
        </w:tc>
        <w:tc>
          <w:tcPr>
            <w:tcW w:w="2382" w:type="dxa"/>
            <w:vAlign w:val="center"/>
          </w:tcPr>
          <w:p w:rsidR="006E2458" w:rsidRPr="002123CF" w:rsidRDefault="006E2458" w:rsidP="0019337E">
            <w:pPr>
              <w:pStyle w:val="ProductList-Body"/>
              <w:jc w:val="center"/>
              <w:rPr>
                <w:rFonts w:ascii="Segoe UI" w:hAnsi="Segoe UI"/>
                <w:color w:val="000000" w:themeColor="text1"/>
                <w:szCs w:val="18"/>
              </w:rPr>
            </w:pPr>
            <w:r>
              <w:rPr>
                <w:rFonts w:ascii="Segoe UI" w:hAnsi="Segoe UI"/>
                <w:color w:val="000000" w:themeColor="text1"/>
                <w:szCs w:val="18"/>
              </w:rPr>
              <w:t>600</w:t>
            </w:r>
          </w:p>
        </w:tc>
        <w:tc>
          <w:tcPr>
            <w:tcW w:w="1890" w:type="dxa"/>
            <w:vAlign w:val="center"/>
          </w:tcPr>
          <w:p w:rsidR="006E2458" w:rsidRPr="002123CF" w:rsidRDefault="006E2458" w:rsidP="0019337E">
            <w:pPr>
              <w:pStyle w:val="ProductList-Body"/>
              <w:jc w:val="center"/>
              <w:rPr>
                <w:rFonts w:ascii="Segoe UI" w:hAnsi="Segoe UI"/>
                <w:color w:val="000000" w:themeColor="text1"/>
                <w:szCs w:val="18"/>
              </w:rPr>
            </w:pPr>
            <w:r>
              <w:rPr>
                <w:rFonts w:ascii="Segoe UI" w:hAnsi="Segoe UI"/>
                <w:color w:val="000000" w:themeColor="text1"/>
                <w:szCs w:val="18"/>
              </w:rPr>
              <w:t>300</w:t>
            </w:r>
          </w:p>
        </w:tc>
      </w:tr>
      <w:tr w:rsidR="006E2458" w:rsidRPr="005B13F2" w:rsidTr="0019337E">
        <w:tc>
          <w:tcPr>
            <w:tcW w:w="3198" w:type="dxa"/>
            <w:vAlign w:val="center"/>
          </w:tcPr>
          <w:p w:rsidR="006E2458" w:rsidRPr="002123CF" w:rsidRDefault="006E2458" w:rsidP="0019337E">
            <w:pPr>
              <w:pStyle w:val="ProductList-Body"/>
              <w:rPr>
                <w:rFonts w:ascii="Segoe UI" w:hAnsi="Segoe UI"/>
                <w:color w:val="000000" w:themeColor="text1"/>
                <w:szCs w:val="18"/>
              </w:rPr>
            </w:pPr>
            <w:r>
              <w:rPr>
                <w:rFonts w:ascii="Segoe UI" w:hAnsi="Segoe UI"/>
                <w:color w:val="000000" w:themeColor="text1"/>
                <w:szCs w:val="18"/>
              </w:rPr>
              <w:t>400 000 – 599 999</w:t>
            </w:r>
          </w:p>
        </w:tc>
        <w:tc>
          <w:tcPr>
            <w:tcW w:w="2382" w:type="dxa"/>
            <w:vAlign w:val="center"/>
          </w:tcPr>
          <w:p w:rsidR="006E2458" w:rsidRPr="002123CF" w:rsidRDefault="006E2458" w:rsidP="0019337E">
            <w:pPr>
              <w:pStyle w:val="ProductList-Body"/>
              <w:jc w:val="center"/>
              <w:rPr>
                <w:rFonts w:ascii="Segoe UI" w:hAnsi="Segoe UI"/>
                <w:color w:val="000000" w:themeColor="text1"/>
                <w:szCs w:val="18"/>
              </w:rPr>
            </w:pPr>
            <w:r>
              <w:rPr>
                <w:rFonts w:ascii="Segoe UI" w:hAnsi="Segoe UI"/>
                <w:color w:val="000000" w:themeColor="text1"/>
                <w:szCs w:val="18"/>
              </w:rPr>
              <w:t>800</w:t>
            </w:r>
          </w:p>
        </w:tc>
        <w:tc>
          <w:tcPr>
            <w:tcW w:w="1890" w:type="dxa"/>
            <w:vAlign w:val="center"/>
          </w:tcPr>
          <w:p w:rsidR="006E2458" w:rsidRPr="002123CF" w:rsidRDefault="006E2458" w:rsidP="0019337E">
            <w:pPr>
              <w:pStyle w:val="ProductList-Body"/>
              <w:jc w:val="center"/>
              <w:rPr>
                <w:rFonts w:ascii="Segoe UI" w:hAnsi="Segoe UI"/>
                <w:color w:val="000000" w:themeColor="text1"/>
                <w:szCs w:val="18"/>
              </w:rPr>
            </w:pPr>
            <w:r>
              <w:rPr>
                <w:rFonts w:ascii="Segoe UI" w:hAnsi="Segoe UI"/>
                <w:color w:val="000000" w:themeColor="text1"/>
                <w:szCs w:val="18"/>
              </w:rPr>
              <w:t>400</w:t>
            </w:r>
          </w:p>
        </w:tc>
      </w:tr>
      <w:tr w:rsidR="006E2458" w:rsidRPr="005B13F2" w:rsidTr="0019337E">
        <w:tc>
          <w:tcPr>
            <w:tcW w:w="3198" w:type="dxa"/>
            <w:vAlign w:val="center"/>
          </w:tcPr>
          <w:p w:rsidR="006E2458" w:rsidRPr="002123CF" w:rsidRDefault="006E2458" w:rsidP="0019337E">
            <w:pPr>
              <w:pStyle w:val="ProductList-Body"/>
              <w:rPr>
                <w:rFonts w:ascii="Segoe UI" w:hAnsi="Segoe UI"/>
                <w:color w:val="000000" w:themeColor="text1"/>
                <w:szCs w:val="18"/>
              </w:rPr>
            </w:pPr>
            <w:r>
              <w:rPr>
                <w:rFonts w:ascii="Segoe UI" w:hAnsi="Segoe UI"/>
                <w:color w:val="000000" w:themeColor="text1"/>
                <w:szCs w:val="18"/>
              </w:rPr>
              <w:t>600 000 +</w:t>
            </w:r>
          </w:p>
        </w:tc>
        <w:tc>
          <w:tcPr>
            <w:tcW w:w="2382" w:type="dxa"/>
            <w:vAlign w:val="center"/>
          </w:tcPr>
          <w:p w:rsidR="006E2458" w:rsidRPr="002123CF" w:rsidRDefault="006E2458" w:rsidP="0019337E">
            <w:pPr>
              <w:pStyle w:val="ProductList-Body"/>
              <w:jc w:val="center"/>
              <w:rPr>
                <w:rFonts w:ascii="Segoe UI" w:hAnsi="Segoe UI"/>
                <w:color w:val="000000" w:themeColor="text1"/>
                <w:szCs w:val="18"/>
              </w:rPr>
            </w:pPr>
            <w:r>
              <w:rPr>
                <w:rFonts w:ascii="Segoe UI" w:hAnsi="Segoe UI"/>
                <w:color w:val="000000" w:themeColor="text1"/>
                <w:szCs w:val="18"/>
              </w:rPr>
              <w:t>1 400</w:t>
            </w:r>
          </w:p>
        </w:tc>
        <w:tc>
          <w:tcPr>
            <w:tcW w:w="1890" w:type="dxa"/>
            <w:vAlign w:val="center"/>
          </w:tcPr>
          <w:p w:rsidR="006E2458" w:rsidRPr="002123CF" w:rsidRDefault="006E2458" w:rsidP="0019337E">
            <w:pPr>
              <w:pStyle w:val="ProductList-Body"/>
              <w:jc w:val="center"/>
              <w:rPr>
                <w:rFonts w:ascii="Segoe UI" w:hAnsi="Segoe UI"/>
                <w:color w:val="000000" w:themeColor="text1"/>
                <w:szCs w:val="18"/>
              </w:rPr>
            </w:pPr>
            <w:r>
              <w:rPr>
                <w:rFonts w:ascii="Segoe UI" w:hAnsi="Segoe UI"/>
                <w:color w:val="000000" w:themeColor="text1"/>
                <w:szCs w:val="18"/>
              </w:rPr>
              <w:t>700</w:t>
            </w:r>
          </w:p>
        </w:tc>
      </w:tr>
    </w:tbl>
    <w:p w:rsidR="006E2458" w:rsidRPr="00483B32" w:rsidRDefault="006E2458" w:rsidP="006E2458">
      <w:pPr>
        <w:pStyle w:val="Thirdheading"/>
        <w:rPr>
          <w:rFonts w:eastAsiaTheme="majorEastAsia"/>
        </w:rPr>
      </w:pPr>
      <w:r>
        <w:rPr>
          <w:rFonts w:eastAsiaTheme="majorEastAsia" w:cstheme="majorBidi"/>
          <w:b/>
          <w:bCs/>
          <w:color w:val="FFC000" w:themeColor="accent4"/>
          <w:sz w:val="18"/>
          <w:szCs w:val="18"/>
        </w:rPr>
        <w:t>Utilisation des Bons de Formation</w:t>
      </w:r>
    </w:p>
    <w:p w:rsidR="006E2458" w:rsidRPr="00483B32" w:rsidRDefault="006E2458" w:rsidP="006E2458">
      <w:pPr>
        <w:pStyle w:val="BodyText"/>
        <w:numPr>
          <w:ilvl w:val="0"/>
          <w:numId w:val="16"/>
        </w:numPr>
        <w:spacing w:after="0"/>
      </w:pPr>
      <w:r>
        <w:rPr>
          <w:color w:val="000000" w:themeColor="text1"/>
          <w:szCs w:val="18"/>
        </w:rPr>
        <w:t>L</w:t>
      </w:r>
      <w:r>
        <w:t>es cours ne sont pas tous disponibles dans toutes les langues locales.</w:t>
      </w:r>
    </w:p>
    <w:p w:rsidR="006E2458" w:rsidRPr="00483B32" w:rsidRDefault="006E2458" w:rsidP="006E2458">
      <w:pPr>
        <w:pStyle w:val="BodyText"/>
        <w:numPr>
          <w:ilvl w:val="0"/>
          <w:numId w:val="16"/>
        </w:numPr>
        <w:spacing w:after="0"/>
      </w:pPr>
      <w:r>
        <w:t>Les politiques et conditions d’utilisation définies par le Partenaire de Formation Microsoft s’appliquent.</w:t>
      </w:r>
    </w:p>
    <w:p w:rsidR="006E2458" w:rsidRPr="00483B32" w:rsidRDefault="006E2458" w:rsidP="006E2458">
      <w:pPr>
        <w:pStyle w:val="BodyText"/>
        <w:numPr>
          <w:ilvl w:val="0"/>
          <w:numId w:val="16"/>
        </w:numPr>
        <w:spacing w:after="0"/>
      </w:pPr>
      <w:r>
        <w:t>Les Responsables des Services peuvent révoquer un bon qui a été attribué jusqu’à la date d’annulation du cours fixée par le Partenaire de Formation Microsoft.</w:t>
      </w:r>
    </w:p>
    <w:p w:rsidR="006E2458" w:rsidRPr="00483B32" w:rsidRDefault="006E2458" w:rsidP="006E2458">
      <w:pPr>
        <w:pStyle w:val="BodyText"/>
        <w:numPr>
          <w:ilvl w:val="0"/>
          <w:numId w:val="16"/>
        </w:numPr>
        <w:spacing w:after="0"/>
      </w:pPr>
      <w:r>
        <w:t>Tout jour de cours non couvert par un bon devra être payé par la personne qui a reçu la formation.</w:t>
      </w:r>
    </w:p>
    <w:p w:rsidR="006E2458" w:rsidRPr="00483B32" w:rsidRDefault="006E2458" w:rsidP="006E2458">
      <w:pPr>
        <w:pStyle w:val="BodyText"/>
        <w:numPr>
          <w:ilvl w:val="0"/>
          <w:numId w:val="16"/>
        </w:numPr>
        <w:spacing w:after="0"/>
      </w:pPr>
      <w:r>
        <w:t>Tout jour associé à un bon et qui dépasse le nombre de jours possibles pour un cours donné sera réintégré dans le portefeuille de jours disponibles et réattribué par le Responsable des Services.</w:t>
      </w:r>
    </w:p>
    <w:p w:rsidR="006E2458" w:rsidRPr="00483B32" w:rsidRDefault="006E2458" w:rsidP="006E2458">
      <w:pPr>
        <w:pStyle w:val="BodyText"/>
        <w:numPr>
          <w:ilvl w:val="0"/>
          <w:numId w:val="16"/>
        </w:numPr>
        <w:spacing w:after="0"/>
      </w:pPr>
      <w:r>
        <w:t>Les cours accélérés nécessitent un nombre de jours associés à des bons équivalent au nombre de jours de cours fixé pour un cours de durée normale.</w:t>
      </w:r>
    </w:p>
    <w:p w:rsidR="006E2458" w:rsidRPr="00483B32" w:rsidRDefault="006E2458" w:rsidP="006E2458">
      <w:pPr>
        <w:pStyle w:val="BodyText"/>
        <w:numPr>
          <w:ilvl w:val="0"/>
          <w:numId w:val="16"/>
        </w:numPr>
        <w:spacing w:after="0"/>
      </w:pPr>
      <w:r>
        <w:t xml:space="preserve">Un bon est convertible uniquement en jour de formation dirigée par des instructeurs, dispensée par les Partenaires de Formation Microsoft éligibles, et sur la base des cours approuvés. Les cours personnalisés (autres que les cours accélérés approuvés ou les cours personnalisés compilés à partir des cours approuvés) ne peuvent pas être associés à ces bons. Pour plus d’informations sur les cours approuvés, consultez le site </w:t>
      </w:r>
      <w:hyperlink r:id="rId22" w:history="1">
        <w:r>
          <w:rPr>
            <w:rStyle w:val="Hyperlink"/>
            <w:szCs w:val="18"/>
          </w:rPr>
          <w:t>http://www.microsoft.com/learning/sa/training.mspx</w:t>
        </w:r>
      </w:hyperlink>
      <w:r>
        <w:rPr>
          <w:color w:val="000000" w:themeColor="text1"/>
          <w:szCs w:val="18"/>
        </w:rPr>
        <w:t>.</w:t>
      </w:r>
    </w:p>
    <w:p w:rsidR="006E2458" w:rsidRPr="00483B32" w:rsidRDefault="006E2458" w:rsidP="006E2458">
      <w:pPr>
        <w:pStyle w:val="BodyText"/>
        <w:numPr>
          <w:ilvl w:val="0"/>
          <w:numId w:val="16"/>
        </w:numPr>
        <w:spacing w:after="0"/>
      </w:pPr>
      <w:r>
        <w:t>Les bons ne peuvent pas être utilisés pour couvrir tout frais lié à une absence de votre part à un cours réservé. Les frais liés à une « Absence » sont à votre charge.</w:t>
      </w:r>
    </w:p>
    <w:p w:rsidR="006E2458" w:rsidRPr="00483B32" w:rsidRDefault="006E2458" w:rsidP="006E2458">
      <w:pPr>
        <w:pStyle w:val="BodyText"/>
        <w:numPr>
          <w:ilvl w:val="0"/>
          <w:numId w:val="16"/>
        </w:numPr>
        <w:spacing w:after="0"/>
      </w:pPr>
      <w:r>
        <w:t>Les bons peuvent être convertis uniquement par une personne autorisée par vous à les utiliser.</w:t>
      </w:r>
    </w:p>
    <w:p w:rsidR="006E2458" w:rsidRPr="00483B32" w:rsidRDefault="006E2458" w:rsidP="006E2458">
      <w:pPr>
        <w:pStyle w:val="BodyText"/>
        <w:numPr>
          <w:ilvl w:val="0"/>
          <w:numId w:val="16"/>
        </w:numPr>
        <w:spacing w:after="0"/>
      </w:pPr>
      <w:r>
        <w:t>Les bons ne peuvent pas être échangés contre de l’argent comptant, des sommes d’argent ou d’autres valeurs.</w:t>
      </w:r>
    </w:p>
    <w:p w:rsidR="006E2458" w:rsidRPr="00483B32" w:rsidRDefault="006E2458" w:rsidP="006E2458">
      <w:pPr>
        <w:pStyle w:val="BodyText"/>
        <w:numPr>
          <w:ilvl w:val="0"/>
          <w:numId w:val="16"/>
        </w:numPr>
        <w:spacing w:after="0"/>
      </w:pPr>
      <w:r>
        <w:t>Les bons doivent être attribués pendant la durée de la SA.</w:t>
      </w:r>
    </w:p>
    <w:p w:rsidR="006E2458" w:rsidRPr="00483B32" w:rsidRDefault="006E2458" w:rsidP="006E2458">
      <w:pPr>
        <w:pStyle w:val="BodyText"/>
        <w:numPr>
          <w:ilvl w:val="0"/>
          <w:numId w:val="16"/>
        </w:numPr>
        <w:spacing w:after="0"/>
      </w:pPr>
      <w:r>
        <w:t>Les bons expirent cent quatre-vingt (180) jours après leur attribution, indépendamment de la date d’expiration de la SA. Tous les services doivent être fournis (formations dispensées et bons convertis) avant leur expiration. Les bons qui expirent avant l’expiration de la SA seront réintégrés au portefeuille de jours de Bons de Formation disponibles.</w:t>
      </w:r>
    </w:p>
    <w:p w:rsidR="006E2458" w:rsidRPr="00483B32" w:rsidRDefault="006E2458" w:rsidP="006E2458">
      <w:pPr>
        <w:pStyle w:val="BodyText"/>
        <w:numPr>
          <w:ilvl w:val="0"/>
          <w:numId w:val="16"/>
        </w:numPr>
        <w:spacing w:after="0"/>
      </w:pPr>
      <w:r>
        <w:t>Hormis pour les Sessions de Démonstration, un jour Bon de Formation est équivalent à un jour de session de formation. Pour les Sessions de Démonstration, un jour Bon de Formation est équivalent à une Session de Démonstration.</w:t>
      </w:r>
    </w:p>
    <w:p w:rsidR="006E2458" w:rsidRPr="00483B32" w:rsidRDefault="006E2458" w:rsidP="006E2458">
      <w:pPr>
        <w:pStyle w:val="BodyText"/>
        <w:numPr>
          <w:ilvl w:val="0"/>
          <w:numId w:val="16"/>
        </w:numPr>
        <w:spacing w:after="0"/>
      </w:pPr>
      <w:r>
        <w:t>Vous devez convertir vos Bons de Formation en quatre Sessions de Démonstration ou plus.</w:t>
      </w:r>
    </w:p>
    <w:p w:rsidR="006E2458" w:rsidRPr="00483B32" w:rsidRDefault="006E2458" w:rsidP="006E2458">
      <w:pPr>
        <w:pStyle w:val="BodyText"/>
        <w:numPr>
          <w:ilvl w:val="0"/>
          <w:numId w:val="16"/>
        </w:numPr>
        <w:spacing w:after="0"/>
      </w:pPr>
      <w:r>
        <w:t>Les Bons de Formation convertis en Sessions de Démonstration, contrairement à ceux convertis en d’autres sessions de formation, ne sont pas nominatifs.</w:t>
      </w:r>
    </w:p>
    <w:p w:rsidR="006E2458" w:rsidRPr="00483B32" w:rsidRDefault="006E2458" w:rsidP="006E2458">
      <w:pPr>
        <w:pStyle w:val="BodyText"/>
        <w:numPr>
          <w:ilvl w:val="0"/>
          <w:numId w:val="16"/>
        </w:numPr>
        <w:spacing w:after="0"/>
      </w:pPr>
      <w:r>
        <w:t>Les bons peuvent être utilisés pour réserver une formation auprès d’un seul Partenaire de Formation Microsoft éligible à la fois.</w:t>
      </w:r>
    </w:p>
    <w:p w:rsidR="006E2458" w:rsidRPr="00483B32" w:rsidRDefault="006E2458" w:rsidP="006E2458">
      <w:pPr>
        <w:pStyle w:val="BodyText"/>
        <w:numPr>
          <w:ilvl w:val="0"/>
          <w:numId w:val="16"/>
        </w:numPr>
        <w:spacing w:after="0"/>
      </w:pPr>
      <w:r>
        <w:t>Le Partenaire de Formation Microsoft se réserve le droit d’annuler un cours conformément aux règles d’annulation appliquées dans le pays.</w:t>
      </w:r>
    </w:p>
    <w:p w:rsidR="006E2458" w:rsidRPr="00483B32" w:rsidRDefault="006E2458" w:rsidP="006E2458">
      <w:pPr>
        <w:pStyle w:val="BodyText"/>
        <w:numPr>
          <w:ilvl w:val="0"/>
          <w:numId w:val="16"/>
        </w:numPr>
        <w:spacing w:after="0"/>
      </w:pPr>
      <w:r>
        <w:lastRenderedPageBreak/>
        <w:t>Les bons ne sont valables qu’auprès des Partenaires de Formation Microsoft participants. Ils peuvent être utilisés auprès des Partenaires de Formation Microsoft éligibles dans le monde entier.</w:t>
      </w:r>
    </w:p>
    <w:p w:rsidR="006E2458" w:rsidRPr="00483B32" w:rsidRDefault="006E2458" w:rsidP="006E2458">
      <w:pPr>
        <w:pStyle w:val="BodyText"/>
        <w:numPr>
          <w:ilvl w:val="0"/>
          <w:numId w:val="16"/>
        </w:numPr>
        <w:spacing w:after="0"/>
      </w:pPr>
      <w:r>
        <w:t>Vous devez fournir au Partenaire de Formation Microsoft les informations relatives au bon que vous souhaitez convertir en cours de formation avant la fin dudit cours, afin que ce bon puisse être utilisé pour payer le cours.</w:t>
      </w:r>
    </w:p>
    <w:p w:rsidR="006E2458" w:rsidRPr="00483B32" w:rsidRDefault="006E2458" w:rsidP="006E2458">
      <w:pPr>
        <w:pStyle w:val="BodyText"/>
        <w:numPr>
          <w:ilvl w:val="0"/>
          <w:numId w:val="16"/>
        </w:numPr>
        <w:spacing w:after="0"/>
      </w:pPr>
      <w:r>
        <w:t>Microsoft n’est pas responsable de la perte, du vol, du mauvais placement ou de la mauvaise utilisation des bons.</w:t>
      </w:r>
    </w:p>
    <w:p w:rsidR="006E2458" w:rsidRPr="00483B32" w:rsidRDefault="006E2458" w:rsidP="006E2458">
      <w:pPr>
        <w:pStyle w:val="BodyText"/>
        <w:numPr>
          <w:ilvl w:val="0"/>
          <w:numId w:val="16"/>
        </w:numPr>
        <w:spacing w:after="0"/>
      </w:pPr>
      <w:r>
        <w:t>Une réduction du nombre de licences éligibles couvertes par une SA, résultant de retours ou autres ajustements de facturation, si autorisés, peut donner lieu à une réduction du nombre de Bons de Formation auxquels vous pouvez prétendre.</w:t>
      </w:r>
    </w:p>
    <w:p w:rsidR="006E2458" w:rsidRPr="00483B32" w:rsidRDefault="006E2458" w:rsidP="006E2458">
      <w:pPr>
        <w:pStyle w:val="BodyText"/>
        <w:numPr>
          <w:ilvl w:val="0"/>
          <w:numId w:val="16"/>
        </w:numPr>
        <w:spacing w:after="0"/>
      </w:pPr>
      <w:r>
        <w:t>Les bons peuvent être convertis uniquement par l’établissement éligible à l’avantage.</w:t>
      </w:r>
    </w:p>
    <w:p w:rsidR="006E2458" w:rsidRPr="00483B32" w:rsidRDefault="006E2458" w:rsidP="006E2458">
      <w:pPr>
        <w:pStyle w:val="BodyText"/>
        <w:numPr>
          <w:ilvl w:val="0"/>
          <w:numId w:val="16"/>
        </w:numPr>
        <w:spacing w:after="0"/>
      </w:pPr>
      <w:r>
        <w:t>Les services fournis en échange des bons le sont en vertu d’un contrat conclu entre vous et le PSP ; Microsoft n’est pas responsable des travaux effectués par le PSP ou des manquements de ce dernier en ce qui concerne les services.</w:t>
      </w:r>
    </w:p>
    <w:p w:rsidR="006E2458" w:rsidRPr="00483B32" w:rsidRDefault="006E2458" w:rsidP="006E2458">
      <w:pPr>
        <w:pStyle w:val="BodyText"/>
        <w:numPr>
          <w:ilvl w:val="0"/>
          <w:numId w:val="16"/>
        </w:numPr>
        <w:spacing w:after="0"/>
      </w:pPr>
      <w:r>
        <w:t>Le tableau ci-dessus répertorie le nombre de jours de Formation disponibles pour l’achat d’une SA pour une durée de trois (3) ans par un Compte d’Achats. Si la durée de la SA est inférieure à 3 ans, le nombre de jours de Formation dont le Compte d’Achats pourra bénéficier sera calculé au prorata.</w:t>
      </w:r>
    </w:p>
    <w:p w:rsidR="006E2458" w:rsidRPr="00483B32" w:rsidRDefault="006E2458" w:rsidP="006E2458">
      <w:pPr>
        <w:pStyle w:val="Heading2"/>
      </w:pPr>
      <w:bookmarkStart w:id="44" w:name="_24x7_Problem_Resolution_1"/>
      <w:bookmarkStart w:id="45" w:name="_Toc403380305"/>
      <w:bookmarkStart w:id="46" w:name="_Toc403985023"/>
      <w:bookmarkStart w:id="47" w:name="_Toc428272533"/>
      <w:bookmarkEnd w:id="44"/>
      <w:r>
        <w:t>Support Technique 24h/24, 7 jours/7</w:t>
      </w:r>
      <w:bookmarkEnd w:id="45"/>
      <w:bookmarkEnd w:id="46"/>
      <w:bookmarkEnd w:id="47"/>
    </w:p>
    <w:p w:rsidR="006E2458" w:rsidRPr="00483B32" w:rsidRDefault="006E2458" w:rsidP="006E2458">
      <w:r>
        <w:rPr>
          <w:color w:val="000000" w:themeColor="text1"/>
          <w:szCs w:val="18"/>
        </w:rPr>
        <w:t>Si vous disposez d’une SA, vos achats peuvent être couverts par le Support Technique 24h/24, 7 jours/7. Le Support Technique 24h/24, 7 jours/7 propose une assistance pour la résolution de problèmes spécifiques rencontrés lors de l’utilisation de Produits Microsoft et dont on peut raisonnablement penser qu’ils sont causés par des Produits Microsoft. Microsoft déploiera des efforts raisonnables pour vous assister en cas de demande de support, de façon conforme aux politiques du Support Technique Microsoft. Microsoft se réserve le droit de refuser de traiter des demandes de services de support déraisonnables et pourra, occasionnellement, vous orienter vers des contrats de niveau de service supplémentaires pouvant impliquer des frais additionnels.</w:t>
      </w:r>
    </w:p>
    <w:p w:rsidR="006E2458" w:rsidRPr="00483B32" w:rsidRDefault="006E2458" w:rsidP="006E2458">
      <w:pPr>
        <w:spacing w:before="120"/>
      </w:pPr>
      <w:r>
        <w:rPr>
          <w:color w:val="000000" w:themeColor="text1"/>
          <w:szCs w:val="18"/>
        </w:rPr>
        <w:t>Microsoft pourra ajouter de nouveaux Produits à la Liste des Produits faisant l’objet d’un support ou interrompre le support pour des Produits existants. Il peut arriver que la mise en œuvre de Produits Microsoft ne puisse pas faire l’objet d’un support efficace. Dans ce cas, et dans le cadre de la fourniture des services de support, Microsoft vous l’indiquera. Si vous ne modifiez pas votre mise en œuvre afin qu’elle puisse faire l’objet d’un support efficace, dans un délai de trente (30) jours suivant la notification de Microsoft, Microsoft n’aura aucune obligation de fournir des services de support supplémentaires pour cette mise en œuvre. Toutefois, Microsoft continuera à fournir des services de support pour les autres mises en œuvre pouvant faire l’objet d’un support et couvertes par les présentes conditions générales.</w:t>
      </w:r>
    </w:p>
    <w:p w:rsidR="006E2458" w:rsidRPr="00483B32" w:rsidRDefault="006E2458" w:rsidP="006E2458">
      <w:pPr>
        <w:spacing w:before="120"/>
      </w:pPr>
      <w:r>
        <w:rPr>
          <w:color w:val="000000" w:themeColor="text1"/>
          <w:szCs w:val="18"/>
        </w:rPr>
        <w:t>Une demande de support assisté, également appelée incident, englobe une requête d’assistance unique et les efforts raisonnables nécessaires pour la résoudre. Une requête d’assistance unique est un problème qui ne peut pas être divisé en requêtes secondaires. Si un problème comporte des requêtes secondaires, chacune d’entre elles doit être considérée comme un incident distinct. Dans certains cas, nous pouvons vous proposer une modification du code logiciel du produit Microsoft disponible dans le commerce (un « Correctif ») afin de résoudre des problèmes critiques spécifiques, en réponse à une demande de support assisté. Les Correctifs sont destinés à résoudre vos problèmes spécifiques et ne sont pas soumis à des tests de régression. Sauf stipulation contraire dans le présent document, les Correctifs ne peuvent être distribués à des tiers non affiliés sans le consentement express écrit de Microsoft.</w:t>
      </w:r>
    </w:p>
    <w:p w:rsidR="006E2458" w:rsidRPr="0076672B" w:rsidRDefault="006E2458" w:rsidP="006E2458">
      <w:pPr>
        <w:spacing w:before="120" w:after="120"/>
        <w:rPr>
          <w:szCs w:val="18"/>
        </w:rPr>
      </w:pPr>
      <w:r w:rsidRPr="0076672B">
        <w:rPr>
          <w:color w:val="000000" w:themeColor="text1"/>
          <w:szCs w:val="18"/>
        </w:rPr>
        <w:t>Les produits disponibles par l’intermédiaire d’un programme de Licence en Volume et qui sont actuellement pris en charge par le Support Standard tel que stipulé dans la Politique de Support Microsoft sont éligibles au Support Technique 24h/24, 7 jours/7. L’éligibilité d’un Produit au support téléphonique est assujettie à la disponibilité de la SA pour ledit Produit. Pour les Produits pour lesquels l’option de Software Assurance n’est pas disponible pour le serveur mais l’est pour les CAL, les points correspondant aux CAL sont pris en compte pour des incidents concernant d’autres Produits éligibles tel que stipulé ci-après dans la section Incidents pris en charge par le support téléphonique. Reportez-vous à la section spécifique à ce Produit dans les Conditions applicables aux Produits pour connaître la politique des services et du support. Les versions antérieures des Produits actuellement pris en charge par le Support Standard que vous choisissez d’utiliser à la place de votre version sous licence actuelle sont également éligibles. L’Édition Developer de tous les serveurs, les produits HED et les Abonnements MSDN sont exclus.</w:t>
      </w:r>
    </w:p>
    <w:p w:rsidR="006E2458" w:rsidRPr="00483B32" w:rsidRDefault="006E2458" w:rsidP="006E2458">
      <w:r>
        <w:rPr>
          <w:color w:val="000000" w:themeColor="text1"/>
          <w:szCs w:val="18"/>
        </w:rPr>
        <w:t>Le Support Technique 24h/24, 7 jours/7 vous attribue un nombre donné d’incidents et des interlocuteurs désignés pour communiquer les incidents, tel que décrit ci-après. Le support peut être sollicité en communiquant les incidents par voie électronique, par le Web ou par téléphone. Des dispositions différentes s’appliquent selon le moyen de transmission utilisé.</w:t>
      </w:r>
    </w:p>
    <w:p w:rsidR="006E2458" w:rsidRPr="00483B32" w:rsidRDefault="006E2458" w:rsidP="006E2458">
      <w:pPr>
        <w:pStyle w:val="Thirdheading"/>
      </w:pPr>
      <w:r>
        <w:rPr>
          <w:b/>
        </w:rPr>
        <w:t>Incidents pris en charge par le support téléphonique</w:t>
      </w:r>
    </w:p>
    <w:p w:rsidR="006E2458" w:rsidRPr="00483B32" w:rsidRDefault="006E2458" w:rsidP="006E2458">
      <w:r>
        <w:rPr>
          <w:color w:val="000000" w:themeColor="text1"/>
          <w:szCs w:val="18"/>
        </w:rPr>
        <w:t xml:space="preserve">Le nombre d’incidents autorisés pris en charge par le support téléphonique varie selon les points cumulés pour les avantages de la SA. Si vous avez acquis une SA pour au moins un Produit logiciel Serveurs éligible, vous pouvez prétendre à la prise en charge d’un incident </w:t>
      </w:r>
      <w:r>
        <w:rPr>
          <w:color w:val="000000" w:themeColor="text1"/>
          <w:szCs w:val="18"/>
        </w:rPr>
        <w:lastRenderedPageBreak/>
        <w:t>complémentaire.</w:t>
      </w:r>
      <w:r>
        <w:rPr>
          <w:rFonts w:cs="Tahoma"/>
          <w:color w:val="000000" w:themeColor="text1"/>
          <w:szCs w:val="18"/>
        </w:rPr>
        <w:t xml:space="preserve"> Le nombre d’incidents pris en charge par le support téléphonique dont vous pouvez bénéficier dépend du nombre total de points cumulés par votre </w:t>
      </w:r>
      <w:r>
        <w:rPr>
          <w:color w:val="000000" w:themeColor="text1"/>
          <w:szCs w:val="18"/>
        </w:rPr>
        <w:t>Compte d’Achats, comme indiqué ci-dessous (cf. section « Calcul des points pour les Avantages de la Software Assurance au titre du MPSA » du présent document pour en savoir plus sur les modalités de calcul) :</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0"/>
        <w:gridCol w:w="3240"/>
      </w:tblGrid>
      <w:tr w:rsidR="006E2458" w:rsidRPr="005B13F2" w:rsidTr="0019337E">
        <w:trPr>
          <w:tblHeader/>
        </w:trPr>
        <w:tc>
          <w:tcPr>
            <w:tcW w:w="3060" w:type="dxa"/>
            <w:shd w:val="clear" w:color="auto" w:fill="BF8F00" w:themeFill="accent4" w:themeFillShade="BF"/>
            <w:vAlign w:val="center"/>
          </w:tcPr>
          <w:p w:rsidR="006E2458" w:rsidRPr="005B13F2" w:rsidRDefault="006E2458" w:rsidP="0019337E">
            <w:pPr>
              <w:pStyle w:val="ProductList-Body"/>
              <w:spacing w:before="20" w:after="20"/>
              <w:rPr>
                <w:color w:val="FFFFFF" w:themeColor="background1"/>
                <w:szCs w:val="18"/>
              </w:rPr>
            </w:pPr>
            <w:r>
              <w:rPr>
                <w:color w:val="FFFFFF" w:themeColor="background1"/>
                <w:szCs w:val="18"/>
              </w:rPr>
              <w:t>Groupe</w:t>
            </w:r>
          </w:p>
        </w:tc>
        <w:tc>
          <w:tcPr>
            <w:tcW w:w="3240" w:type="dxa"/>
            <w:shd w:val="clear" w:color="auto" w:fill="BF8F00" w:themeFill="accent4" w:themeFillShade="BF"/>
            <w:vAlign w:val="center"/>
          </w:tcPr>
          <w:p w:rsidR="006E2458" w:rsidRPr="005B13F2" w:rsidRDefault="006E2458" w:rsidP="0019337E">
            <w:pPr>
              <w:pStyle w:val="ProductList-Body"/>
              <w:spacing w:before="20" w:after="20"/>
              <w:jc w:val="center"/>
              <w:rPr>
                <w:color w:val="FFFFFF" w:themeColor="background1"/>
                <w:szCs w:val="18"/>
              </w:rPr>
            </w:pPr>
            <w:r>
              <w:rPr>
                <w:color w:val="FFFFFF" w:themeColor="background1"/>
                <w:szCs w:val="18"/>
              </w:rPr>
              <w:t>Points par incident pris en charge par le support téléphonique</w:t>
            </w:r>
          </w:p>
        </w:tc>
      </w:tr>
      <w:tr w:rsidR="006E2458" w:rsidRPr="005B13F2" w:rsidTr="0019337E">
        <w:trPr>
          <w:trHeight w:val="60"/>
        </w:trPr>
        <w:tc>
          <w:tcPr>
            <w:tcW w:w="3060" w:type="dxa"/>
          </w:tcPr>
          <w:p w:rsidR="006E2458" w:rsidRPr="00C118D4" w:rsidRDefault="006E2458" w:rsidP="0019337E">
            <w:pPr>
              <w:pStyle w:val="ProductList-Body"/>
              <w:rPr>
                <w:color w:val="000000" w:themeColor="text1"/>
                <w:szCs w:val="18"/>
              </w:rPr>
            </w:pPr>
            <w:r>
              <w:rPr>
                <w:rFonts w:cs="Tahoma"/>
                <w:color w:val="000000" w:themeColor="text1"/>
                <w:szCs w:val="18"/>
              </w:rPr>
              <w:t>Groupes Applications et Systèmes (combinés)</w:t>
            </w:r>
          </w:p>
        </w:tc>
        <w:tc>
          <w:tcPr>
            <w:tcW w:w="3240" w:type="dxa"/>
            <w:vAlign w:val="center"/>
          </w:tcPr>
          <w:p w:rsidR="006E2458" w:rsidRPr="00C118D4" w:rsidRDefault="006E2458" w:rsidP="0019337E">
            <w:pPr>
              <w:pStyle w:val="ProductList-Body"/>
              <w:jc w:val="center"/>
              <w:rPr>
                <w:color w:val="000000" w:themeColor="text1"/>
                <w:szCs w:val="18"/>
              </w:rPr>
            </w:pPr>
            <w:r>
              <w:rPr>
                <w:color w:val="000000" w:themeColor="text1"/>
                <w:szCs w:val="18"/>
              </w:rPr>
              <w:t>2 000</w:t>
            </w:r>
          </w:p>
        </w:tc>
      </w:tr>
      <w:tr w:rsidR="006E2458" w:rsidRPr="005B13F2" w:rsidTr="0019337E">
        <w:trPr>
          <w:trHeight w:val="60"/>
        </w:trPr>
        <w:tc>
          <w:tcPr>
            <w:tcW w:w="3060" w:type="dxa"/>
          </w:tcPr>
          <w:p w:rsidR="006E2458" w:rsidRPr="00C118D4" w:rsidRDefault="006E2458" w:rsidP="0019337E">
            <w:pPr>
              <w:pStyle w:val="ProductList-Body"/>
              <w:rPr>
                <w:rFonts w:cs="Tahoma"/>
                <w:color w:val="000000" w:themeColor="text1"/>
                <w:szCs w:val="18"/>
              </w:rPr>
            </w:pPr>
            <w:r>
              <w:rPr>
                <w:rFonts w:cs="Tahoma"/>
                <w:color w:val="000000" w:themeColor="text1"/>
                <w:szCs w:val="18"/>
              </w:rPr>
              <w:t>Serveur</w:t>
            </w:r>
          </w:p>
        </w:tc>
        <w:tc>
          <w:tcPr>
            <w:tcW w:w="3240" w:type="dxa"/>
            <w:vAlign w:val="center"/>
          </w:tcPr>
          <w:p w:rsidR="006E2458" w:rsidRPr="00C118D4" w:rsidRDefault="006E2458" w:rsidP="0019337E">
            <w:pPr>
              <w:pStyle w:val="ProductList-Body"/>
              <w:jc w:val="center"/>
              <w:rPr>
                <w:color w:val="000000" w:themeColor="text1"/>
                <w:szCs w:val="18"/>
              </w:rPr>
            </w:pPr>
            <w:r>
              <w:rPr>
                <w:color w:val="000000" w:themeColor="text1"/>
                <w:szCs w:val="18"/>
              </w:rPr>
              <w:t>400</w:t>
            </w:r>
          </w:p>
        </w:tc>
      </w:tr>
      <w:tr w:rsidR="006E2458" w:rsidRPr="005B13F2" w:rsidTr="0019337E">
        <w:trPr>
          <w:trHeight w:val="60"/>
        </w:trPr>
        <w:tc>
          <w:tcPr>
            <w:tcW w:w="3060" w:type="dxa"/>
          </w:tcPr>
          <w:p w:rsidR="006E2458" w:rsidRPr="00C118D4" w:rsidRDefault="006E2458" w:rsidP="0019337E">
            <w:pPr>
              <w:pStyle w:val="ProductList-Body"/>
              <w:rPr>
                <w:rFonts w:cs="Tahoma"/>
                <w:color w:val="000000" w:themeColor="text1"/>
                <w:szCs w:val="18"/>
              </w:rPr>
            </w:pPr>
            <w:r>
              <w:rPr>
                <w:rFonts w:cs="Tahoma"/>
                <w:color w:val="000000" w:themeColor="text1"/>
                <w:szCs w:val="18"/>
              </w:rPr>
              <w:t>CAL</w:t>
            </w:r>
          </w:p>
        </w:tc>
        <w:tc>
          <w:tcPr>
            <w:tcW w:w="3240" w:type="dxa"/>
            <w:vAlign w:val="center"/>
          </w:tcPr>
          <w:p w:rsidR="006E2458" w:rsidRPr="00C118D4" w:rsidRDefault="006E2458" w:rsidP="0019337E">
            <w:pPr>
              <w:pStyle w:val="ProductList-Body"/>
              <w:jc w:val="center"/>
              <w:rPr>
                <w:color w:val="000000" w:themeColor="text1"/>
                <w:szCs w:val="18"/>
              </w:rPr>
            </w:pPr>
            <w:r>
              <w:rPr>
                <w:color w:val="000000" w:themeColor="text1"/>
                <w:szCs w:val="18"/>
              </w:rPr>
              <w:t>400</w:t>
            </w:r>
          </w:p>
        </w:tc>
      </w:tr>
    </w:tbl>
    <w:p w:rsidR="006E2458" w:rsidRPr="00483B32" w:rsidRDefault="006E2458" w:rsidP="006E2458">
      <w:pPr>
        <w:ind w:firstLine="180"/>
      </w:pPr>
    </w:p>
    <w:p w:rsidR="006E2458" w:rsidRPr="00483B32" w:rsidRDefault="006E2458" w:rsidP="006E2458">
      <w:pPr>
        <w:pStyle w:val="ProductList-Body"/>
        <w:spacing w:after="120"/>
      </w:pPr>
      <w:r>
        <w:rPr>
          <w:rFonts w:ascii="Segoe UI" w:hAnsi="Segoe UI"/>
          <w:color w:val="000000" w:themeColor="text1"/>
          <w:szCs w:val="18"/>
        </w:rPr>
        <w:t>La prise en charge des incidents est valable pendant toute la durée de la SA, à compter de son entrée en vigueur, y compris si vous optez pour un paiement échelonné. Les achats effectués après la commande initiale déclenchent un nouveau calcul des incidents attribués et une impartition annuelle. Les incidents pris en charge par le support téléphonique non utilisés expireront à l’expiration de la SA. Les incidents pris en charge par le support téléphonique ne peuvent pas être transférés d’un Compte d’Achats à l’autre.</w:t>
      </w:r>
    </w:p>
    <w:p w:rsidR="006E2458" w:rsidRPr="00483B32" w:rsidRDefault="006E2458" w:rsidP="006E2458">
      <w:pPr>
        <w:pStyle w:val="ProductList-Body"/>
      </w:pPr>
      <w:r>
        <w:rPr>
          <w:rFonts w:ascii="Segoe UI" w:hAnsi="Segoe UI"/>
          <w:color w:val="000000" w:themeColor="text1"/>
          <w:szCs w:val="18"/>
        </w:rPr>
        <w:t xml:space="preserve">Le support téléphonique local est assuré pendant les heures ouvrées indiquées sur le site </w:t>
      </w:r>
      <w:hyperlink r:id="rId23" w:history="1">
        <w:r>
          <w:rPr>
            <w:rStyle w:val="Hyperlink"/>
            <w:rFonts w:ascii="Segoe UI" w:hAnsi="Segoe UI"/>
            <w:szCs w:val="18"/>
          </w:rPr>
          <w:t>http://support.microsoft.com/gp/saphone</w:t>
        </w:r>
      </w:hyperlink>
      <w:r>
        <w:rPr>
          <w:rFonts w:ascii="Segoe UI" w:hAnsi="Segoe UI"/>
          <w:color w:val="000000" w:themeColor="text1"/>
          <w:szCs w:val="18"/>
        </w:rPr>
        <w:t>. Un support téléphonique en dehors des heures ouvrées peut être fourni par l’intermédiaire des centres d’aide et de support régionaux et internationaux. Le support téléphonique en dehors des heures ouvrées ne peut être utilisé que pour soumettre des demandes de support critiques. Les heures ouvrées varient selon la région. Le support téléphonique n’est pas disponible dans toutes les langues ni dans toutes les régions.</w:t>
      </w:r>
    </w:p>
    <w:p w:rsidR="006E2458" w:rsidRPr="00483B32" w:rsidRDefault="006E2458" w:rsidP="006E2458">
      <w:pPr>
        <w:pStyle w:val="Thirdheading"/>
      </w:pPr>
      <w:r>
        <w:rPr>
          <w:b/>
        </w:rPr>
        <w:t>Communication d’incidents par le Web</w:t>
      </w:r>
    </w:p>
    <w:p w:rsidR="006E2458" w:rsidRPr="00483B32" w:rsidRDefault="006E2458" w:rsidP="006E2458">
      <w:pPr>
        <w:pStyle w:val="ProductList-Body"/>
      </w:pPr>
      <w:r>
        <w:rPr>
          <w:rFonts w:ascii="Segoe UI" w:hAnsi="Segoe UI"/>
          <w:color w:val="000000" w:themeColor="text1"/>
          <w:szCs w:val="18"/>
        </w:rPr>
        <w:t>Tout achat d’une Édition Standard, Enterprise ou Datacenter d’un produit logiciel Serveur couvert par une SA vous donne accès aux services de Support Technique par le Web uniquement. L’accès aux sites de support électronique est disponible 24h/24 et 7j/7, mais les demandes seront traitées pendant les heures ouvrées normales. Reportez-vous au tableau intitulé « Heures ouvrées selon la région » dans la section précédente « Incidents pris en charge par le support téléphonique ».</w:t>
      </w:r>
    </w:p>
    <w:p w:rsidR="006E2458" w:rsidRPr="00483B32" w:rsidRDefault="006E2458" w:rsidP="006E2458">
      <w:pPr>
        <w:pStyle w:val="ProductList-Body"/>
        <w:spacing w:before="120" w:after="120"/>
      </w:pPr>
      <w:r>
        <w:rPr>
          <w:rFonts w:ascii="Segoe UI" w:hAnsi="Segoe UI"/>
          <w:color w:val="000000" w:themeColor="text1"/>
          <w:szCs w:val="18"/>
        </w:rPr>
        <w:t>Après leur résolution, les incidents communiqués par téléphone sont décomptés du nombre d’incidents attribués pris en charge par le support téléphonique. Le client peut communiquer autant d’incidents qu’il le souhaite par le Web ; ceux-ci seront traités par le Web, par courrier électronique ou d’autres moyens électroniques. Après leur résolution, les incidents communiqués par le Web et que vous convertissez en appels au support téléphonique sont décomptés du nombre d’incidents attribués pris en charge par le support téléphonique. Les incidents communiqués par le Web et qui font ensuite l’objet d’un suivi par téléphone par Microsoft ne sont pas décomptés du nombre d’incidents attribués pris en charge par le support téléphonique si leur résolution se fait par le Web, par courrier électronique ou par d’autres moyens électroniques.</w:t>
      </w:r>
    </w:p>
    <w:p w:rsidR="006E2458" w:rsidRPr="00E0331F" w:rsidRDefault="006E2458" w:rsidP="006E2458">
      <w:pPr>
        <w:pStyle w:val="ProductList-Body"/>
        <w:rPr>
          <w:rFonts w:ascii="Segoe UI" w:hAnsi="Segoe UI"/>
          <w:color w:val="000000" w:themeColor="text1"/>
          <w:szCs w:val="18"/>
        </w:rPr>
      </w:pPr>
      <w:r>
        <w:rPr>
          <w:rFonts w:ascii="Segoe UI" w:hAnsi="Segoe UI"/>
          <w:color w:val="000000" w:themeColor="text1"/>
          <w:szCs w:val="18"/>
        </w:rPr>
        <w:t xml:space="preserve">Pour bénéficier du support en ligne, le logiciel serveur et les CAL associées doivent être couverts par une SA. Vous pouvez soumettre des demandes de Support Technique par le Web uniquement pour les copies sous licence du logiciel serveur couvert par une SA. Les incidents communiqués par le Web ne peuvent pas être transférés d’une licence à une autre. </w:t>
      </w:r>
      <w:r w:rsidRPr="00E0331F">
        <w:rPr>
          <w:rFonts w:ascii="Segoe UI" w:hAnsi="Segoe UI"/>
          <w:color w:val="000000" w:themeColor="text1"/>
          <w:szCs w:val="18"/>
        </w:rPr>
        <w:t>Veuillez consulter les Conditions applicables aux Produits pour plus d’informations sur l’attribution ou la réattribution de licences aux serveurs physiques</w:t>
      </w:r>
      <w:r>
        <w:rPr>
          <w:rFonts w:ascii="Segoe UI" w:hAnsi="Segoe UI"/>
          <w:color w:val="000000" w:themeColor="text1"/>
          <w:szCs w:val="18"/>
        </w:rPr>
        <w:t>.</w:t>
      </w:r>
    </w:p>
    <w:p w:rsidR="006E2458" w:rsidRPr="00483B32" w:rsidRDefault="006E2458" w:rsidP="006E2458">
      <w:pPr>
        <w:pStyle w:val="Thirdheading"/>
        <w:tabs>
          <w:tab w:val="left" w:pos="8295"/>
        </w:tabs>
      </w:pPr>
      <w:r>
        <w:rPr>
          <w:b/>
        </w:rPr>
        <w:t>Interlocuteurs pour le Support Technique</w:t>
      </w:r>
      <w:r>
        <w:rPr>
          <w:b/>
        </w:rPr>
        <w:tab/>
      </w:r>
    </w:p>
    <w:p w:rsidR="006E2458" w:rsidRPr="00483B32" w:rsidRDefault="006E2458" w:rsidP="006E2458">
      <w:pPr>
        <w:spacing w:line="240" w:lineRule="auto"/>
      </w:pPr>
      <w:r>
        <w:rPr>
          <w:rFonts w:cs="Tahoma"/>
          <w:color w:val="000000" w:themeColor="text1"/>
          <w:szCs w:val="18"/>
        </w:rPr>
        <w:t xml:space="preserve">Le </w:t>
      </w:r>
      <w:r>
        <w:rPr>
          <w:color w:val="000000" w:themeColor="text1"/>
          <w:szCs w:val="18"/>
        </w:rPr>
        <w:t>nombre</w:t>
      </w:r>
      <w:r>
        <w:rPr>
          <w:rFonts w:cs="Tahoma"/>
          <w:color w:val="000000" w:themeColor="text1"/>
          <w:szCs w:val="18"/>
        </w:rPr>
        <w:t xml:space="preserve"> autorisé d’interlocuteurs pour le Support Technique par Compte d’Achats est indiqué ci-après. Les interlocuteurs doivent être des personnes désignées par vous et il peut s’agir de personnes extérieures à votre établissement. Cependant, les établissements, les départements ou les groupes ne peuvent pas être désignés en tant qu’interlocuteurs.</w:t>
      </w:r>
    </w:p>
    <w:tbl>
      <w:tblPr>
        <w:tblW w:w="6570"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4140"/>
        <w:gridCol w:w="2430"/>
      </w:tblGrid>
      <w:tr w:rsidR="006E2458" w:rsidRPr="005B13F2" w:rsidTr="0019337E">
        <w:trPr>
          <w:trHeight w:val="178"/>
          <w:tblHeader/>
        </w:trPr>
        <w:tc>
          <w:tcPr>
            <w:tcW w:w="4140" w:type="dxa"/>
            <w:shd w:val="clear" w:color="auto" w:fill="8064A2"/>
          </w:tcPr>
          <w:p w:rsidR="006E2458" w:rsidRPr="00B47332" w:rsidRDefault="006E2458" w:rsidP="0019337E">
            <w:pPr>
              <w:pStyle w:val="ProductList-Body"/>
              <w:tabs>
                <w:tab w:val="clear" w:pos="158"/>
              </w:tabs>
              <w:spacing w:before="20" w:after="20"/>
              <w:rPr>
                <w:color w:val="FFFFFF" w:themeColor="background1"/>
                <w:szCs w:val="18"/>
              </w:rPr>
            </w:pPr>
            <w:r w:rsidRPr="00B47332">
              <w:rPr>
                <w:color w:val="FFFFFF" w:themeColor="background1"/>
                <w:szCs w:val="18"/>
              </w:rPr>
              <w:t>Avantages</w:t>
            </w:r>
          </w:p>
        </w:tc>
        <w:tc>
          <w:tcPr>
            <w:tcW w:w="2430" w:type="dxa"/>
            <w:shd w:val="clear" w:color="auto" w:fill="8064A2"/>
            <w:vAlign w:val="center"/>
          </w:tcPr>
          <w:p w:rsidR="006E2458" w:rsidRPr="002123CF" w:rsidRDefault="006E2458" w:rsidP="0019337E">
            <w:pPr>
              <w:pStyle w:val="ProductList-Body"/>
              <w:spacing w:before="20" w:after="20"/>
              <w:jc w:val="center"/>
              <w:rPr>
                <w:rFonts w:ascii="Segoe UI" w:hAnsi="Segoe UI"/>
                <w:color w:val="FFFFFF" w:themeColor="background1"/>
                <w:szCs w:val="18"/>
              </w:rPr>
            </w:pPr>
            <w:r>
              <w:rPr>
                <w:rFonts w:ascii="Segoe UI" w:hAnsi="Segoe UI"/>
                <w:color w:val="FFFFFF" w:themeColor="background1"/>
                <w:szCs w:val="18"/>
              </w:rPr>
              <w:t>Par Compte d’Achats</w:t>
            </w:r>
          </w:p>
        </w:tc>
      </w:tr>
      <w:tr w:rsidR="006E2458" w:rsidRPr="005B13F2" w:rsidTr="0019337E">
        <w:trPr>
          <w:trHeight w:val="236"/>
        </w:trPr>
        <w:tc>
          <w:tcPr>
            <w:tcW w:w="4140" w:type="dxa"/>
            <w:vAlign w:val="center"/>
          </w:tcPr>
          <w:p w:rsidR="006E2458" w:rsidRPr="002123CF" w:rsidRDefault="006E2458" w:rsidP="0019337E">
            <w:pPr>
              <w:pStyle w:val="ProductList-Body"/>
              <w:rPr>
                <w:rFonts w:ascii="Segoe UI" w:hAnsi="Segoe UI"/>
                <w:color w:val="000000" w:themeColor="text1"/>
                <w:szCs w:val="18"/>
              </w:rPr>
            </w:pPr>
            <w:r>
              <w:rPr>
                <w:rFonts w:ascii="Segoe UI" w:hAnsi="Segoe UI"/>
                <w:color w:val="000000" w:themeColor="text1"/>
                <w:szCs w:val="18"/>
              </w:rPr>
              <w:t>Nombre d’interlocuteurs pour le support téléphonique</w:t>
            </w:r>
          </w:p>
        </w:tc>
        <w:tc>
          <w:tcPr>
            <w:tcW w:w="2430" w:type="dxa"/>
            <w:vAlign w:val="center"/>
          </w:tcPr>
          <w:p w:rsidR="006E2458" w:rsidRPr="002123CF" w:rsidRDefault="006E2458" w:rsidP="0019337E">
            <w:pPr>
              <w:pStyle w:val="ProductList-Body"/>
              <w:jc w:val="center"/>
              <w:rPr>
                <w:rFonts w:ascii="Segoe UI" w:hAnsi="Segoe UI"/>
                <w:color w:val="000000" w:themeColor="text1"/>
                <w:szCs w:val="18"/>
              </w:rPr>
            </w:pPr>
            <w:r>
              <w:rPr>
                <w:rFonts w:ascii="Segoe UI" w:hAnsi="Segoe UI"/>
                <w:color w:val="000000" w:themeColor="text1"/>
                <w:szCs w:val="18"/>
              </w:rPr>
              <w:t>Selon les besoins</w:t>
            </w:r>
          </w:p>
        </w:tc>
      </w:tr>
      <w:tr w:rsidR="006E2458" w:rsidRPr="005B13F2" w:rsidTr="0019337E">
        <w:trPr>
          <w:trHeight w:val="236"/>
        </w:trPr>
        <w:tc>
          <w:tcPr>
            <w:tcW w:w="4140" w:type="dxa"/>
            <w:vAlign w:val="center"/>
          </w:tcPr>
          <w:p w:rsidR="006E2458" w:rsidRPr="002123CF" w:rsidRDefault="006E2458" w:rsidP="0019337E">
            <w:pPr>
              <w:pStyle w:val="ProductList-Body"/>
              <w:rPr>
                <w:rFonts w:ascii="Segoe UI" w:hAnsi="Segoe UI"/>
                <w:color w:val="000000" w:themeColor="text1"/>
                <w:szCs w:val="18"/>
              </w:rPr>
            </w:pPr>
            <w:r>
              <w:rPr>
                <w:rFonts w:ascii="Segoe UI" w:hAnsi="Segoe UI"/>
                <w:color w:val="000000" w:themeColor="text1"/>
                <w:szCs w:val="18"/>
              </w:rPr>
              <w:t>Nombre d’interlocuteurs pour le support en ligne</w:t>
            </w:r>
          </w:p>
        </w:tc>
        <w:tc>
          <w:tcPr>
            <w:tcW w:w="2430" w:type="dxa"/>
            <w:vAlign w:val="center"/>
          </w:tcPr>
          <w:p w:rsidR="006E2458" w:rsidRPr="002123CF" w:rsidRDefault="006E2458" w:rsidP="0019337E">
            <w:pPr>
              <w:pStyle w:val="ProductList-Body"/>
              <w:jc w:val="center"/>
              <w:rPr>
                <w:rFonts w:ascii="Segoe UI" w:hAnsi="Segoe UI"/>
                <w:color w:val="000000" w:themeColor="text1"/>
                <w:szCs w:val="18"/>
              </w:rPr>
            </w:pPr>
            <w:r>
              <w:rPr>
                <w:rFonts w:ascii="Segoe UI" w:hAnsi="Segoe UI"/>
                <w:color w:val="000000" w:themeColor="text1"/>
                <w:szCs w:val="18"/>
              </w:rPr>
              <w:t>4</w:t>
            </w:r>
          </w:p>
        </w:tc>
      </w:tr>
    </w:tbl>
    <w:p w:rsidR="006E2458" w:rsidRPr="00483B32" w:rsidRDefault="006E2458" w:rsidP="006E2458">
      <w:pPr>
        <w:pStyle w:val="Thirdheading"/>
      </w:pPr>
      <w:bookmarkStart w:id="48" w:name="_Toc240899166"/>
      <w:r>
        <w:rPr>
          <w:b/>
        </w:rPr>
        <w:t>Niveau de Service pour les Clients Software Assurance</w:t>
      </w:r>
      <w:bookmarkEnd w:id="48"/>
    </w:p>
    <w:p w:rsidR="006E2458" w:rsidRPr="00483B32" w:rsidRDefault="006E2458" w:rsidP="006E2458">
      <w:pPr>
        <w:pStyle w:val="ProductList-Body"/>
      </w:pPr>
      <w:r>
        <w:rPr>
          <w:rFonts w:ascii="Segoe UI" w:hAnsi="Segoe UI"/>
          <w:color w:val="000000" w:themeColor="text1"/>
          <w:szCs w:val="18"/>
        </w:rPr>
        <w:t>Les demandes de support peuvent être soumises par un interlocuteur désigné par votre établissement, par téléphone ou par voie électronique, à l’exception des demandes de niveau de Gravité A et B qui doivent être soumises par téléphone comme décrit ci-après. Il vous incombe de définir le niveau de gravité initial après nous avoir consulté. Vous pouvez demander un changement de niveau de gravité à tout moment. Les temps de réponse estimés selon le niveau de gravité et vos responsabilités sont définis dans le tableau ci-après :</w:t>
      </w:r>
    </w:p>
    <w:p w:rsidR="006E2458" w:rsidRPr="00483B32" w:rsidRDefault="006E2458" w:rsidP="006E2458">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530"/>
        <w:gridCol w:w="2430"/>
        <w:gridCol w:w="3690"/>
        <w:gridCol w:w="2880"/>
      </w:tblGrid>
      <w:tr w:rsidR="006E2458" w:rsidRPr="00717EC0" w:rsidTr="0019337E">
        <w:trPr>
          <w:trHeight w:val="160"/>
          <w:tblHeader/>
        </w:trPr>
        <w:tc>
          <w:tcPr>
            <w:tcW w:w="1530" w:type="dxa"/>
            <w:shd w:val="clear" w:color="auto" w:fill="FFC000" w:themeFill="accent4"/>
            <w:tcMar>
              <w:top w:w="0" w:type="dxa"/>
              <w:left w:w="108" w:type="dxa"/>
              <w:bottom w:w="0" w:type="dxa"/>
              <w:right w:w="108" w:type="dxa"/>
            </w:tcMar>
            <w:vAlign w:val="center"/>
          </w:tcPr>
          <w:p w:rsidR="006E2458" w:rsidRPr="002123CF" w:rsidRDefault="006E2458"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Gravité</w:t>
            </w:r>
          </w:p>
        </w:tc>
        <w:tc>
          <w:tcPr>
            <w:tcW w:w="2430" w:type="dxa"/>
            <w:shd w:val="clear" w:color="auto" w:fill="FFC000" w:themeFill="accent4"/>
            <w:tcMar>
              <w:top w:w="0" w:type="dxa"/>
              <w:left w:w="108" w:type="dxa"/>
              <w:bottom w:w="0" w:type="dxa"/>
              <w:right w:w="108" w:type="dxa"/>
            </w:tcMar>
            <w:vAlign w:val="center"/>
          </w:tcPr>
          <w:p w:rsidR="006E2458" w:rsidRPr="002123CF" w:rsidRDefault="006E2458"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Situation</w:t>
            </w:r>
          </w:p>
        </w:tc>
        <w:tc>
          <w:tcPr>
            <w:tcW w:w="3690" w:type="dxa"/>
            <w:shd w:val="clear" w:color="auto" w:fill="FFC000" w:themeFill="accent4"/>
            <w:tcMar>
              <w:top w:w="0" w:type="dxa"/>
              <w:left w:w="108" w:type="dxa"/>
              <w:bottom w:w="0" w:type="dxa"/>
              <w:right w:w="108" w:type="dxa"/>
            </w:tcMar>
            <w:vAlign w:val="center"/>
          </w:tcPr>
          <w:p w:rsidR="006E2458" w:rsidRPr="002123CF" w:rsidRDefault="006E2458"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Réponse attendue de notre part</w:t>
            </w:r>
          </w:p>
        </w:tc>
        <w:tc>
          <w:tcPr>
            <w:tcW w:w="2880" w:type="dxa"/>
            <w:shd w:val="clear" w:color="auto" w:fill="FFC000" w:themeFill="accent4"/>
            <w:tcMar>
              <w:top w:w="0" w:type="dxa"/>
              <w:left w:w="108" w:type="dxa"/>
              <w:bottom w:w="0" w:type="dxa"/>
              <w:right w:w="108" w:type="dxa"/>
            </w:tcMar>
            <w:vAlign w:val="center"/>
          </w:tcPr>
          <w:p w:rsidR="006E2458" w:rsidRPr="002123CF" w:rsidRDefault="006E2458"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Réponse attendue de votre part</w:t>
            </w:r>
          </w:p>
        </w:tc>
      </w:tr>
      <w:tr w:rsidR="006E2458" w:rsidRPr="00717EC0" w:rsidTr="0019337E">
        <w:tc>
          <w:tcPr>
            <w:tcW w:w="1530" w:type="dxa"/>
            <w:tcMar>
              <w:top w:w="0" w:type="dxa"/>
              <w:left w:w="108" w:type="dxa"/>
              <w:bottom w:w="0" w:type="dxa"/>
              <w:right w:w="108" w:type="dxa"/>
            </w:tcMar>
          </w:tcPr>
          <w:p w:rsidR="006E2458" w:rsidRPr="002123CF" w:rsidRDefault="006E2458" w:rsidP="0019337E">
            <w:pPr>
              <w:pStyle w:val="ProductList-Body"/>
              <w:rPr>
                <w:rFonts w:ascii="Segoe UI" w:hAnsi="Segoe UI"/>
                <w:color w:val="000000" w:themeColor="text1"/>
                <w:szCs w:val="18"/>
              </w:rPr>
            </w:pPr>
            <w:r>
              <w:rPr>
                <w:rFonts w:ascii="Segoe UI" w:hAnsi="Segoe UI"/>
                <w:color w:val="000000" w:themeColor="text1"/>
                <w:szCs w:val="18"/>
              </w:rPr>
              <w:t xml:space="preserve">A. Communication par téléphone </w:t>
            </w:r>
          </w:p>
        </w:tc>
        <w:tc>
          <w:tcPr>
            <w:tcW w:w="2430" w:type="dxa"/>
            <w:tcMar>
              <w:top w:w="0" w:type="dxa"/>
              <w:left w:w="108" w:type="dxa"/>
              <w:bottom w:w="0" w:type="dxa"/>
              <w:right w:w="108" w:type="dxa"/>
            </w:tcMar>
          </w:tcPr>
          <w:p w:rsidR="006E2458" w:rsidRPr="00483B32" w:rsidRDefault="006E2458" w:rsidP="0019337E">
            <w:pPr>
              <w:pStyle w:val="ProductList-Body"/>
            </w:pPr>
            <w:r>
              <w:rPr>
                <w:rFonts w:ascii="Segoe UI" w:hAnsi="Segoe UI"/>
                <w:color w:val="000000" w:themeColor="text1"/>
                <w:szCs w:val="18"/>
              </w:rPr>
              <w:t xml:space="preserve">Impact critique sur l’activité : </w:t>
            </w:r>
          </w:p>
          <w:p w:rsidR="006E2458" w:rsidRPr="002123CF" w:rsidRDefault="006E2458" w:rsidP="0019337E">
            <w:pPr>
              <w:pStyle w:val="ProductList-Body"/>
              <w:rPr>
                <w:rFonts w:ascii="Segoe UI" w:hAnsi="Segoe UI"/>
                <w:color w:val="000000" w:themeColor="text1"/>
                <w:szCs w:val="18"/>
              </w:rPr>
            </w:pPr>
            <w:r>
              <w:rPr>
                <w:rFonts w:ascii="Segoe UI" w:hAnsi="Segoe UI"/>
                <w:color w:val="000000" w:themeColor="text1"/>
                <w:szCs w:val="18"/>
              </w:rPr>
              <w:t>Votre activité subit des pertes ou une dégradation des services importantes</w:t>
            </w:r>
          </w:p>
        </w:tc>
        <w:tc>
          <w:tcPr>
            <w:tcW w:w="3690" w:type="dxa"/>
            <w:tcMar>
              <w:top w:w="0" w:type="dxa"/>
              <w:left w:w="108" w:type="dxa"/>
              <w:bottom w:w="0" w:type="dxa"/>
              <w:right w:w="108" w:type="dxa"/>
            </w:tcMar>
          </w:tcPr>
          <w:p w:rsidR="006E2458" w:rsidRPr="00483B32" w:rsidRDefault="006E2458" w:rsidP="0019337E">
            <w:pPr>
              <w:pStyle w:val="ProductList-Body"/>
            </w:pPr>
            <w:r>
              <w:rPr>
                <w:rFonts w:ascii="Segoe UI" w:hAnsi="Segoe UI"/>
                <w:color w:val="000000" w:themeColor="text1"/>
                <w:szCs w:val="18"/>
              </w:rPr>
              <w:t>Première réponse par téléphone sous deux (2) heures ou moins en fonction de l’offre de support</w:t>
            </w:r>
          </w:p>
          <w:p w:rsidR="006E2458" w:rsidRPr="00483B32" w:rsidRDefault="006E2458" w:rsidP="0019337E">
            <w:pPr>
              <w:pStyle w:val="ProductList-Body"/>
            </w:pPr>
            <w:r>
              <w:rPr>
                <w:rFonts w:ascii="Segoe UI" w:hAnsi="Segoe UI"/>
                <w:color w:val="000000" w:themeColor="text1"/>
                <w:szCs w:val="18"/>
              </w:rPr>
              <w:t>Intervention sur site des Équipes Microsoft, sur demande</w:t>
            </w:r>
          </w:p>
          <w:p w:rsidR="006E2458" w:rsidRPr="00483B32" w:rsidRDefault="006E2458" w:rsidP="0019337E">
            <w:pPr>
              <w:pStyle w:val="ProductList-Body"/>
            </w:pPr>
            <w:r>
              <w:rPr>
                <w:rFonts w:ascii="Segoe UI" w:hAnsi="Segoe UI"/>
                <w:color w:val="000000" w:themeColor="text1"/>
                <w:szCs w:val="18"/>
              </w:rPr>
              <w:t>Suivi continu 24 h/24, 7 j/7</w:t>
            </w:r>
          </w:p>
          <w:p w:rsidR="006E2458" w:rsidRPr="002123CF" w:rsidRDefault="006E2458" w:rsidP="0019337E">
            <w:pPr>
              <w:pStyle w:val="ProductList-Body"/>
              <w:rPr>
                <w:rFonts w:ascii="Segoe UI" w:hAnsi="Segoe UI"/>
                <w:color w:val="000000" w:themeColor="text1"/>
                <w:szCs w:val="18"/>
              </w:rPr>
            </w:pPr>
            <w:r>
              <w:rPr>
                <w:rFonts w:ascii="Segoe UI" w:hAnsi="Segoe UI"/>
                <w:color w:val="000000" w:themeColor="text1"/>
                <w:szCs w:val="18"/>
              </w:rPr>
              <w:t>Notification des Cadres Supérieurs Microsoft en fonction de l’offre de support</w:t>
            </w:r>
          </w:p>
        </w:tc>
        <w:tc>
          <w:tcPr>
            <w:tcW w:w="2880" w:type="dxa"/>
            <w:tcMar>
              <w:top w:w="0" w:type="dxa"/>
              <w:left w:w="108" w:type="dxa"/>
              <w:bottom w:w="0" w:type="dxa"/>
              <w:right w:w="108" w:type="dxa"/>
            </w:tcMar>
          </w:tcPr>
          <w:p w:rsidR="006E2458" w:rsidRPr="00483B32" w:rsidRDefault="006E2458" w:rsidP="0019337E">
            <w:pPr>
              <w:pStyle w:val="ProductList-Body"/>
            </w:pPr>
            <w:r>
              <w:rPr>
                <w:rFonts w:ascii="Segoe UI" w:hAnsi="Segoe UI"/>
                <w:color w:val="000000" w:themeColor="text1"/>
                <w:szCs w:val="18"/>
              </w:rPr>
              <w:t>Allocation des ressources appropriées pour un suivi continu 24 h/24, 7 j/7</w:t>
            </w:r>
            <w:r>
              <w:rPr>
                <w:rFonts w:ascii="Segoe UI" w:hAnsi="Segoe UI"/>
                <w:color w:val="000000" w:themeColor="text1"/>
                <w:szCs w:val="18"/>
                <w:vertAlign w:val="superscript"/>
              </w:rPr>
              <w:t>2</w:t>
            </w:r>
          </w:p>
          <w:p w:rsidR="006E2458" w:rsidRPr="00483B32" w:rsidRDefault="006E2458" w:rsidP="0019337E">
            <w:pPr>
              <w:pStyle w:val="ProductList-Body"/>
            </w:pPr>
            <w:r>
              <w:rPr>
                <w:rFonts w:ascii="Segoe UI" w:hAnsi="Segoe UI"/>
                <w:color w:val="000000" w:themeColor="text1"/>
                <w:szCs w:val="18"/>
              </w:rPr>
              <w:t>Disponibilité et réponse rapide de la part de l’autorité chargée de valider les modifications</w:t>
            </w:r>
          </w:p>
          <w:p w:rsidR="006E2458" w:rsidRPr="002123CF" w:rsidRDefault="006E2458" w:rsidP="0019337E">
            <w:pPr>
              <w:pStyle w:val="ProductList-Body"/>
              <w:rPr>
                <w:rFonts w:ascii="Segoe UI" w:hAnsi="Segoe UI"/>
                <w:color w:val="000000" w:themeColor="text1"/>
                <w:szCs w:val="18"/>
              </w:rPr>
            </w:pPr>
            <w:r>
              <w:rPr>
                <w:rFonts w:ascii="Segoe UI" w:hAnsi="Segoe UI"/>
                <w:color w:val="000000" w:themeColor="text1"/>
                <w:szCs w:val="18"/>
              </w:rPr>
              <w:t>Notification des cadres</w:t>
            </w:r>
          </w:p>
        </w:tc>
      </w:tr>
      <w:tr w:rsidR="006E2458" w:rsidRPr="00717EC0" w:rsidTr="0019337E">
        <w:tc>
          <w:tcPr>
            <w:tcW w:w="1530" w:type="dxa"/>
            <w:tcMar>
              <w:top w:w="0" w:type="dxa"/>
              <w:left w:w="108" w:type="dxa"/>
              <w:bottom w:w="0" w:type="dxa"/>
              <w:right w:w="108" w:type="dxa"/>
            </w:tcMar>
          </w:tcPr>
          <w:p w:rsidR="006E2458" w:rsidRPr="002123CF" w:rsidRDefault="006E2458" w:rsidP="0019337E">
            <w:pPr>
              <w:pStyle w:val="ProductList-Body"/>
              <w:rPr>
                <w:rFonts w:ascii="Segoe UI" w:hAnsi="Segoe UI"/>
                <w:color w:val="000000" w:themeColor="text1"/>
                <w:szCs w:val="18"/>
              </w:rPr>
            </w:pPr>
            <w:r>
              <w:rPr>
                <w:rFonts w:ascii="Segoe UI" w:hAnsi="Segoe UI"/>
                <w:color w:val="000000" w:themeColor="text1"/>
                <w:szCs w:val="18"/>
              </w:rPr>
              <w:t xml:space="preserve">B. Communication par téléphone </w:t>
            </w:r>
          </w:p>
        </w:tc>
        <w:tc>
          <w:tcPr>
            <w:tcW w:w="2430" w:type="dxa"/>
            <w:tcMar>
              <w:top w:w="0" w:type="dxa"/>
              <w:left w:w="108" w:type="dxa"/>
              <w:bottom w:w="0" w:type="dxa"/>
              <w:right w:w="108" w:type="dxa"/>
            </w:tcMar>
          </w:tcPr>
          <w:p w:rsidR="006E2458" w:rsidRPr="00483B32" w:rsidRDefault="006E2458" w:rsidP="0019337E">
            <w:pPr>
              <w:pStyle w:val="ProductList-Body"/>
            </w:pPr>
            <w:r>
              <w:rPr>
                <w:rFonts w:ascii="Segoe UI" w:hAnsi="Segoe UI"/>
                <w:color w:val="000000" w:themeColor="text1"/>
                <w:szCs w:val="18"/>
              </w:rPr>
              <w:t xml:space="preserve">Impact modéré sur l’activité : </w:t>
            </w:r>
          </w:p>
          <w:p w:rsidR="006E2458" w:rsidRPr="002123CF" w:rsidRDefault="006E2458" w:rsidP="0019337E">
            <w:pPr>
              <w:pStyle w:val="ProductList-Body"/>
              <w:rPr>
                <w:rFonts w:ascii="Segoe UI" w:hAnsi="Segoe UI"/>
                <w:color w:val="000000" w:themeColor="text1"/>
                <w:szCs w:val="18"/>
              </w:rPr>
            </w:pPr>
            <w:r>
              <w:rPr>
                <w:rFonts w:ascii="Segoe UI" w:hAnsi="Segoe UI"/>
                <w:color w:val="000000" w:themeColor="text1"/>
                <w:szCs w:val="18"/>
              </w:rPr>
              <w:t>Votre activité subit une perte modérée ou une dégradation des services mais l’activité peut se poursuivre même si elle est perturbée.</w:t>
            </w:r>
          </w:p>
        </w:tc>
        <w:tc>
          <w:tcPr>
            <w:tcW w:w="3690" w:type="dxa"/>
            <w:tcMar>
              <w:top w:w="0" w:type="dxa"/>
              <w:left w:w="108" w:type="dxa"/>
              <w:bottom w:w="0" w:type="dxa"/>
              <w:right w:w="108" w:type="dxa"/>
            </w:tcMar>
          </w:tcPr>
          <w:p w:rsidR="006E2458" w:rsidRPr="00483B32" w:rsidRDefault="006E2458" w:rsidP="0019337E">
            <w:pPr>
              <w:pStyle w:val="ProductList-Body"/>
            </w:pPr>
            <w:r>
              <w:rPr>
                <w:rFonts w:ascii="Segoe UI" w:hAnsi="Segoe UI"/>
                <w:color w:val="000000" w:themeColor="text1"/>
                <w:szCs w:val="18"/>
              </w:rPr>
              <w:t>Première réponse par téléphone sous quatre (4) heures ou moins en fonction de l’offre de support</w:t>
            </w:r>
          </w:p>
          <w:p w:rsidR="006E2458" w:rsidRPr="00483B32" w:rsidRDefault="006E2458" w:rsidP="0019337E">
            <w:pPr>
              <w:pStyle w:val="ProductList-Body"/>
            </w:pPr>
            <w:r>
              <w:rPr>
                <w:rFonts w:ascii="Segoe UI" w:hAnsi="Segoe UI"/>
                <w:color w:val="000000" w:themeColor="text1"/>
                <w:szCs w:val="18"/>
              </w:rPr>
              <w:t>Suivi pendant les Heures Ouvrées</w:t>
            </w:r>
            <w:r>
              <w:rPr>
                <w:rFonts w:ascii="Segoe UI" w:hAnsi="Segoe UI"/>
                <w:color w:val="000000" w:themeColor="text1"/>
                <w:szCs w:val="18"/>
                <w:vertAlign w:val="superscript"/>
              </w:rPr>
              <w:t>1</w:t>
            </w:r>
            <w:r>
              <w:rPr>
                <w:rFonts w:ascii="Segoe UI" w:hAnsi="Segoe UI"/>
                <w:color w:val="000000" w:themeColor="text1"/>
                <w:szCs w:val="18"/>
              </w:rPr>
              <w:t xml:space="preserve"> uniquement</w:t>
            </w:r>
          </w:p>
          <w:p w:rsidR="006E2458" w:rsidRPr="002123CF" w:rsidRDefault="006E2458" w:rsidP="0019337E">
            <w:pPr>
              <w:pStyle w:val="ProductList-Body"/>
              <w:rPr>
                <w:rFonts w:ascii="Segoe UI" w:hAnsi="Segoe UI"/>
                <w:color w:val="000000" w:themeColor="text1"/>
                <w:szCs w:val="18"/>
              </w:rPr>
            </w:pPr>
          </w:p>
        </w:tc>
        <w:tc>
          <w:tcPr>
            <w:tcW w:w="2880" w:type="dxa"/>
            <w:tcMar>
              <w:top w:w="0" w:type="dxa"/>
              <w:left w:w="108" w:type="dxa"/>
              <w:bottom w:w="0" w:type="dxa"/>
              <w:right w:w="108" w:type="dxa"/>
            </w:tcMar>
          </w:tcPr>
          <w:p w:rsidR="006E2458" w:rsidRPr="00483B32" w:rsidRDefault="006E2458" w:rsidP="0019337E">
            <w:pPr>
              <w:pStyle w:val="ProductList-Body"/>
            </w:pPr>
            <w:r>
              <w:rPr>
                <w:rFonts w:ascii="Segoe UI" w:hAnsi="Segoe UI"/>
                <w:color w:val="000000" w:themeColor="text1"/>
                <w:szCs w:val="18"/>
              </w:rPr>
              <w:t>Allocation des ressources appropriées pour un suivi continu pendant les Heures Ouvrées</w:t>
            </w:r>
            <w:r>
              <w:rPr>
                <w:rFonts w:ascii="Segoe UI" w:hAnsi="Segoe UI"/>
                <w:color w:val="000000" w:themeColor="text1"/>
                <w:szCs w:val="18"/>
                <w:vertAlign w:val="superscript"/>
              </w:rPr>
              <w:t>1</w:t>
            </w:r>
          </w:p>
          <w:p w:rsidR="006E2458" w:rsidRPr="002123CF" w:rsidRDefault="006E2458" w:rsidP="0019337E">
            <w:pPr>
              <w:pStyle w:val="ProductList-Body"/>
              <w:rPr>
                <w:rFonts w:ascii="Segoe UI" w:hAnsi="Segoe UI"/>
                <w:color w:val="000000" w:themeColor="text1"/>
                <w:szCs w:val="18"/>
              </w:rPr>
            </w:pPr>
            <w:r>
              <w:rPr>
                <w:rFonts w:ascii="Segoe UI" w:hAnsi="Segoe UI"/>
                <w:color w:val="000000" w:themeColor="text1"/>
                <w:szCs w:val="18"/>
              </w:rPr>
              <w:t>Disponibilité et réponse de la part de l’autorité chargée de valider les modifications sous quatre (4) Heures Ouvrées</w:t>
            </w:r>
            <w:r>
              <w:rPr>
                <w:rFonts w:ascii="Segoe UI" w:hAnsi="Segoe UI"/>
                <w:color w:val="000000" w:themeColor="text1"/>
                <w:szCs w:val="18"/>
                <w:vertAlign w:val="superscript"/>
              </w:rPr>
              <w:t>1</w:t>
            </w:r>
          </w:p>
        </w:tc>
      </w:tr>
      <w:tr w:rsidR="006E2458" w:rsidRPr="00717EC0" w:rsidTr="0019337E">
        <w:tc>
          <w:tcPr>
            <w:tcW w:w="1530" w:type="dxa"/>
            <w:tcMar>
              <w:top w:w="0" w:type="dxa"/>
              <w:left w:w="108" w:type="dxa"/>
              <w:bottom w:w="0" w:type="dxa"/>
              <w:right w:w="108" w:type="dxa"/>
            </w:tcMar>
          </w:tcPr>
          <w:p w:rsidR="006E2458" w:rsidRPr="002123CF" w:rsidRDefault="006E2458" w:rsidP="0019337E">
            <w:pPr>
              <w:pStyle w:val="ProductList-Body"/>
              <w:rPr>
                <w:rFonts w:ascii="Segoe UI" w:hAnsi="Segoe UI"/>
                <w:color w:val="000000" w:themeColor="text1"/>
                <w:szCs w:val="18"/>
              </w:rPr>
            </w:pPr>
            <w:r>
              <w:rPr>
                <w:rFonts w:ascii="Segoe UI" w:hAnsi="Segoe UI"/>
                <w:color w:val="000000" w:themeColor="text1"/>
                <w:szCs w:val="18"/>
              </w:rPr>
              <w:t>C. Communication par téléphone ou Internet</w:t>
            </w:r>
          </w:p>
        </w:tc>
        <w:tc>
          <w:tcPr>
            <w:tcW w:w="2430" w:type="dxa"/>
            <w:tcMar>
              <w:top w:w="0" w:type="dxa"/>
              <w:left w:w="108" w:type="dxa"/>
              <w:bottom w:w="0" w:type="dxa"/>
              <w:right w:w="108" w:type="dxa"/>
            </w:tcMar>
          </w:tcPr>
          <w:p w:rsidR="006E2458" w:rsidRPr="00483B32" w:rsidRDefault="006E2458" w:rsidP="0019337E">
            <w:pPr>
              <w:pStyle w:val="ProductList-Body"/>
            </w:pPr>
            <w:r>
              <w:rPr>
                <w:rFonts w:ascii="Segoe UI" w:hAnsi="Segoe UI"/>
                <w:color w:val="000000" w:themeColor="text1"/>
                <w:szCs w:val="18"/>
              </w:rPr>
              <w:t xml:space="preserve">Impact minimum sur l’activité : </w:t>
            </w:r>
          </w:p>
          <w:p w:rsidR="006E2458" w:rsidRPr="002123CF" w:rsidRDefault="006E2458" w:rsidP="0019337E">
            <w:pPr>
              <w:pStyle w:val="ProductList-Body"/>
              <w:rPr>
                <w:rFonts w:ascii="Segoe UI" w:hAnsi="Segoe UI"/>
                <w:color w:val="000000" w:themeColor="text1"/>
                <w:szCs w:val="18"/>
              </w:rPr>
            </w:pPr>
            <w:r>
              <w:rPr>
                <w:rFonts w:ascii="Segoe UI" w:hAnsi="Segoe UI"/>
                <w:color w:val="000000" w:themeColor="text1"/>
                <w:szCs w:val="18"/>
              </w:rPr>
              <w:t>Votre activité se poursuit pour l’essentiel malgré des gênes minimes ou inexistantes pour les services.</w:t>
            </w:r>
          </w:p>
        </w:tc>
        <w:tc>
          <w:tcPr>
            <w:tcW w:w="3690" w:type="dxa"/>
            <w:tcMar>
              <w:top w:w="0" w:type="dxa"/>
              <w:left w:w="108" w:type="dxa"/>
              <w:bottom w:w="0" w:type="dxa"/>
              <w:right w:w="108" w:type="dxa"/>
            </w:tcMar>
          </w:tcPr>
          <w:p w:rsidR="006E2458" w:rsidRPr="00483B32" w:rsidRDefault="006E2458" w:rsidP="0019337E">
            <w:pPr>
              <w:pStyle w:val="ProductList-Body"/>
            </w:pPr>
            <w:r>
              <w:rPr>
                <w:rFonts w:ascii="Segoe UI" w:hAnsi="Segoe UI"/>
                <w:color w:val="000000" w:themeColor="text1"/>
                <w:szCs w:val="18"/>
              </w:rPr>
              <w:t>Première réponse par téléphone dans un délai d’un (1) jour ouvré ou moins en fonction de l’offre de support</w:t>
            </w:r>
          </w:p>
          <w:p w:rsidR="006E2458" w:rsidRPr="00483B32" w:rsidRDefault="006E2458" w:rsidP="0019337E">
            <w:pPr>
              <w:pStyle w:val="ProductList-Body"/>
            </w:pPr>
            <w:r>
              <w:rPr>
                <w:rFonts w:ascii="Segoe UI" w:hAnsi="Segoe UI"/>
                <w:color w:val="000000" w:themeColor="text1"/>
                <w:szCs w:val="18"/>
              </w:rPr>
              <w:t>Suivi pendant les Heures Ouvrées</w:t>
            </w:r>
            <w:r>
              <w:rPr>
                <w:rFonts w:ascii="Segoe UI" w:hAnsi="Segoe UI"/>
                <w:color w:val="000000" w:themeColor="text1"/>
                <w:szCs w:val="18"/>
                <w:vertAlign w:val="superscript"/>
              </w:rPr>
              <w:t>1</w:t>
            </w:r>
            <w:r>
              <w:rPr>
                <w:rFonts w:ascii="Segoe UI" w:hAnsi="Segoe UI"/>
                <w:color w:val="000000" w:themeColor="text1"/>
                <w:szCs w:val="18"/>
              </w:rPr>
              <w:t xml:space="preserve"> uniquement</w:t>
            </w:r>
          </w:p>
          <w:p w:rsidR="006E2458" w:rsidRPr="002123CF" w:rsidRDefault="006E2458" w:rsidP="0019337E">
            <w:pPr>
              <w:pStyle w:val="ProductList-Body"/>
              <w:rPr>
                <w:rFonts w:ascii="Segoe UI" w:hAnsi="Segoe UI"/>
                <w:color w:val="000000" w:themeColor="text1"/>
                <w:szCs w:val="18"/>
              </w:rPr>
            </w:pPr>
          </w:p>
        </w:tc>
        <w:tc>
          <w:tcPr>
            <w:tcW w:w="2880" w:type="dxa"/>
            <w:tcMar>
              <w:top w:w="0" w:type="dxa"/>
              <w:left w:w="108" w:type="dxa"/>
              <w:bottom w:w="0" w:type="dxa"/>
              <w:right w:w="108" w:type="dxa"/>
            </w:tcMar>
          </w:tcPr>
          <w:p w:rsidR="006E2458" w:rsidRPr="00483B32" w:rsidRDefault="006E2458" w:rsidP="0019337E">
            <w:pPr>
              <w:pStyle w:val="ProductList-Body"/>
            </w:pPr>
            <w:r>
              <w:rPr>
                <w:rFonts w:ascii="Segoe UI" w:hAnsi="Segoe UI"/>
                <w:color w:val="000000" w:themeColor="text1"/>
                <w:szCs w:val="18"/>
              </w:rPr>
              <w:t>Coordonnées exactes de l’interlocuteur chargé du cas</w:t>
            </w:r>
          </w:p>
          <w:p w:rsidR="006E2458" w:rsidRPr="002123CF" w:rsidRDefault="006E2458" w:rsidP="0019337E">
            <w:pPr>
              <w:pStyle w:val="ProductList-Body"/>
              <w:rPr>
                <w:rFonts w:ascii="Segoe UI" w:hAnsi="Segoe UI"/>
                <w:color w:val="000000" w:themeColor="text1"/>
                <w:szCs w:val="18"/>
              </w:rPr>
            </w:pPr>
            <w:r>
              <w:rPr>
                <w:rFonts w:ascii="Segoe UI" w:hAnsi="Segoe UI"/>
                <w:color w:val="000000" w:themeColor="text1"/>
                <w:szCs w:val="18"/>
              </w:rPr>
              <w:t>Réponse dans un délai d’un (1) jour ouvré</w:t>
            </w:r>
          </w:p>
        </w:tc>
      </w:tr>
    </w:tbl>
    <w:p w:rsidR="006E2458" w:rsidRPr="00483B32" w:rsidRDefault="006E2458" w:rsidP="006E2458">
      <w:pPr>
        <w:pStyle w:val="ProductList-Body"/>
        <w:tabs>
          <w:tab w:val="clear" w:pos="158"/>
          <w:tab w:val="left" w:pos="180"/>
        </w:tabs>
      </w:pPr>
      <w:r>
        <w:rPr>
          <w:rFonts w:ascii="Segoe UI" w:hAnsi="Segoe UI"/>
          <w:color w:val="000000" w:themeColor="text1"/>
          <w:szCs w:val="18"/>
        </w:rPr>
        <w:t>1 Contactez un représentant Microsoft pour connaître les Heures Ouvrées dans votre pays.</w:t>
      </w:r>
    </w:p>
    <w:p w:rsidR="006E2458" w:rsidRPr="00483B32" w:rsidRDefault="006E2458" w:rsidP="006E2458">
      <w:pPr>
        <w:pStyle w:val="ProductList-Body"/>
        <w:tabs>
          <w:tab w:val="clear" w:pos="158"/>
          <w:tab w:val="left" w:pos="180"/>
        </w:tabs>
      </w:pPr>
      <w:r>
        <w:rPr>
          <w:rFonts w:ascii="Segoe UI" w:hAnsi="Segoe UI"/>
          <w:color w:val="000000" w:themeColor="text1"/>
          <w:szCs w:val="18"/>
        </w:rPr>
        <w:t>2 Nous pouvons être amenés à rétrograder le niveau de gravité de votre demande si vous ne pouvez pas fournir les ressources ou réponses adéquates pour nous permettre de poursuivre nos efforts de résolution du problème.</w:t>
      </w:r>
    </w:p>
    <w:p w:rsidR="006E2458" w:rsidRPr="00483B32" w:rsidRDefault="006E2458" w:rsidP="006E2458">
      <w:pPr>
        <w:pStyle w:val="ProductList-Body"/>
        <w:spacing w:before="120" w:after="120"/>
      </w:pPr>
      <w:r>
        <w:rPr>
          <w:rFonts w:ascii="Segoe UI" w:hAnsi="Segoe UI"/>
          <w:color w:val="000000" w:themeColor="text1"/>
          <w:szCs w:val="18"/>
        </w:rPr>
        <w:t xml:space="preserve">Il peut vous être demandé de déterminer le problème et d’effectuer des procédures de résolution du problème, notamment d’analyser le réseau, d’enregistrer les messages d’erreur, de collecter des informations de configuration, de modifier la configuration des Produits, d’installer de nouvelles versions de logiciels ou de nouveaux composants ou encore de modifier des processus. </w:t>
      </w:r>
    </w:p>
    <w:p w:rsidR="006E2458" w:rsidRPr="00483B32" w:rsidRDefault="006E2458" w:rsidP="006E2458">
      <w:pPr>
        <w:pStyle w:val="ProductList-Body"/>
      </w:pPr>
      <w:r>
        <w:rPr>
          <w:rFonts w:ascii="Segoe UI" w:hAnsi="Segoe UI"/>
          <w:color w:val="000000" w:themeColor="text1"/>
          <w:szCs w:val="18"/>
        </w:rPr>
        <w:t>Vous êtes responsable de l’implémentation des procédures nécessaires à la protection de l’intégrité et de la sécurité de vos logiciels et de vos données contre un accès non autorisé et à la reconstitution des fichiers perdus ou endommagés après une défaillance irrémédiable.</w:t>
      </w:r>
    </w:p>
    <w:p w:rsidR="006E2458" w:rsidRPr="00483B32" w:rsidRDefault="006E2458" w:rsidP="006E2458">
      <w:pPr>
        <w:pStyle w:val="ProductList-Body"/>
      </w:pPr>
      <w:r>
        <w:rPr>
          <w:rFonts w:ascii="Segoe UI" w:hAnsi="Segoe UI"/>
          <w:color w:val="000000" w:themeColor="text1"/>
          <w:szCs w:val="18"/>
        </w:rPr>
        <w:t>Cet avantage de support est lié à l’investissement SA et non à la version.</w:t>
      </w:r>
    </w:p>
    <w:p w:rsidR="006E2458" w:rsidRPr="00B87B2B" w:rsidRDefault="006E2458" w:rsidP="006E2458">
      <w:pPr>
        <w:pStyle w:val="Hdg1noborder"/>
        <w:spacing w:before="120"/>
        <w:rPr>
          <w:rFonts w:asciiTheme="majorHAnsi" w:eastAsiaTheme="majorEastAsia" w:hAnsiTheme="majorHAnsi" w:cstheme="majorBidi"/>
          <w:bCs/>
          <w:color w:val="FFC000" w:themeColor="accent4"/>
          <w:sz w:val="28"/>
          <w:szCs w:val="26"/>
        </w:rPr>
      </w:pPr>
      <w:bookmarkStart w:id="49" w:name="_New_Version_Rights_1"/>
      <w:bookmarkStart w:id="50" w:name="_Toc403380306"/>
      <w:bookmarkStart w:id="51" w:name="_Toc403985024"/>
      <w:bookmarkStart w:id="52" w:name="_Toc428272534"/>
      <w:bookmarkEnd w:id="49"/>
      <w:r>
        <w:rPr>
          <w:rFonts w:asciiTheme="majorHAnsi" w:eastAsiaTheme="majorEastAsia" w:hAnsiTheme="majorHAnsi" w:cstheme="majorBidi"/>
          <w:bCs/>
          <w:color w:val="FFC000" w:themeColor="accent4"/>
          <w:sz w:val="28"/>
          <w:szCs w:val="26"/>
        </w:rPr>
        <w:t>Avantages des Produits éligibles</w:t>
      </w:r>
      <w:bookmarkEnd w:id="50"/>
      <w:bookmarkEnd w:id="51"/>
      <w:bookmarkEnd w:id="52"/>
    </w:p>
    <w:p w:rsidR="006E2458" w:rsidRPr="00483B32" w:rsidRDefault="006E2458" w:rsidP="006E2458">
      <w:pPr>
        <w:pStyle w:val="Heading2"/>
      </w:pPr>
      <w:bookmarkStart w:id="53" w:name="_Droits_Relatifs_aux"/>
      <w:bookmarkStart w:id="54" w:name="_Toc403380307"/>
      <w:bookmarkStart w:id="55" w:name="_Toc403985025"/>
      <w:bookmarkStart w:id="56" w:name="_Toc428272535"/>
      <w:bookmarkEnd w:id="53"/>
      <w:r>
        <w:t>Droits Relatifs aux Nouvelles Versions</w:t>
      </w:r>
      <w:bookmarkEnd w:id="54"/>
      <w:bookmarkEnd w:id="55"/>
      <w:bookmarkEnd w:id="56"/>
    </w:p>
    <w:p w:rsidR="006E2458" w:rsidRPr="00483B32" w:rsidRDefault="006E2458" w:rsidP="006E2458">
      <w:pPr>
        <w:pStyle w:val="ProductList-Body"/>
      </w:pPr>
      <w:r>
        <w:rPr>
          <w:rFonts w:ascii="Segoe UI" w:hAnsi="Segoe UI"/>
          <w:color w:val="000000" w:themeColor="text1"/>
          <w:szCs w:val="18"/>
        </w:rPr>
        <w:t>« Droits Relatifs aux Nouvelles Versions » désigne, pour tout Produit sous licence pour lequel une Software Assurance est commandée, le droit de mettre à jour le Produit et d’exécuter, à la place du Produit sous licence, la dernière version de ce Produit disponible au cours de la période couverte. L’utilisation d’une nouvelle version est soumise aux conditions de licence de ladite version. Si vous faites l’acquisition de licences pour la durée des droits de propriété intellectuelle par l‘intermédiaire de la SA, vous pouvez déployer les mises à jour après l’expiration de votre couverture.</w:t>
      </w:r>
    </w:p>
    <w:p w:rsidR="006E2458" w:rsidRPr="00483B32" w:rsidRDefault="006E2458" w:rsidP="006E2458">
      <w:pPr>
        <w:pStyle w:val="Heading2"/>
      </w:pPr>
      <w:bookmarkStart w:id="57" w:name="_Office_Multi_Language_1"/>
      <w:bookmarkStart w:id="58" w:name="_Toc403380308"/>
      <w:bookmarkStart w:id="59" w:name="_Toc403985026"/>
      <w:bookmarkStart w:id="60" w:name="_Toc428272536"/>
      <w:bookmarkEnd w:id="57"/>
      <w:r>
        <w:t>Pack Multilingue Office</w:t>
      </w:r>
      <w:bookmarkEnd w:id="58"/>
      <w:bookmarkEnd w:id="59"/>
      <w:bookmarkEnd w:id="60"/>
    </w:p>
    <w:p w:rsidR="006E2458" w:rsidRPr="00483B32" w:rsidRDefault="006E2458" w:rsidP="006E2458">
      <w:pPr>
        <w:pStyle w:val="ProductList-Body"/>
      </w:pPr>
      <w:r>
        <w:rPr>
          <w:rFonts w:ascii="Segoe UI" w:hAnsi="Segoe UI"/>
          <w:color w:val="000000" w:themeColor="text1"/>
          <w:szCs w:val="18"/>
        </w:rPr>
        <w:t>Cet avantage vous offre la possibilité d’utiliser la dernière version du Pack Multilingue Office avec les copies des logiciels Office System (cf. tableau ci-dessous) que vous êtes autorisé à utiliser au titre des licences éligibles. Le droit d’utiliser le logiciel au moyen d’une licence éligible vous donne le droit d’utiliser le Pack Multilingue Office avec ledit logiciel. Le droit d’utiliser le Pack Multilingue Office prend fin à l’expiration des droits octroyés au titre de la licence Office System éligible.</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6E2458" w:rsidRPr="00717EC0" w:rsidTr="0019337E">
        <w:trPr>
          <w:trHeight w:val="60"/>
          <w:tblHeader/>
        </w:trPr>
        <w:tc>
          <w:tcPr>
            <w:tcW w:w="10800" w:type="dxa"/>
            <w:gridSpan w:val="3"/>
            <w:shd w:val="clear" w:color="auto" w:fill="FFC000" w:themeFill="accent4"/>
            <w:vAlign w:val="center"/>
          </w:tcPr>
          <w:p w:rsidR="006E2458" w:rsidRPr="002123CF" w:rsidRDefault="006E2458" w:rsidP="0019337E">
            <w:pPr>
              <w:pStyle w:val="ProductList-Body"/>
              <w:rPr>
                <w:rFonts w:ascii="Segoe UI" w:hAnsi="Segoe UI"/>
                <w:color w:val="000000" w:themeColor="text1"/>
                <w:szCs w:val="18"/>
              </w:rPr>
            </w:pPr>
            <w:r>
              <w:rPr>
                <w:rFonts w:ascii="Segoe UI" w:hAnsi="Segoe UI"/>
                <w:color w:val="FFFFFF" w:themeColor="background1"/>
                <w:szCs w:val="18"/>
              </w:rPr>
              <w:t>Produits du groupe Applications Office System</w:t>
            </w:r>
          </w:p>
        </w:tc>
      </w:tr>
      <w:tr w:rsidR="006E2458" w:rsidRPr="00717EC0" w:rsidTr="0019337E">
        <w:trPr>
          <w:trHeight w:val="438"/>
        </w:trPr>
        <w:tc>
          <w:tcPr>
            <w:tcW w:w="3600" w:type="dxa"/>
          </w:tcPr>
          <w:p w:rsidR="006E2458" w:rsidRPr="00483B32" w:rsidRDefault="006E2458" w:rsidP="0019337E">
            <w:pPr>
              <w:pStyle w:val="ProductList-Body"/>
            </w:pPr>
            <w:r>
              <w:rPr>
                <w:rFonts w:ascii="Segoe UI" w:hAnsi="Segoe UI"/>
                <w:color w:val="000000" w:themeColor="text1"/>
                <w:szCs w:val="18"/>
              </w:rPr>
              <w:lastRenderedPageBreak/>
              <w:t>Office Standard 2013</w:t>
            </w:r>
            <w:r>
              <w:fldChar w:fldCharType="begin"/>
            </w:r>
            <w:r>
              <w:instrText>XE "Office Standard 2013"</w:instrText>
            </w:r>
            <w:r>
              <w:fldChar w:fldCharType="end"/>
            </w:r>
          </w:p>
          <w:p w:rsidR="006E2458" w:rsidRPr="00483B32" w:rsidRDefault="006E2458" w:rsidP="0019337E">
            <w:pPr>
              <w:pStyle w:val="ProductList-Body"/>
            </w:pPr>
            <w:r>
              <w:rPr>
                <w:rFonts w:ascii="Segoe UI" w:hAnsi="Segoe UI"/>
                <w:color w:val="000000" w:themeColor="text1"/>
                <w:szCs w:val="18"/>
              </w:rPr>
              <w:t>Office Professionnel Plus 2013</w:t>
            </w:r>
            <w:r>
              <w:fldChar w:fldCharType="begin"/>
            </w:r>
            <w:r>
              <w:instrText>XE "Office Professionnel Plus 2013"</w:instrText>
            </w:r>
            <w:r>
              <w:fldChar w:fldCharType="end"/>
            </w:r>
            <w:r>
              <w:rPr>
                <w:rFonts w:ascii="Segoe UI" w:hAnsi="Segoe UI"/>
                <w:color w:val="000000" w:themeColor="text1"/>
                <w:szCs w:val="18"/>
              </w:rPr>
              <w:t xml:space="preserve"> </w:t>
            </w:r>
          </w:p>
          <w:p w:rsidR="006E2458" w:rsidRPr="00483B32" w:rsidRDefault="006E2458" w:rsidP="0019337E">
            <w:pPr>
              <w:pStyle w:val="ProductList-Body"/>
            </w:pPr>
            <w:r>
              <w:rPr>
                <w:rFonts w:ascii="Segoe UI" w:hAnsi="Segoe UI"/>
                <w:color w:val="000000" w:themeColor="text1"/>
                <w:szCs w:val="18"/>
              </w:rPr>
              <w:t>Project Standard 2013</w:t>
            </w:r>
            <w:r>
              <w:fldChar w:fldCharType="begin"/>
            </w:r>
            <w:r>
              <w:instrText>XE "Project Standard 2013"</w:instrText>
            </w:r>
            <w:r>
              <w:fldChar w:fldCharType="end"/>
            </w:r>
          </w:p>
          <w:p w:rsidR="006E2458" w:rsidRPr="00483B32" w:rsidRDefault="006E2458" w:rsidP="0019337E">
            <w:pPr>
              <w:pStyle w:val="ProductList-Body"/>
            </w:pPr>
            <w:r>
              <w:rPr>
                <w:rFonts w:ascii="Segoe UI" w:hAnsi="Segoe UI"/>
                <w:color w:val="000000" w:themeColor="text1"/>
                <w:szCs w:val="18"/>
              </w:rPr>
              <w:t>Project Professional 2013</w:t>
            </w:r>
            <w:r>
              <w:fldChar w:fldCharType="begin"/>
            </w:r>
            <w:r>
              <w:instrText>XE "Project Professional 2013"</w:instrText>
            </w:r>
            <w:r>
              <w:fldChar w:fldCharType="end"/>
            </w:r>
          </w:p>
          <w:p w:rsidR="006E2458" w:rsidRPr="00483B32" w:rsidRDefault="006E2458" w:rsidP="0019337E">
            <w:pPr>
              <w:pStyle w:val="ProductList-Body"/>
            </w:pPr>
            <w:r>
              <w:rPr>
                <w:rFonts w:ascii="Segoe UI" w:hAnsi="Segoe UI"/>
                <w:color w:val="000000" w:themeColor="text1"/>
                <w:szCs w:val="18"/>
              </w:rPr>
              <w:t>Visio Standard 2013</w:t>
            </w:r>
            <w:r>
              <w:fldChar w:fldCharType="begin"/>
            </w:r>
            <w:r>
              <w:instrText>XE "Visio Standard 2013"</w:instrText>
            </w:r>
            <w:r>
              <w:fldChar w:fldCharType="end"/>
            </w:r>
          </w:p>
          <w:p w:rsidR="006E2458" w:rsidRPr="002123CF" w:rsidRDefault="006E2458" w:rsidP="0019337E">
            <w:pPr>
              <w:pStyle w:val="ProductList-Body"/>
              <w:rPr>
                <w:rFonts w:ascii="Segoe UI" w:hAnsi="Segoe UI"/>
                <w:color w:val="000000" w:themeColor="text1"/>
                <w:szCs w:val="18"/>
              </w:rPr>
            </w:pPr>
            <w:r>
              <w:rPr>
                <w:rFonts w:ascii="Segoe UI" w:hAnsi="Segoe UI"/>
                <w:color w:val="000000" w:themeColor="text1"/>
                <w:szCs w:val="18"/>
              </w:rPr>
              <w:t>Visio Professional 2013</w:t>
            </w:r>
            <w:r>
              <w:fldChar w:fldCharType="begin"/>
            </w:r>
            <w:r>
              <w:instrText>XE "Visio Professional 2013"</w:instrText>
            </w:r>
            <w:r>
              <w:fldChar w:fldCharType="end"/>
            </w:r>
          </w:p>
        </w:tc>
        <w:tc>
          <w:tcPr>
            <w:tcW w:w="3600" w:type="dxa"/>
          </w:tcPr>
          <w:p w:rsidR="006E2458" w:rsidRPr="005A3AB0" w:rsidRDefault="006E2458" w:rsidP="0019337E">
            <w:pPr>
              <w:pStyle w:val="ProductList-Body"/>
              <w:rPr>
                <w:lang w:val="en-IN"/>
              </w:rPr>
            </w:pPr>
            <w:r w:rsidRPr="005A3AB0">
              <w:rPr>
                <w:rFonts w:ascii="Segoe UI" w:hAnsi="Segoe UI"/>
                <w:color w:val="000000" w:themeColor="text1"/>
                <w:szCs w:val="18"/>
                <w:lang w:val="en-IN"/>
              </w:rPr>
              <w:t>Access 2013</w:t>
            </w:r>
            <w:r>
              <w:fldChar w:fldCharType="begin"/>
            </w:r>
            <w:r w:rsidRPr="005A3AB0">
              <w:rPr>
                <w:lang w:val="en-IN"/>
              </w:rPr>
              <w:instrText>XE "Access 2013"</w:instrText>
            </w:r>
            <w:r>
              <w:fldChar w:fldCharType="end"/>
            </w:r>
          </w:p>
          <w:p w:rsidR="006E2458" w:rsidRPr="005A3AB0" w:rsidRDefault="006E2458" w:rsidP="0019337E">
            <w:pPr>
              <w:pStyle w:val="ProductList-Body"/>
              <w:rPr>
                <w:lang w:val="en-IN"/>
              </w:rPr>
            </w:pPr>
            <w:r w:rsidRPr="005A3AB0">
              <w:rPr>
                <w:rFonts w:ascii="Segoe UI" w:hAnsi="Segoe UI"/>
                <w:color w:val="000000" w:themeColor="text1"/>
                <w:szCs w:val="18"/>
                <w:lang w:val="en-IN"/>
              </w:rPr>
              <w:t>Excel 2013</w:t>
            </w:r>
            <w:r>
              <w:fldChar w:fldCharType="begin"/>
            </w:r>
            <w:r w:rsidRPr="005A3AB0">
              <w:rPr>
                <w:lang w:val="en-IN"/>
              </w:rPr>
              <w:instrText>XE "Excel 2013"</w:instrText>
            </w:r>
            <w:r>
              <w:fldChar w:fldCharType="end"/>
            </w:r>
            <w:r w:rsidRPr="005A3AB0">
              <w:rPr>
                <w:rFonts w:ascii="Segoe UI" w:hAnsi="Segoe UI"/>
                <w:color w:val="000000" w:themeColor="text1"/>
                <w:szCs w:val="18"/>
                <w:lang w:val="en-IN"/>
              </w:rPr>
              <w:t xml:space="preserve"> </w:t>
            </w:r>
          </w:p>
          <w:p w:rsidR="006E2458" w:rsidRPr="005A3AB0" w:rsidRDefault="006E2458" w:rsidP="0019337E">
            <w:pPr>
              <w:pStyle w:val="ProductList-Body"/>
              <w:rPr>
                <w:lang w:val="en-IN"/>
              </w:rPr>
            </w:pPr>
            <w:r w:rsidRPr="005A3AB0">
              <w:rPr>
                <w:rFonts w:ascii="Segoe UI" w:hAnsi="Segoe UI"/>
                <w:color w:val="000000" w:themeColor="text1"/>
                <w:szCs w:val="18"/>
                <w:lang w:val="en-IN"/>
              </w:rPr>
              <w:t>InfoPath 2013</w:t>
            </w:r>
            <w:r>
              <w:fldChar w:fldCharType="begin"/>
            </w:r>
            <w:r w:rsidRPr="005A3AB0">
              <w:rPr>
                <w:lang w:val="en-IN"/>
              </w:rPr>
              <w:instrText>XE "InfoPath 2013"</w:instrText>
            </w:r>
            <w:r>
              <w:fldChar w:fldCharType="end"/>
            </w:r>
          </w:p>
          <w:p w:rsidR="006E2458" w:rsidRPr="005A3AB0" w:rsidRDefault="006E2458" w:rsidP="0019337E">
            <w:pPr>
              <w:pStyle w:val="ProductList-Body"/>
              <w:rPr>
                <w:lang w:val="en-IN"/>
              </w:rPr>
            </w:pPr>
            <w:r w:rsidRPr="005A3AB0">
              <w:rPr>
                <w:rFonts w:ascii="Segoe UI" w:hAnsi="Segoe UI"/>
                <w:color w:val="000000" w:themeColor="text1"/>
                <w:szCs w:val="18"/>
                <w:lang w:val="en-IN"/>
              </w:rPr>
              <w:t>Lync 2013</w:t>
            </w:r>
            <w:r>
              <w:fldChar w:fldCharType="begin"/>
            </w:r>
            <w:r w:rsidRPr="005A3AB0">
              <w:rPr>
                <w:lang w:val="en-IN"/>
              </w:rPr>
              <w:instrText>XE "Lync 2013"</w:instrText>
            </w:r>
            <w:r>
              <w:fldChar w:fldCharType="end"/>
            </w:r>
          </w:p>
          <w:p w:rsidR="006E2458" w:rsidRPr="005A3AB0" w:rsidRDefault="006E2458" w:rsidP="0019337E">
            <w:pPr>
              <w:pStyle w:val="ProductList-Body"/>
              <w:rPr>
                <w:lang w:val="en-IN"/>
              </w:rPr>
            </w:pPr>
            <w:r w:rsidRPr="005A3AB0">
              <w:rPr>
                <w:rFonts w:ascii="Segoe UI" w:hAnsi="Segoe UI"/>
                <w:color w:val="000000" w:themeColor="text1"/>
                <w:szCs w:val="18"/>
                <w:lang w:val="en-IN"/>
              </w:rPr>
              <w:t>OneNote 2013</w:t>
            </w:r>
            <w:r>
              <w:fldChar w:fldCharType="begin"/>
            </w:r>
            <w:r w:rsidRPr="005A3AB0">
              <w:rPr>
                <w:lang w:val="en-IN"/>
              </w:rPr>
              <w:instrText>XE "OneNote 2013"</w:instrText>
            </w:r>
            <w:r>
              <w:fldChar w:fldCharType="end"/>
            </w:r>
          </w:p>
          <w:p w:rsidR="006E2458" w:rsidRPr="00483B32" w:rsidRDefault="006E2458" w:rsidP="0019337E">
            <w:pPr>
              <w:pStyle w:val="ProductList-Body"/>
            </w:pPr>
            <w:r>
              <w:rPr>
                <w:rFonts w:ascii="Segoe UI" w:hAnsi="Segoe UI"/>
                <w:color w:val="000000" w:themeColor="text1"/>
                <w:szCs w:val="18"/>
              </w:rPr>
              <w:t>Outlook 2013</w:t>
            </w:r>
            <w:r>
              <w:fldChar w:fldCharType="begin"/>
            </w:r>
            <w:r>
              <w:instrText>XE "Outlook 2013"</w:instrText>
            </w:r>
            <w:r>
              <w:fldChar w:fldCharType="end"/>
            </w:r>
          </w:p>
          <w:p w:rsidR="006E2458" w:rsidRPr="00483B32" w:rsidRDefault="006E2458" w:rsidP="0019337E">
            <w:pPr>
              <w:pStyle w:val="ProductList-Body"/>
            </w:pPr>
            <w:r>
              <w:rPr>
                <w:rFonts w:ascii="Segoe UI" w:hAnsi="Segoe UI"/>
                <w:color w:val="000000" w:themeColor="text1"/>
                <w:szCs w:val="18"/>
              </w:rPr>
              <w:t>PowerPoint 2013</w:t>
            </w:r>
            <w:r>
              <w:fldChar w:fldCharType="begin"/>
            </w:r>
            <w:r>
              <w:instrText>XE "PowerPoint 2013"</w:instrText>
            </w:r>
            <w:r>
              <w:fldChar w:fldCharType="end"/>
            </w:r>
          </w:p>
          <w:p w:rsidR="006E2458" w:rsidRPr="00483B32" w:rsidRDefault="006E2458" w:rsidP="0019337E">
            <w:pPr>
              <w:pStyle w:val="ProductList-Body"/>
            </w:pPr>
            <w:r>
              <w:rPr>
                <w:rFonts w:ascii="Segoe UI" w:hAnsi="Segoe UI"/>
                <w:color w:val="000000" w:themeColor="text1"/>
                <w:szCs w:val="18"/>
              </w:rPr>
              <w:t>Publisher 2013</w:t>
            </w:r>
            <w:r>
              <w:fldChar w:fldCharType="begin"/>
            </w:r>
            <w:r>
              <w:instrText>XE "Publisher 2013"</w:instrText>
            </w:r>
            <w:r>
              <w:fldChar w:fldCharType="end"/>
            </w:r>
          </w:p>
          <w:p w:rsidR="006E2458" w:rsidRPr="002123CF" w:rsidRDefault="006E2458" w:rsidP="0019337E">
            <w:pPr>
              <w:pStyle w:val="ProductList-Body"/>
              <w:rPr>
                <w:rFonts w:ascii="Segoe UI" w:hAnsi="Segoe UI"/>
                <w:color w:val="000000" w:themeColor="text1"/>
                <w:szCs w:val="18"/>
              </w:rPr>
            </w:pPr>
            <w:r>
              <w:rPr>
                <w:rFonts w:ascii="Segoe UI" w:hAnsi="Segoe UI"/>
                <w:color w:val="000000" w:themeColor="text1"/>
                <w:szCs w:val="18"/>
              </w:rPr>
              <w:t>Word 2013</w:t>
            </w:r>
            <w:r>
              <w:fldChar w:fldCharType="begin"/>
            </w:r>
            <w:r>
              <w:instrText>XE "Word 2013"</w:instrText>
            </w:r>
            <w:r>
              <w:fldChar w:fldCharType="end"/>
            </w:r>
          </w:p>
        </w:tc>
        <w:tc>
          <w:tcPr>
            <w:tcW w:w="3600" w:type="dxa"/>
          </w:tcPr>
          <w:p w:rsidR="006E2458" w:rsidRPr="00483B32" w:rsidRDefault="006E2458" w:rsidP="0019337E">
            <w:pPr>
              <w:pStyle w:val="ProductList-Body"/>
            </w:pPr>
            <w:r>
              <w:rPr>
                <w:rFonts w:ascii="Segoe UI" w:hAnsi="Segoe UI"/>
                <w:color w:val="000000" w:themeColor="text1"/>
                <w:szCs w:val="18"/>
              </w:rPr>
              <w:t>Office 2011 Standard pour Mac</w:t>
            </w:r>
            <w:r>
              <w:fldChar w:fldCharType="begin"/>
            </w:r>
            <w:r>
              <w:instrText>XE "Office 2011 Standard pour Mac"</w:instrText>
            </w:r>
            <w:r>
              <w:fldChar w:fldCharType="end"/>
            </w:r>
            <w:r>
              <w:rPr>
                <w:rFonts w:ascii="Segoe UI" w:hAnsi="Segoe UI"/>
                <w:color w:val="000000" w:themeColor="text1"/>
                <w:szCs w:val="18"/>
              </w:rPr>
              <w:t xml:space="preserve"> </w:t>
            </w:r>
          </w:p>
          <w:p w:rsidR="006E2458" w:rsidRPr="00483B32" w:rsidRDefault="006E2458" w:rsidP="0019337E">
            <w:pPr>
              <w:pStyle w:val="ProductList-Body"/>
            </w:pPr>
            <w:r>
              <w:rPr>
                <w:rFonts w:ascii="Segoe UI" w:hAnsi="Segoe UI"/>
                <w:color w:val="000000" w:themeColor="text1"/>
                <w:szCs w:val="18"/>
              </w:rPr>
              <w:t>Lync 2011 pour Mac</w:t>
            </w:r>
            <w:r>
              <w:fldChar w:fldCharType="begin"/>
            </w:r>
            <w:r>
              <w:instrText>XE "Lync 2011 pour Mac"</w:instrText>
            </w:r>
            <w:r>
              <w:fldChar w:fldCharType="end"/>
            </w:r>
          </w:p>
          <w:p w:rsidR="006E2458" w:rsidRPr="00483B32" w:rsidRDefault="006E2458" w:rsidP="0019337E">
            <w:pPr>
              <w:pStyle w:val="ProductList-Body"/>
            </w:pPr>
            <w:r>
              <w:rPr>
                <w:rFonts w:ascii="Segoe UI" w:hAnsi="Segoe UI"/>
                <w:color w:val="000000" w:themeColor="text1"/>
                <w:szCs w:val="18"/>
              </w:rPr>
              <w:t>Outlook 2011 pour Mac</w:t>
            </w:r>
            <w:r>
              <w:fldChar w:fldCharType="begin"/>
            </w:r>
            <w:r>
              <w:instrText>XE "Outlook 2011 pour Mac"</w:instrText>
            </w:r>
            <w:r>
              <w:fldChar w:fldCharType="end"/>
            </w:r>
          </w:p>
          <w:p w:rsidR="006E2458" w:rsidRPr="00483B32" w:rsidRDefault="006E2458" w:rsidP="0019337E">
            <w:pPr>
              <w:pStyle w:val="ProductList-Body"/>
            </w:pPr>
            <w:r>
              <w:rPr>
                <w:rFonts w:ascii="Segoe UI" w:hAnsi="Segoe UI"/>
                <w:color w:val="000000" w:themeColor="text1"/>
                <w:szCs w:val="18"/>
              </w:rPr>
              <w:t>PowerPoint 2011 pour Mac</w:t>
            </w:r>
            <w:r>
              <w:fldChar w:fldCharType="begin"/>
            </w:r>
            <w:r>
              <w:instrText>XE "PowerPoint 2011 pour Mac"</w:instrText>
            </w:r>
            <w:r>
              <w:fldChar w:fldCharType="end"/>
            </w:r>
          </w:p>
          <w:p w:rsidR="006E2458" w:rsidRPr="00483B32" w:rsidRDefault="006E2458" w:rsidP="0019337E">
            <w:pPr>
              <w:pStyle w:val="ProductList-Body"/>
            </w:pPr>
            <w:r>
              <w:rPr>
                <w:rFonts w:ascii="Segoe UI" w:hAnsi="Segoe UI"/>
                <w:color w:val="000000" w:themeColor="text1"/>
                <w:szCs w:val="18"/>
              </w:rPr>
              <w:t>Excel 2011 pour Mac</w:t>
            </w:r>
            <w:r>
              <w:fldChar w:fldCharType="begin"/>
            </w:r>
            <w:r>
              <w:instrText>XE "Excel 2011 pour Mac"</w:instrText>
            </w:r>
            <w:r>
              <w:fldChar w:fldCharType="end"/>
            </w:r>
          </w:p>
          <w:p w:rsidR="006E2458" w:rsidRPr="002123CF" w:rsidRDefault="006E2458" w:rsidP="0019337E">
            <w:pPr>
              <w:pStyle w:val="ProductList-Body"/>
              <w:rPr>
                <w:rFonts w:ascii="Segoe UI" w:hAnsi="Segoe UI"/>
                <w:color w:val="000000" w:themeColor="text1"/>
                <w:szCs w:val="18"/>
              </w:rPr>
            </w:pPr>
            <w:r>
              <w:rPr>
                <w:rFonts w:ascii="Segoe UI" w:hAnsi="Segoe UI"/>
                <w:color w:val="000000" w:themeColor="text1"/>
                <w:szCs w:val="18"/>
              </w:rPr>
              <w:t>Word 2011 pour Mac</w:t>
            </w:r>
            <w:r>
              <w:fldChar w:fldCharType="begin"/>
            </w:r>
            <w:r>
              <w:instrText>XE "Word 2011 pour Mac"</w:instrText>
            </w:r>
            <w:r>
              <w:fldChar w:fldCharType="end"/>
            </w:r>
          </w:p>
        </w:tc>
      </w:tr>
    </w:tbl>
    <w:p w:rsidR="006E2458" w:rsidRPr="00483B32" w:rsidRDefault="006E2458" w:rsidP="006E2458">
      <w:pPr>
        <w:pStyle w:val="ProductList-Body"/>
        <w:tabs>
          <w:tab w:val="clear" w:pos="158"/>
          <w:tab w:val="left" w:pos="180"/>
        </w:tabs>
      </w:pPr>
      <w:r>
        <w:rPr>
          <w:rFonts w:ascii="Segoe UI" w:hAnsi="Segoe UI"/>
          <w:color w:val="000000" w:themeColor="text1"/>
          <w:szCs w:val="18"/>
        </w:rPr>
        <w:t>Remarque : la liste des produits du Groupe Applications Office System peut faire l’objet de modifications.</w:t>
      </w:r>
    </w:p>
    <w:p w:rsidR="006E2458" w:rsidRPr="00483B32" w:rsidRDefault="006E2458" w:rsidP="006E2458">
      <w:bookmarkStart w:id="61" w:name="_Office_Online_1"/>
      <w:bookmarkStart w:id="62" w:name="_Enhanced_Edition_Benefits_1"/>
      <w:bookmarkEnd w:id="43"/>
      <w:bookmarkEnd w:id="61"/>
      <w:bookmarkEnd w:id="62"/>
    </w:p>
    <w:p w:rsidR="006E2458" w:rsidRPr="00483B32" w:rsidRDefault="006E2458" w:rsidP="006E2458">
      <w:pPr>
        <w:pStyle w:val="Heading2"/>
      </w:pPr>
      <w:bookmarkStart w:id="63" w:name="_Windows_Companion_Subscription"/>
      <w:bookmarkStart w:id="64" w:name="_Training_Vouchers"/>
      <w:bookmarkStart w:id="65" w:name="_E-Learning"/>
      <w:bookmarkStart w:id="66" w:name="_Toc403380310"/>
      <w:bookmarkStart w:id="67" w:name="_Toc403985028"/>
      <w:bookmarkStart w:id="68" w:name="_Toc428272537"/>
      <w:bookmarkEnd w:id="63"/>
      <w:bookmarkEnd w:id="64"/>
      <w:bookmarkEnd w:id="65"/>
      <w:r>
        <w:t>E-Learning</w:t>
      </w:r>
      <w:bookmarkEnd w:id="66"/>
      <w:bookmarkEnd w:id="67"/>
      <w:bookmarkEnd w:id="68"/>
    </w:p>
    <w:p w:rsidR="006E2458" w:rsidRPr="00483B32" w:rsidRDefault="006E2458" w:rsidP="006E2458">
      <w:pPr>
        <w:pStyle w:val="ProductList-Body"/>
      </w:pPr>
      <w:r>
        <w:rPr>
          <w:rFonts w:ascii="Segoe UI" w:hAnsi="Segoe UI"/>
          <w:color w:val="000000" w:themeColor="text1"/>
          <w:szCs w:val="18"/>
        </w:rPr>
        <w:t>Si vous achetez un Produit qui vous donne droit à l’avantage E-Learning, vous pourrez prétendre à un code d’accès par groupe de Produits concerné (Applications, Systèmes et Serveurs) et par Compte d’Achats. Vous êtes également autorisé à télécharger les fichiers E-Learning orientés contenu, compatibles avec le modèle SCORM, (pour certaines Applications et certains Systèmes) à partir de MVLC et à les importer dans votre Système de Gestion des Formations (Learning Management System, LMS). Aucun code d’accès n’est requis pour télécharger les fichiers à partir de MVLC.</w:t>
      </w:r>
    </w:p>
    <w:p w:rsidR="006E2458" w:rsidRPr="00483B32" w:rsidRDefault="006E2458" w:rsidP="006E2458">
      <w:pPr>
        <w:pStyle w:val="ProductList-Body"/>
        <w:spacing w:before="120" w:after="120"/>
      </w:pPr>
      <w:r>
        <w:rPr>
          <w:rFonts w:ascii="Segoe UI" w:hAnsi="Segoe UI"/>
          <w:color w:val="000000" w:themeColor="text1"/>
          <w:szCs w:val="18"/>
        </w:rPr>
        <w:t>Le nombre maximum de vos utilisateurs pouvant utiliser la formation E-Learning est égal au nombre de copies sous licence des Produits éligibles couverts par la Software Assurance. Vous devez désigner un utilisateur pour chaque licence éligible. L’accès ne peut pas être transféré d’une personne à une autre.</w:t>
      </w:r>
    </w:p>
    <w:p w:rsidR="006E2458" w:rsidRPr="00483B32" w:rsidRDefault="006E2458" w:rsidP="006E2458">
      <w:pPr>
        <w:pStyle w:val="ProductList-Body"/>
      </w:pPr>
      <w:r>
        <w:rPr>
          <w:rFonts w:ascii="Segoe UI" w:hAnsi="Segoe UI"/>
          <w:color w:val="000000" w:themeColor="text1"/>
          <w:szCs w:val="18"/>
        </w:rPr>
        <w:t>Sous réserve des conditions d’éligibilité, vous pouvez acheter les kits E-Learning auprès du centre de fourniture régional si l’option en ligne n’est pas suffisante.</w:t>
      </w:r>
    </w:p>
    <w:p w:rsidR="006E2458" w:rsidRPr="00483B32" w:rsidRDefault="006E2458" w:rsidP="006E2458">
      <w:pPr>
        <w:pStyle w:val="ProductList-Body"/>
      </w:pPr>
      <w:r>
        <w:rPr>
          <w:rFonts w:ascii="Segoe UI" w:hAnsi="Segoe UI"/>
          <w:color w:val="000000" w:themeColor="text1"/>
          <w:szCs w:val="18"/>
        </w:rPr>
        <w:t>Le déploiement et l’utilisation des cours E-Learning sont régis par les conditions générales du contrat de licence.</w:t>
      </w:r>
    </w:p>
    <w:p w:rsidR="006E2458" w:rsidRPr="00483B32" w:rsidRDefault="006E2458" w:rsidP="006E2458">
      <w:pPr>
        <w:pStyle w:val="ProductList-Body"/>
        <w:rPr>
          <w:highlight w:val="yellow"/>
        </w:rPr>
      </w:pPr>
    </w:p>
    <w:p w:rsidR="006E2458" w:rsidRPr="00483B32" w:rsidRDefault="006E2458" w:rsidP="006E2458">
      <w:pPr>
        <w:pStyle w:val="ProductList-Body"/>
      </w:pPr>
      <w:r>
        <w:rPr>
          <w:rFonts w:ascii="Segoe UI" w:hAnsi="Segoe UI"/>
          <w:color w:val="000000" w:themeColor="text1"/>
          <w:szCs w:val="18"/>
        </w:rPr>
        <w:t>Si vos Produits Applications ou Systèmes éligibles sont couverts par une SA, vous êtes autorisé à utiliser les cours E-Learning hébergés et le contenu compatible SCORM. Si vous disposez de Produits Serveurs éligibles, vous êtes autorisé à utiliser les cours E-Learning Serveurs hébergés mais pas les contenus compatibles SCORM.</w:t>
      </w:r>
    </w:p>
    <w:p w:rsidR="006E2458" w:rsidRPr="00483B32" w:rsidRDefault="006E2458" w:rsidP="006E2458">
      <w:pPr>
        <w:pStyle w:val="Heading2"/>
      </w:pPr>
      <w:bookmarkStart w:id="69" w:name="_Home_Use_Program"/>
      <w:bookmarkStart w:id="70" w:name="_Toc403380311"/>
      <w:bookmarkStart w:id="71" w:name="_Toc403985029"/>
      <w:bookmarkStart w:id="72" w:name="_Toc428272538"/>
      <w:bookmarkEnd w:id="69"/>
      <w:r>
        <w:t>Home Use Program (Programme d’Utilisation à Domicile)</w:t>
      </w:r>
      <w:bookmarkEnd w:id="70"/>
      <w:bookmarkEnd w:id="71"/>
      <w:bookmarkEnd w:id="72"/>
    </w:p>
    <w:p w:rsidR="006E2458" w:rsidRPr="00483B32" w:rsidRDefault="006E2458" w:rsidP="006E2458">
      <w:pPr>
        <w:pStyle w:val="ProductList-Body"/>
        <w:spacing w:after="120"/>
      </w:pPr>
      <w:r>
        <w:rPr>
          <w:rFonts w:ascii="Segoe UI" w:hAnsi="Segoe UI"/>
          <w:color w:val="000000" w:themeColor="text1"/>
          <w:szCs w:val="18"/>
        </w:rPr>
        <w:t>Si vos applications bureautiques éligibles sont couvertes par une SA active, vous êtes autorisé à participer au Programme d’Utilisation à Domicile, qui permet à vos employés, qui sont des utilisateurs des applications éligibles sous licence, d’acheter une licence unique du logiciel du Programme d’Utilisation à Domicile correspondant, et de l’installer sur un maximum de deux dispositifs (2 PC ou 2 Mac, selon le logiciel acheté), pour chaque licence de l’application bureautique applicable que vous achetez. Sous réserve que vos employés se procurent les clés de Produit du Programme d’Utilisation à Domicile appropriées auprès de Microsoft au préalable, vous pouvez autoriser vos employés à installer le logiciel du Programme d’Utilisation à Domicile correspondant, acheté par vos soins en vertu de votre MPSA, sur leur ordinateur ou périphérique mobile personnel dans vos locaux. En cas de mise sur le marché d’une nouvelle version durant la période d’utilisation éligible, les principaux utilisateurs pourront acheter cette dernière version pour remplacer leur version actuelle. Reportez-vous au tableau ci-dessous pour connaître les applications bureautiques qui vous permettent de participer au Programme d’Utilisation à Domicile et celles disponibles dans le cadre du Programme d’Utilisation à Domicile.</w:t>
      </w:r>
    </w:p>
    <w:p w:rsidR="006E2458" w:rsidRPr="00483B32" w:rsidRDefault="006E2458" w:rsidP="006E2458">
      <w:pPr>
        <w:pStyle w:val="ProductList-Body"/>
      </w:pPr>
      <w:r>
        <w:rPr>
          <w:rFonts w:ascii="Segoe UI" w:hAnsi="Segoe UI"/>
          <w:color w:val="000000" w:themeColor="text1"/>
          <w:szCs w:val="18"/>
        </w:rPr>
        <w:t>Microsoft se réserve le droit de résilier votre participation au Programme d’Utilisation à Domicile immédiatement et sans préavis, en cas d’accès non autorisé au site Web du Programme d’Utilisation à Domicile ou de concession de licence non autorisée par l’intermédiaire dudit site via votre code de programme.</w:t>
      </w:r>
    </w:p>
    <w:p w:rsidR="006E2458" w:rsidRPr="00483B32" w:rsidRDefault="006E2458" w:rsidP="006E2458">
      <w:pPr>
        <w:pStyle w:val="ProductList-Body"/>
        <w:spacing w:before="120" w:after="120"/>
      </w:pPr>
      <w:r>
        <w:rPr>
          <w:rFonts w:ascii="Segoe UI" w:hAnsi="Segoe UI"/>
          <w:color w:val="000000" w:themeColor="text1"/>
          <w:szCs w:val="18"/>
        </w:rPr>
        <w:t>Les Licences d’Utilisation à Domicile prennent fin à la cessation du contrat de travail des employés concernés, à l’expiration ou à la résiliation de la SA pour la copie de l’application bureautique correspondante utilisée par les employés sur le lieu de travail, si les employés ne sont plus des utilisateurs de la copie sous licence du logiciel ou dès qu’ils installent et utilisent toute version antérieure ou ultérieure de l’application bureautique conformément à une licence du Programme d’Utilisation à Domicile.</w:t>
      </w:r>
    </w:p>
    <w:p w:rsidR="006E2458" w:rsidRPr="00483B32" w:rsidRDefault="006E2458" w:rsidP="006E2458">
      <w:pPr>
        <w:pStyle w:val="ProductList-Body"/>
      </w:pPr>
      <w:r>
        <w:rPr>
          <w:rFonts w:ascii="Segoe UI" w:hAnsi="Segoe UI"/>
          <w:color w:val="000000" w:themeColor="text1"/>
          <w:szCs w:val="18"/>
        </w:rPr>
        <w:t xml:space="preserve">Les conditions d’utilisation du logiciel du Programme d’Utilisation à Domicile sont conclues entre Microsoft et votre employé et accessibles par l’intermédiaire du site Web du Programme d’Utilisation à Domicile. Ces conditions peuvent différer des droits accordés dans le cadre du contrat MPSA. Vous devez limiter l’accès au Programme d’Utilisation à Domicile à vos employés et leur demander de </w:t>
      </w:r>
      <w:r>
        <w:rPr>
          <w:rFonts w:ascii="Segoe UI" w:hAnsi="Segoe UI"/>
          <w:color w:val="000000" w:themeColor="text1"/>
          <w:szCs w:val="18"/>
        </w:rPr>
        <w:lastRenderedPageBreak/>
        <w:t>cesser d’utiliser le logiciel du Programme d’Utilisation à Domicile après l’expiration de la Software Assurance ou de leur contrat de travail.</w:t>
      </w:r>
    </w:p>
    <w:p w:rsidR="006E2458" w:rsidRPr="00483B32" w:rsidRDefault="006E2458" w:rsidP="006E2458">
      <w:pPr>
        <w:pStyle w:val="ProductList-Body"/>
        <w:spacing w:before="120"/>
      </w:pPr>
      <w:r>
        <w:rPr>
          <w:rFonts w:ascii="Segoe UI" w:hAnsi="Segoe UI"/>
          <w:color w:val="000000" w:themeColor="text1"/>
          <w:szCs w:val="18"/>
        </w:rPr>
        <w:t>La participation à ce programme peut avoir des implications fiscales pour votre établissement et vos employés. Microsoft n’assume aucune responsabilité quant au respect de toute obligation de prestation assurance-chômage, obligation fiscale ou de signalement à laquelle votre établissement ou vos employés seraient tenus. Des conditions supplémentaires s’appliquent pour les employés travaillant en Nouvelle Zélande :</w:t>
      </w:r>
    </w:p>
    <w:p w:rsidR="006E2458" w:rsidRPr="00483B32" w:rsidRDefault="006E2458" w:rsidP="006E2458">
      <w:pPr>
        <w:pStyle w:val="BodyText"/>
        <w:numPr>
          <w:ilvl w:val="0"/>
          <w:numId w:val="16"/>
        </w:numPr>
        <w:spacing w:after="0"/>
      </w:pPr>
      <w:r>
        <w:t>Vous n’êtes pas autorisé à exiger de paiement ou de contrepartie de la part de vos employés en rapport avec le Programme d’Utilisation à Domicile, ni à agir, directement ou par omission, de quelque façon que ce soit pouvant résulter en une augmentation du coût total de tout avantage du Programme d’Utilisation à Domicile pour un employé travaillant en Nouvelle Zélande, au-delà du montant facturé par Microsoft.</w:t>
      </w:r>
    </w:p>
    <w:p w:rsidR="006E2458" w:rsidRPr="00483B32" w:rsidRDefault="006E2458" w:rsidP="006E2458">
      <w:pPr>
        <w:pStyle w:val="BodyText"/>
        <w:numPr>
          <w:ilvl w:val="0"/>
          <w:numId w:val="16"/>
        </w:numPr>
        <w:spacing w:after="0"/>
      </w:pPr>
      <w:r>
        <w:t>Vous vous engagez à indemniser et garantir Microsoft et ses affiliés contre tous coûts, dépenses, pertes ou dommages encourus qui résulteraient d’un manquement de votre part aux obligations prévues dans cette section.</w:t>
      </w:r>
    </w:p>
    <w:p w:rsidR="006E2458" w:rsidRPr="00483B32" w:rsidRDefault="006E2458" w:rsidP="006E2458">
      <w:pPr>
        <w:pStyle w:val="BodyText"/>
        <w:spacing w:after="0"/>
      </w:pPr>
    </w:p>
    <w:p w:rsidR="006E2458" w:rsidRPr="00483B32" w:rsidRDefault="006E2458" w:rsidP="006E2458">
      <w:pPr>
        <w:pStyle w:val="ProductList-Body"/>
      </w:pPr>
      <w:r>
        <w:rPr>
          <w:rFonts w:ascii="Segoe UI" w:hAnsi="Segoe UI"/>
          <w:color w:val="000000" w:themeColor="text1"/>
          <w:szCs w:val="18"/>
        </w:rPr>
        <w:t xml:space="preserve">Les applications bureautiques éligibles et disponibles dans le cadre du Programme d’Utilisation à Domicile sont indiquées ci-dessous :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55"/>
        <w:gridCol w:w="5355"/>
      </w:tblGrid>
      <w:tr w:rsidR="006E2458" w:rsidRPr="00E23144" w:rsidTr="0019337E">
        <w:trPr>
          <w:trHeight w:val="60"/>
          <w:tblHeader/>
        </w:trPr>
        <w:tc>
          <w:tcPr>
            <w:tcW w:w="5355" w:type="dxa"/>
            <w:shd w:val="clear" w:color="auto" w:fill="FFC000" w:themeFill="accent4"/>
            <w:tcMar>
              <w:top w:w="0" w:type="dxa"/>
              <w:left w:w="108" w:type="dxa"/>
              <w:bottom w:w="0" w:type="dxa"/>
              <w:right w:w="108" w:type="dxa"/>
            </w:tcMar>
            <w:vAlign w:val="center"/>
          </w:tcPr>
          <w:p w:rsidR="006E2458" w:rsidRPr="002123CF" w:rsidRDefault="006E2458"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Applications bureautiques éligibles</w:t>
            </w:r>
          </w:p>
        </w:tc>
        <w:tc>
          <w:tcPr>
            <w:tcW w:w="5355" w:type="dxa"/>
            <w:shd w:val="clear" w:color="auto" w:fill="FFC000" w:themeFill="accent4"/>
            <w:tcMar>
              <w:top w:w="0" w:type="dxa"/>
              <w:left w:w="108" w:type="dxa"/>
              <w:bottom w:w="0" w:type="dxa"/>
              <w:right w:w="108" w:type="dxa"/>
            </w:tcMar>
            <w:vAlign w:val="center"/>
          </w:tcPr>
          <w:p w:rsidR="006E2458" w:rsidRPr="002123CF" w:rsidRDefault="006E2458" w:rsidP="0019337E">
            <w:pPr>
              <w:pStyle w:val="ProductList-Body"/>
              <w:spacing w:before="20" w:after="20"/>
              <w:rPr>
                <w:rFonts w:ascii="Segoe UI" w:hAnsi="Segoe UI"/>
                <w:color w:val="FFFFFF" w:themeColor="background1"/>
                <w:szCs w:val="18"/>
              </w:rPr>
            </w:pPr>
            <w:r>
              <w:rPr>
                <w:rFonts w:ascii="Segoe UI" w:hAnsi="Segoe UI"/>
                <w:color w:val="FFFFFF" w:themeColor="background1"/>
                <w:szCs w:val="18"/>
              </w:rPr>
              <w:t>Licence du Programme d’Utilisation à Domicile correspondant</w:t>
            </w:r>
          </w:p>
        </w:tc>
      </w:tr>
      <w:tr w:rsidR="006E2458" w:rsidRPr="00E23144" w:rsidTr="0019337E">
        <w:trPr>
          <w:trHeight w:val="438"/>
        </w:trPr>
        <w:tc>
          <w:tcPr>
            <w:tcW w:w="5355" w:type="dxa"/>
            <w:tcMar>
              <w:top w:w="0" w:type="dxa"/>
              <w:left w:w="108" w:type="dxa"/>
              <w:bottom w:w="0" w:type="dxa"/>
              <w:right w:w="108" w:type="dxa"/>
            </w:tcMar>
            <w:vAlign w:val="center"/>
          </w:tcPr>
          <w:p w:rsidR="006E2458" w:rsidRPr="00483B32" w:rsidRDefault="006E2458" w:rsidP="0019337E">
            <w:pPr>
              <w:pStyle w:val="ProductList-Body"/>
            </w:pPr>
            <w:r>
              <w:rPr>
                <w:rFonts w:ascii="Segoe UI" w:hAnsi="Segoe UI"/>
                <w:color w:val="000000" w:themeColor="text1"/>
                <w:szCs w:val="18"/>
              </w:rPr>
              <w:t>Office Standard 2010/2013</w:t>
            </w:r>
          </w:p>
          <w:p w:rsidR="006E2458" w:rsidRPr="00483B32" w:rsidRDefault="006E2458" w:rsidP="0019337E">
            <w:pPr>
              <w:pStyle w:val="ProductList-Body"/>
            </w:pPr>
            <w:r>
              <w:rPr>
                <w:rFonts w:ascii="Segoe UI" w:hAnsi="Segoe UI"/>
                <w:color w:val="000000" w:themeColor="text1"/>
                <w:szCs w:val="18"/>
              </w:rPr>
              <w:t>Office Professionnel Plus 2010</w:t>
            </w:r>
            <w:r>
              <w:fldChar w:fldCharType="begin"/>
            </w:r>
            <w:r>
              <w:instrText>XE "Office Professionnel Plus 2010"</w:instrText>
            </w:r>
            <w:r>
              <w:fldChar w:fldCharType="end"/>
            </w:r>
            <w:r>
              <w:rPr>
                <w:rFonts w:ascii="Segoe UI" w:hAnsi="Segoe UI"/>
                <w:color w:val="000000" w:themeColor="text1"/>
                <w:szCs w:val="18"/>
              </w:rPr>
              <w:t>/2013</w:t>
            </w:r>
          </w:p>
          <w:p w:rsidR="006E2458" w:rsidRPr="002123CF" w:rsidRDefault="006E2458" w:rsidP="0019337E">
            <w:pPr>
              <w:pStyle w:val="ProductList-Body"/>
              <w:rPr>
                <w:rFonts w:ascii="Segoe UI" w:hAnsi="Segoe UI"/>
                <w:color w:val="000000" w:themeColor="text1"/>
                <w:szCs w:val="18"/>
              </w:rPr>
            </w:pPr>
            <w:r>
              <w:rPr>
                <w:rFonts w:ascii="Segoe UI" w:hAnsi="Segoe UI"/>
                <w:color w:val="000000" w:themeColor="text1"/>
                <w:szCs w:val="18"/>
              </w:rPr>
              <w:t>Office 2011 Standard pour Mac/Office 2016 Standard pour Mac</w:t>
            </w:r>
            <w:r>
              <w:fldChar w:fldCharType="begin"/>
            </w:r>
            <w:r>
              <w:instrText>XE "Office 2011 Standard pour Mac"</w:instrText>
            </w:r>
            <w:r>
              <w:fldChar w:fldCharType="end"/>
            </w:r>
            <w:r>
              <w:rPr>
                <w:rFonts w:ascii="Segoe UI" w:hAnsi="Segoe UI"/>
                <w:color w:val="000000" w:themeColor="text1"/>
                <w:szCs w:val="18"/>
              </w:rPr>
              <w:t xml:space="preserve"> </w:t>
            </w:r>
          </w:p>
        </w:tc>
        <w:tc>
          <w:tcPr>
            <w:tcW w:w="5355" w:type="dxa"/>
            <w:tcMar>
              <w:top w:w="0" w:type="dxa"/>
              <w:left w:w="108" w:type="dxa"/>
              <w:bottom w:w="0" w:type="dxa"/>
              <w:right w:w="108" w:type="dxa"/>
            </w:tcMar>
            <w:vAlign w:val="center"/>
          </w:tcPr>
          <w:p w:rsidR="006E2458" w:rsidRPr="00483B32" w:rsidRDefault="006E2458" w:rsidP="0019337E">
            <w:pPr>
              <w:pStyle w:val="ProductList-Body"/>
            </w:pPr>
            <w:r>
              <w:rPr>
                <w:rFonts w:ascii="Segoe UI" w:hAnsi="Segoe UI"/>
                <w:color w:val="000000" w:themeColor="text1"/>
                <w:szCs w:val="18"/>
              </w:rPr>
              <w:t>Office Professionnel Plus 2013</w:t>
            </w:r>
            <w:r>
              <w:fldChar w:fldCharType="begin"/>
            </w:r>
            <w:r>
              <w:instrText>XE "Office Professionnel Plus 2013"</w:instrText>
            </w:r>
            <w:r>
              <w:fldChar w:fldCharType="end"/>
            </w:r>
            <w:r>
              <w:rPr>
                <w:rFonts w:ascii="Segoe UI" w:hAnsi="Segoe UI"/>
                <w:color w:val="000000" w:themeColor="text1"/>
                <w:szCs w:val="18"/>
              </w:rPr>
              <w:t xml:space="preserve"> HUP, ou</w:t>
            </w:r>
          </w:p>
          <w:p w:rsidR="006E2458" w:rsidRPr="002123CF" w:rsidRDefault="006E2458" w:rsidP="0019337E">
            <w:pPr>
              <w:pStyle w:val="ProductList-Body"/>
              <w:rPr>
                <w:rFonts w:ascii="Segoe UI" w:hAnsi="Segoe UI"/>
                <w:color w:val="000000" w:themeColor="text1"/>
                <w:szCs w:val="18"/>
              </w:rPr>
            </w:pPr>
            <w:r>
              <w:rPr>
                <w:rFonts w:ascii="Segoe UI" w:hAnsi="Segoe UI"/>
                <w:color w:val="000000" w:themeColor="text1"/>
                <w:szCs w:val="18"/>
              </w:rPr>
              <w:t>Office 2016 pour Mac Famille et Petite entreprise avec Lync DL HUP</w:t>
            </w:r>
          </w:p>
        </w:tc>
      </w:tr>
      <w:tr w:rsidR="006E2458" w:rsidRPr="00E23144" w:rsidTr="0019337E">
        <w:trPr>
          <w:trHeight w:val="438"/>
        </w:trPr>
        <w:tc>
          <w:tcPr>
            <w:tcW w:w="5355" w:type="dxa"/>
            <w:tcMar>
              <w:top w:w="0" w:type="dxa"/>
              <w:left w:w="108" w:type="dxa"/>
              <w:bottom w:w="0" w:type="dxa"/>
              <w:right w:w="108" w:type="dxa"/>
            </w:tcMar>
            <w:vAlign w:val="center"/>
          </w:tcPr>
          <w:p w:rsidR="006E2458" w:rsidRPr="005A3AB0" w:rsidRDefault="006E2458" w:rsidP="0019337E">
            <w:pPr>
              <w:pStyle w:val="ProductList-Body"/>
              <w:rPr>
                <w:lang w:val="en-IN"/>
              </w:rPr>
            </w:pPr>
            <w:r w:rsidRPr="005A3AB0">
              <w:rPr>
                <w:rFonts w:ascii="Segoe UI" w:hAnsi="Segoe UI"/>
                <w:color w:val="000000" w:themeColor="text1"/>
                <w:szCs w:val="18"/>
                <w:lang w:val="en-IN"/>
              </w:rPr>
              <w:t>Access 2010/2013</w:t>
            </w:r>
          </w:p>
          <w:p w:rsidR="006E2458" w:rsidRPr="005A3AB0" w:rsidRDefault="006E2458" w:rsidP="0019337E">
            <w:pPr>
              <w:pStyle w:val="ProductList-Body"/>
              <w:rPr>
                <w:lang w:val="en-IN"/>
              </w:rPr>
            </w:pPr>
            <w:r w:rsidRPr="005A3AB0">
              <w:rPr>
                <w:rFonts w:ascii="Segoe UI" w:hAnsi="Segoe UI"/>
                <w:color w:val="000000" w:themeColor="text1"/>
                <w:szCs w:val="18"/>
                <w:lang w:val="en-IN"/>
              </w:rPr>
              <w:t>Excel 2010/2013</w:t>
            </w:r>
          </w:p>
          <w:p w:rsidR="006E2458" w:rsidRPr="005A3AB0" w:rsidRDefault="006E2458" w:rsidP="0019337E">
            <w:pPr>
              <w:pStyle w:val="ProductList-Body"/>
              <w:rPr>
                <w:lang w:val="en-IN"/>
              </w:rPr>
            </w:pPr>
            <w:r w:rsidRPr="005A3AB0">
              <w:rPr>
                <w:rFonts w:ascii="Segoe UI" w:hAnsi="Segoe UI"/>
                <w:color w:val="000000" w:themeColor="text1"/>
                <w:szCs w:val="18"/>
                <w:lang w:val="en-IN"/>
              </w:rPr>
              <w:t>PowerPoint 2010/2013</w:t>
            </w:r>
          </w:p>
          <w:p w:rsidR="006E2458" w:rsidRPr="005A3AB0" w:rsidRDefault="006E2458" w:rsidP="0019337E">
            <w:pPr>
              <w:pStyle w:val="ProductList-Body"/>
              <w:rPr>
                <w:lang w:val="en-IN"/>
              </w:rPr>
            </w:pPr>
            <w:r w:rsidRPr="005A3AB0">
              <w:rPr>
                <w:rFonts w:ascii="Segoe UI" w:hAnsi="Segoe UI"/>
                <w:color w:val="000000" w:themeColor="text1"/>
                <w:szCs w:val="18"/>
                <w:lang w:val="en-IN"/>
              </w:rPr>
              <w:t>InfoPath 2010/2013</w:t>
            </w:r>
          </w:p>
          <w:p w:rsidR="006E2458" w:rsidRPr="00B47332" w:rsidRDefault="006E2458" w:rsidP="0019337E">
            <w:pPr>
              <w:pStyle w:val="ProductList-Body"/>
              <w:rPr>
                <w:rFonts w:ascii="Segoe UI" w:hAnsi="Segoe UI"/>
                <w:color w:val="000000" w:themeColor="text1"/>
                <w:szCs w:val="18"/>
                <w:lang w:val="en-IN"/>
              </w:rPr>
            </w:pPr>
            <w:r w:rsidRPr="00B47332">
              <w:rPr>
                <w:rFonts w:ascii="Segoe UI" w:hAnsi="Segoe UI"/>
                <w:color w:val="000000" w:themeColor="text1"/>
                <w:szCs w:val="18"/>
                <w:lang w:val="en-IN"/>
              </w:rPr>
              <w:t>Lync 2010/2013</w:t>
            </w:r>
          </w:p>
          <w:p w:rsidR="006E2458" w:rsidRPr="005A3AB0" w:rsidRDefault="006E2458" w:rsidP="0019337E">
            <w:pPr>
              <w:pStyle w:val="ProductList-Body"/>
              <w:rPr>
                <w:lang w:val="en-IN"/>
              </w:rPr>
            </w:pPr>
            <w:r w:rsidRPr="005A3AB0">
              <w:rPr>
                <w:rFonts w:ascii="Segoe UI" w:hAnsi="Segoe UI"/>
                <w:color w:val="000000" w:themeColor="text1"/>
                <w:szCs w:val="18"/>
                <w:lang w:val="en-IN"/>
              </w:rPr>
              <w:t>OneNote 2010/2013</w:t>
            </w:r>
          </w:p>
          <w:p w:rsidR="006E2458" w:rsidRPr="005A3AB0" w:rsidRDefault="006E2458" w:rsidP="0019337E">
            <w:pPr>
              <w:pStyle w:val="ProductList-Body"/>
              <w:rPr>
                <w:lang w:val="en-IN"/>
              </w:rPr>
            </w:pPr>
            <w:r w:rsidRPr="005A3AB0">
              <w:rPr>
                <w:rFonts w:ascii="Segoe UI" w:hAnsi="Segoe UI"/>
                <w:color w:val="000000" w:themeColor="text1"/>
                <w:szCs w:val="18"/>
                <w:lang w:val="en-IN"/>
              </w:rPr>
              <w:t>Outlook 2010/2013</w:t>
            </w:r>
          </w:p>
          <w:p w:rsidR="006E2458" w:rsidRPr="005A3AB0" w:rsidRDefault="006E2458" w:rsidP="0019337E">
            <w:pPr>
              <w:pStyle w:val="ProductList-Body"/>
              <w:rPr>
                <w:lang w:val="en-IN"/>
              </w:rPr>
            </w:pPr>
            <w:r w:rsidRPr="005A3AB0">
              <w:rPr>
                <w:rFonts w:ascii="Segoe UI" w:hAnsi="Segoe UI"/>
                <w:color w:val="000000" w:themeColor="text1"/>
                <w:szCs w:val="18"/>
                <w:lang w:val="en-IN"/>
              </w:rPr>
              <w:t>Publisher 2010/2013</w:t>
            </w:r>
          </w:p>
          <w:p w:rsidR="006E2458" w:rsidRPr="005A3AB0" w:rsidRDefault="006E2458" w:rsidP="0019337E">
            <w:pPr>
              <w:pStyle w:val="ProductList-Body"/>
              <w:rPr>
                <w:lang w:val="en-IN"/>
              </w:rPr>
            </w:pPr>
            <w:r w:rsidRPr="005A3AB0">
              <w:rPr>
                <w:rFonts w:ascii="Segoe UI" w:hAnsi="Segoe UI"/>
                <w:color w:val="000000" w:themeColor="text1"/>
                <w:szCs w:val="18"/>
                <w:lang w:val="en-IN"/>
              </w:rPr>
              <w:t>Skype Entreprise 2015</w:t>
            </w:r>
          </w:p>
          <w:p w:rsidR="006E2458" w:rsidRPr="002123CF" w:rsidRDefault="006E2458" w:rsidP="0019337E">
            <w:pPr>
              <w:pStyle w:val="ProductList-Body"/>
              <w:rPr>
                <w:rFonts w:ascii="Segoe UI" w:hAnsi="Segoe UI"/>
                <w:color w:val="000000" w:themeColor="text1"/>
                <w:szCs w:val="18"/>
              </w:rPr>
            </w:pPr>
            <w:r>
              <w:rPr>
                <w:rFonts w:ascii="Segoe UI" w:hAnsi="Segoe UI"/>
                <w:color w:val="000000" w:themeColor="text1"/>
                <w:szCs w:val="18"/>
              </w:rPr>
              <w:t>Word 2010/2013</w:t>
            </w:r>
          </w:p>
        </w:tc>
        <w:tc>
          <w:tcPr>
            <w:tcW w:w="5355" w:type="dxa"/>
            <w:tcMar>
              <w:top w:w="0" w:type="dxa"/>
              <w:left w:w="108" w:type="dxa"/>
              <w:bottom w:w="0" w:type="dxa"/>
              <w:right w:w="108" w:type="dxa"/>
            </w:tcMar>
            <w:vAlign w:val="center"/>
          </w:tcPr>
          <w:p w:rsidR="006E2458" w:rsidRPr="00483B32" w:rsidRDefault="006E2458" w:rsidP="0019337E">
            <w:pPr>
              <w:pStyle w:val="ProductList-Body"/>
            </w:pPr>
            <w:r>
              <w:rPr>
                <w:rFonts w:ascii="Segoe UI" w:hAnsi="Segoe UI"/>
                <w:color w:val="000000" w:themeColor="text1"/>
                <w:szCs w:val="18"/>
              </w:rPr>
              <w:t>Office Professionnel Plus 2013</w:t>
            </w:r>
            <w:r>
              <w:fldChar w:fldCharType="begin"/>
            </w:r>
            <w:r>
              <w:instrText>XE "Office Professionnel Plus 2013"</w:instrText>
            </w:r>
            <w:r>
              <w:fldChar w:fldCharType="end"/>
            </w:r>
            <w:r>
              <w:rPr>
                <w:rFonts w:ascii="Segoe UI" w:hAnsi="Segoe UI"/>
                <w:color w:val="000000" w:themeColor="text1"/>
                <w:szCs w:val="18"/>
              </w:rPr>
              <w:t xml:space="preserve"> HUP, ou</w:t>
            </w:r>
          </w:p>
          <w:p w:rsidR="006E2458" w:rsidRPr="002123CF" w:rsidRDefault="006E2458" w:rsidP="0019337E">
            <w:pPr>
              <w:pStyle w:val="ProductList-Body"/>
              <w:rPr>
                <w:rFonts w:ascii="Segoe UI" w:hAnsi="Segoe UI"/>
                <w:color w:val="000000" w:themeColor="text1"/>
                <w:szCs w:val="18"/>
              </w:rPr>
            </w:pPr>
            <w:r>
              <w:rPr>
                <w:rFonts w:ascii="Segoe UI" w:hAnsi="Segoe UI"/>
                <w:color w:val="000000" w:themeColor="text1"/>
                <w:szCs w:val="18"/>
              </w:rPr>
              <w:t>Office 2016 pour Mac Famille et Petite entreprise avec Lync DL HUP</w:t>
            </w:r>
          </w:p>
        </w:tc>
      </w:tr>
      <w:tr w:rsidR="006E2458" w:rsidRPr="00E23144" w:rsidTr="0019337E">
        <w:trPr>
          <w:trHeight w:val="438"/>
        </w:trPr>
        <w:tc>
          <w:tcPr>
            <w:tcW w:w="5355" w:type="dxa"/>
            <w:tcMar>
              <w:top w:w="0" w:type="dxa"/>
              <w:left w:w="108" w:type="dxa"/>
              <w:bottom w:w="0" w:type="dxa"/>
              <w:right w:w="108" w:type="dxa"/>
            </w:tcMar>
            <w:vAlign w:val="center"/>
          </w:tcPr>
          <w:p w:rsidR="006E2458" w:rsidRPr="00483B32" w:rsidRDefault="006E2458" w:rsidP="0019337E">
            <w:pPr>
              <w:pStyle w:val="ProductList-Body"/>
            </w:pPr>
            <w:r>
              <w:rPr>
                <w:rFonts w:ascii="Segoe UI" w:hAnsi="Segoe UI"/>
                <w:color w:val="000000" w:themeColor="text1"/>
                <w:szCs w:val="18"/>
              </w:rPr>
              <w:t xml:space="preserve">Visio Standard 2010/2013 </w:t>
            </w:r>
          </w:p>
          <w:p w:rsidR="006E2458" w:rsidRPr="002123CF" w:rsidRDefault="006E2458" w:rsidP="0019337E">
            <w:pPr>
              <w:pStyle w:val="ProductList-Body"/>
              <w:rPr>
                <w:rFonts w:ascii="Segoe UI" w:hAnsi="Segoe UI"/>
                <w:color w:val="000000" w:themeColor="text1"/>
                <w:szCs w:val="18"/>
              </w:rPr>
            </w:pPr>
            <w:r>
              <w:rPr>
                <w:rFonts w:ascii="Segoe UI" w:hAnsi="Segoe UI"/>
                <w:color w:val="000000" w:themeColor="text1"/>
                <w:szCs w:val="18"/>
              </w:rPr>
              <w:t>Visio Professional 2010/2013</w:t>
            </w:r>
          </w:p>
        </w:tc>
        <w:tc>
          <w:tcPr>
            <w:tcW w:w="5355" w:type="dxa"/>
            <w:tcMar>
              <w:top w:w="0" w:type="dxa"/>
              <w:left w:w="108" w:type="dxa"/>
              <w:bottom w:w="0" w:type="dxa"/>
              <w:right w:w="108" w:type="dxa"/>
            </w:tcMar>
            <w:vAlign w:val="center"/>
          </w:tcPr>
          <w:p w:rsidR="006E2458" w:rsidRPr="002123CF" w:rsidRDefault="006E2458" w:rsidP="0019337E">
            <w:pPr>
              <w:pStyle w:val="ProductList-Body"/>
              <w:rPr>
                <w:rFonts w:ascii="Segoe UI" w:hAnsi="Segoe UI"/>
                <w:color w:val="000000" w:themeColor="text1"/>
                <w:szCs w:val="18"/>
              </w:rPr>
            </w:pPr>
            <w:r>
              <w:rPr>
                <w:rFonts w:ascii="Segoe UI" w:hAnsi="Segoe UI"/>
                <w:color w:val="000000" w:themeColor="text1"/>
                <w:szCs w:val="18"/>
              </w:rPr>
              <w:t>Visio Professional 2013</w:t>
            </w:r>
            <w:r>
              <w:fldChar w:fldCharType="begin"/>
            </w:r>
            <w:r>
              <w:instrText>XE "Visio Professional 2013"</w:instrText>
            </w:r>
            <w:r>
              <w:fldChar w:fldCharType="end"/>
            </w:r>
            <w:r>
              <w:rPr>
                <w:rFonts w:ascii="Segoe UI" w:hAnsi="Segoe UI"/>
                <w:color w:val="000000" w:themeColor="text1"/>
                <w:szCs w:val="18"/>
              </w:rPr>
              <w:t xml:space="preserve"> HUP</w:t>
            </w:r>
          </w:p>
        </w:tc>
      </w:tr>
      <w:tr w:rsidR="006E2458" w:rsidRPr="00E23144" w:rsidTr="0019337E">
        <w:trPr>
          <w:trHeight w:val="438"/>
        </w:trPr>
        <w:tc>
          <w:tcPr>
            <w:tcW w:w="5355" w:type="dxa"/>
            <w:tcMar>
              <w:top w:w="0" w:type="dxa"/>
              <w:left w:w="108" w:type="dxa"/>
              <w:bottom w:w="0" w:type="dxa"/>
              <w:right w:w="108" w:type="dxa"/>
            </w:tcMar>
            <w:vAlign w:val="center"/>
          </w:tcPr>
          <w:p w:rsidR="006E2458" w:rsidRPr="00483B32" w:rsidRDefault="006E2458" w:rsidP="0019337E">
            <w:pPr>
              <w:pStyle w:val="ProductList-Body"/>
            </w:pPr>
            <w:r>
              <w:rPr>
                <w:rFonts w:ascii="Segoe UI" w:hAnsi="Segoe UI"/>
                <w:color w:val="000000" w:themeColor="text1"/>
                <w:szCs w:val="18"/>
              </w:rPr>
              <w:t>Project Standard 2010/2013</w:t>
            </w:r>
          </w:p>
          <w:p w:rsidR="006E2458" w:rsidRPr="002123CF" w:rsidRDefault="006E2458" w:rsidP="0019337E">
            <w:pPr>
              <w:pStyle w:val="ProductList-Body"/>
              <w:rPr>
                <w:rFonts w:ascii="Segoe UI" w:hAnsi="Segoe UI"/>
                <w:color w:val="000000" w:themeColor="text1"/>
                <w:szCs w:val="18"/>
              </w:rPr>
            </w:pPr>
            <w:r>
              <w:rPr>
                <w:rFonts w:ascii="Segoe UI" w:hAnsi="Segoe UI"/>
                <w:color w:val="000000" w:themeColor="text1"/>
                <w:szCs w:val="18"/>
              </w:rPr>
              <w:t>Project Professional 2010/2013</w:t>
            </w:r>
          </w:p>
        </w:tc>
        <w:tc>
          <w:tcPr>
            <w:tcW w:w="5355" w:type="dxa"/>
            <w:tcMar>
              <w:top w:w="0" w:type="dxa"/>
              <w:left w:w="108" w:type="dxa"/>
              <w:bottom w:w="0" w:type="dxa"/>
              <w:right w:w="108" w:type="dxa"/>
            </w:tcMar>
            <w:vAlign w:val="center"/>
          </w:tcPr>
          <w:p w:rsidR="006E2458" w:rsidRPr="002123CF" w:rsidRDefault="006E2458" w:rsidP="0019337E">
            <w:pPr>
              <w:pStyle w:val="ProductList-Body"/>
              <w:rPr>
                <w:rFonts w:ascii="Segoe UI" w:hAnsi="Segoe UI"/>
                <w:color w:val="000000" w:themeColor="text1"/>
                <w:szCs w:val="18"/>
              </w:rPr>
            </w:pPr>
            <w:r>
              <w:rPr>
                <w:rFonts w:ascii="Segoe UI" w:hAnsi="Segoe UI"/>
                <w:color w:val="000000" w:themeColor="text1"/>
                <w:szCs w:val="18"/>
              </w:rPr>
              <w:t>Project Professional 2013</w:t>
            </w:r>
            <w:r>
              <w:fldChar w:fldCharType="begin"/>
            </w:r>
            <w:r>
              <w:instrText>XE "Project Standard 2013"</w:instrText>
            </w:r>
            <w:r>
              <w:fldChar w:fldCharType="end"/>
            </w:r>
            <w:r>
              <w:rPr>
                <w:rFonts w:ascii="Segoe UI" w:hAnsi="Segoe UI"/>
                <w:color w:val="000000" w:themeColor="text1"/>
                <w:szCs w:val="18"/>
              </w:rPr>
              <w:t xml:space="preserve"> HUP</w:t>
            </w:r>
          </w:p>
        </w:tc>
      </w:tr>
    </w:tbl>
    <w:p w:rsidR="006E2458" w:rsidRPr="00483B32" w:rsidRDefault="006E2458" w:rsidP="006E2458">
      <w:pPr>
        <w:pStyle w:val="ProductList-Body"/>
        <w:tabs>
          <w:tab w:val="clear" w:pos="158"/>
          <w:tab w:val="left" w:pos="180"/>
        </w:tabs>
      </w:pPr>
      <w:r>
        <w:rPr>
          <w:rFonts w:ascii="Segoe UI" w:hAnsi="Segoe UI"/>
          <w:color w:val="000000" w:themeColor="text1"/>
          <w:szCs w:val="18"/>
        </w:rPr>
        <w:t xml:space="preserve">Pour plus d’informations, y compris en ce qui concerne la disponibilité future de logiciels du Programme d’Utilisation à Domicile supplémentaires, veuillez vous reporter à l’adresse </w:t>
      </w:r>
      <w:hyperlink r:id="rId24" w:history="1">
        <w:r>
          <w:rPr>
            <w:rStyle w:val="Hyperlink"/>
            <w:rFonts w:ascii="Segoe UI" w:hAnsi="Segoe UI"/>
            <w:szCs w:val="18"/>
          </w:rPr>
          <w:t>http://www.microsoft.com/licensing</w:t>
        </w:r>
      </w:hyperlink>
      <w:r>
        <w:rPr>
          <w:rFonts w:ascii="Segoe UI" w:hAnsi="Segoe UI"/>
          <w:color w:val="000000" w:themeColor="text1"/>
          <w:szCs w:val="18"/>
        </w:rPr>
        <w:t>.</w:t>
      </w:r>
    </w:p>
    <w:p w:rsidR="006E2458" w:rsidRPr="00483B32" w:rsidRDefault="006E2458" w:rsidP="006E2458">
      <w:pPr>
        <w:pStyle w:val="Heading2"/>
      </w:pPr>
      <w:bookmarkStart w:id="73" w:name="_Enterprise_Source_Licensing"/>
      <w:bookmarkStart w:id="74" w:name="_Toc379797448"/>
      <w:bookmarkStart w:id="75" w:name="_Toc380513484"/>
      <w:bookmarkStart w:id="76" w:name="_Toc380655534"/>
      <w:bookmarkStart w:id="77" w:name="_Toc394601030"/>
      <w:bookmarkStart w:id="78" w:name="_Toc403380312"/>
      <w:bookmarkStart w:id="79" w:name="_Toc403985030"/>
      <w:bookmarkStart w:id="80" w:name="_Toc428272539"/>
      <w:bookmarkEnd w:id="73"/>
      <w:r>
        <w:t>Programme de Licences Sources aux Entreprises (ESLP)</w:t>
      </w:r>
      <w:bookmarkEnd w:id="74"/>
      <w:bookmarkEnd w:id="75"/>
      <w:bookmarkEnd w:id="76"/>
      <w:bookmarkEnd w:id="77"/>
      <w:bookmarkEnd w:id="78"/>
      <w:bookmarkEnd w:id="79"/>
      <w:bookmarkEnd w:id="80"/>
    </w:p>
    <w:p w:rsidR="006E2458" w:rsidRPr="00483B32" w:rsidRDefault="006E2458" w:rsidP="006E2458">
      <w:pPr>
        <w:pStyle w:val="ProductList-Body"/>
      </w:pPr>
      <w:r>
        <w:rPr>
          <w:rFonts w:ascii="Segoe UI" w:hAnsi="Segoe UI"/>
          <w:color w:val="000000" w:themeColor="text1"/>
          <w:szCs w:val="18"/>
        </w:rPr>
        <w:t>Si l’un de vos Comptes d’Achats possède au moins 10 000 licences couvertes par une SA dans le groupe de Produits Systèmes, il peut être éligible à l’ESLP, qui donne accès au code source de Microsoft Windows aux fins de développement et de support internes et qui est concédé par Compte d’Achats. Pour en savoir plus sur les conditions d’éligibilité et la disponibilité par pays, rendez-vous sur la page</w:t>
      </w:r>
      <w:r>
        <w:t xml:space="preserve"> </w:t>
      </w:r>
      <w:hyperlink r:id="rId25" w:history="1">
        <w:r>
          <w:rPr>
            <w:rStyle w:val="Hyperlink"/>
          </w:rPr>
          <w:t>http://www.microsoft.com/en-us/sharedsource/enterprise-source-licensing-program.aspx</w:t>
        </w:r>
      </w:hyperlink>
      <w:r>
        <w:t>.</w:t>
      </w:r>
    </w:p>
    <w:p w:rsidR="006E2458" w:rsidRPr="00483B32" w:rsidRDefault="006E2458" w:rsidP="006E2458">
      <w:pPr>
        <w:pStyle w:val="Heading2"/>
      </w:pPr>
      <w:bookmarkStart w:id="81" w:name="_24x7_Problem_Resolution"/>
      <w:bookmarkStart w:id="82" w:name="__System_Center"/>
      <w:bookmarkStart w:id="83" w:name="__System_Center_1"/>
      <w:bookmarkStart w:id="84" w:name="_Back-up_for_Disaster"/>
      <w:bookmarkStart w:id="85" w:name="_Backup_pour_la"/>
      <w:bookmarkStart w:id="86" w:name="_Toc336338239"/>
      <w:bookmarkStart w:id="87" w:name="_Toc372892146"/>
      <w:bookmarkStart w:id="88" w:name="_Toc379797451"/>
      <w:bookmarkStart w:id="89" w:name="_Toc380513487"/>
      <w:bookmarkStart w:id="90" w:name="_Toc380655537"/>
      <w:bookmarkStart w:id="91" w:name="_Toc394601033"/>
      <w:bookmarkStart w:id="92" w:name="_Toc403380314"/>
      <w:bookmarkStart w:id="93" w:name="_Toc403985032"/>
      <w:bookmarkStart w:id="94" w:name="_Toc428272540"/>
      <w:bookmarkEnd w:id="81"/>
      <w:bookmarkEnd w:id="82"/>
      <w:bookmarkEnd w:id="83"/>
      <w:bookmarkEnd w:id="84"/>
      <w:bookmarkEnd w:id="85"/>
      <w:r>
        <w:t>Backup pour la Récupération d’Urgence</w:t>
      </w:r>
      <w:bookmarkEnd w:id="86"/>
      <w:bookmarkEnd w:id="87"/>
      <w:bookmarkEnd w:id="88"/>
      <w:bookmarkEnd w:id="89"/>
      <w:bookmarkEnd w:id="90"/>
      <w:bookmarkEnd w:id="91"/>
      <w:bookmarkEnd w:id="92"/>
      <w:bookmarkEnd w:id="93"/>
      <w:bookmarkEnd w:id="94"/>
    </w:p>
    <w:p w:rsidR="006E2458" w:rsidRPr="00483B32" w:rsidRDefault="006E2458" w:rsidP="006E2458">
      <w:r>
        <w:rPr>
          <w:color w:val="000000" w:themeColor="text1"/>
          <w:szCs w:val="18"/>
        </w:rPr>
        <w:t xml:space="preserve">Si vous avez souscrit une SA pour les Produits Serveurs éligibles et les CAL associées, vous êtes éligible aux licences Serveurs complémentaires de ces Produits à des fins de récupération d’urgence. Reportez-vous également à la page </w:t>
      </w:r>
      <w:hyperlink r:id="rId26" w:anchor="tab=4" w:history="1">
        <w:r>
          <w:rPr>
            <w:rStyle w:val="Hyperlink"/>
          </w:rPr>
          <w:t>http://www.microsoft.com/licensing/software-assurance/by-benefits.aspx#tab=4</w:t>
        </w:r>
      </w:hyperlink>
      <w:r>
        <w:rPr>
          <w:color w:val="1F497D"/>
        </w:rPr>
        <w:t>.</w:t>
      </w:r>
    </w:p>
    <w:p w:rsidR="006E2458" w:rsidRPr="00483B32" w:rsidRDefault="006E2458" w:rsidP="006E2458">
      <w:pPr>
        <w:pStyle w:val="Heading2"/>
      </w:pPr>
      <w:bookmarkStart w:id="95" w:name="_License_Mobility_through"/>
      <w:bookmarkStart w:id="96" w:name="_Toc336338242"/>
      <w:bookmarkStart w:id="97" w:name="_Toc372892149"/>
      <w:bookmarkStart w:id="98" w:name="_Toc403380315"/>
      <w:bookmarkStart w:id="99" w:name="_Toc403985033"/>
      <w:bookmarkStart w:id="100" w:name="_Toc428272541"/>
      <w:bookmarkEnd w:id="95"/>
      <w:r>
        <w:t>Mobilité de Licence via la Software Assurance</w:t>
      </w:r>
      <w:bookmarkEnd w:id="96"/>
      <w:bookmarkEnd w:id="97"/>
      <w:bookmarkEnd w:id="98"/>
      <w:bookmarkEnd w:id="99"/>
      <w:bookmarkEnd w:id="100"/>
    </w:p>
    <w:p w:rsidR="006E2458" w:rsidRPr="00483B32" w:rsidRDefault="006E2458" w:rsidP="006E2458">
      <w:pPr>
        <w:pStyle w:val="ProductList-Body"/>
      </w:pPr>
      <w:r>
        <w:rPr>
          <w:rFonts w:ascii="Segoe UI" w:hAnsi="Segoe UI"/>
          <w:color w:val="000000" w:themeColor="text1"/>
          <w:szCs w:val="18"/>
        </w:rPr>
        <w:t>La Mobilité de Licence via la SA vous permet d’attribuer certaines licences sur site couvertes par une SA à des serveurs partagés de tiers. Tous les Produits actuellement éligibles pour la « Mobilité de Licence dans des Batteries de Serveurs » (telle que définie dans les Droits d’Utilisations de Logiciels) et couverts par une SA sont éligibles à la Mobilité de Licence par l‘intermédiaire de la SA. Les Produits suivants sont également éligibles à la Mobilité de Licence via la SA :</w:t>
      </w:r>
    </w:p>
    <w:p w:rsidR="006E2458" w:rsidRPr="00483B32" w:rsidRDefault="006E2458" w:rsidP="006E2458">
      <w:pPr>
        <w:pStyle w:val="BodyText"/>
        <w:numPr>
          <w:ilvl w:val="0"/>
          <w:numId w:val="16"/>
        </w:numPr>
        <w:spacing w:after="0"/>
      </w:pPr>
      <w:r>
        <w:lastRenderedPageBreak/>
        <w:t>System Center – toutes les Licences de Gestion (Management Licenses, ML) Serveur, y compris SMSE et SMSD avec SA et System Center 2012 Standard</w:t>
      </w:r>
      <w:r>
        <w:fldChar w:fldCharType="begin"/>
      </w:r>
      <w:r>
        <w:instrText>XE "System Center 2012 Standard"</w:instrText>
      </w:r>
      <w:r>
        <w:fldChar w:fldCharType="end"/>
      </w:r>
      <w:r>
        <w:t xml:space="preserve"> et Datacenter avec SA.</w:t>
      </w:r>
    </w:p>
    <w:p w:rsidR="006E2458" w:rsidRPr="00483B32" w:rsidRDefault="006E2458" w:rsidP="006E2458">
      <w:pPr>
        <w:pStyle w:val="BodyText"/>
        <w:numPr>
          <w:ilvl w:val="0"/>
          <w:numId w:val="16"/>
        </w:numPr>
        <w:spacing w:after="0"/>
      </w:pPr>
      <w:r>
        <w:t>Pour bénéficier de la Mobilité de Licence via la SA, vous devez :</w:t>
      </w:r>
    </w:p>
    <w:p w:rsidR="006E2458" w:rsidRPr="00483B32" w:rsidRDefault="006E2458" w:rsidP="006E2458">
      <w:pPr>
        <w:pStyle w:val="BodyText"/>
        <w:numPr>
          <w:ilvl w:val="1"/>
          <w:numId w:val="16"/>
        </w:numPr>
        <w:spacing w:after="0"/>
        <w:ind w:left="720" w:hanging="288"/>
      </w:pPr>
      <w:r>
        <w:t>conserver la SA pour les licences en vertu desquelles vous exécutez les logiciels ou gérez les systèmes d’exploitation sur des serveurs partagés de tiers, ainsi que les CAL, licences Connecteur Externe et licences de gestion correspondantes ;</w:t>
      </w:r>
    </w:p>
    <w:p w:rsidR="006E2458" w:rsidRPr="00483B32" w:rsidRDefault="006E2458" w:rsidP="006E2458">
      <w:pPr>
        <w:pStyle w:val="BodyText"/>
        <w:numPr>
          <w:ilvl w:val="1"/>
          <w:numId w:val="16"/>
        </w:numPr>
        <w:spacing w:after="0"/>
        <w:ind w:left="720" w:hanging="288"/>
      </w:pPr>
      <w:r>
        <w:t xml:space="preserve">déployer vos licences uniquement à l’aide de Partenaires qualifiés pour la Mobilité de Licence via la Software Assurance (voir la page </w:t>
      </w:r>
      <w:hyperlink r:id="rId27" w:history="1">
        <w:r>
          <w:rPr>
            <w:rStyle w:val="Hyperlink"/>
            <w:szCs w:val="18"/>
          </w:rPr>
          <w:t>http://www.microsoft.com/licensing/software-assurance/license-mobility.aspx</w:t>
        </w:r>
      </w:hyperlink>
      <w:r>
        <w:rPr>
          <w:color w:val="000000" w:themeColor="text1"/>
          <w:szCs w:val="18"/>
        </w:rPr>
        <w:t xml:space="preserve">) </w:t>
      </w:r>
    </w:p>
    <w:p w:rsidR="006E2458" w:rsidRPr="00483B32" w:rsidRDefault="006E2458" w:rsidP="006E2458">
      <w:pPr>
        <w:pStyle w:val="BodyText"/>
        <w:numPr>
          <w:ilvl w:val="1"/>
          <w:numId w:val="16"/>
        </w:numPr>
        <w:spacing w:after="0"/>
        <w:ind w:left="720" w:hanging="288"/>
      </w:pPr>
      <w:r>
        <w:t>compléter et envoyer le formulaire de validation de Mobilité de Licence avec chaque Partenaire de Mobilité de Licence au moyen de la Software Assurance qui exécute votre logiciel concédé sous licence sur les serveurs partagés des Partenaires. Le formulaire de validation de Mobilité de Licence vous sera fourni par le Partenaire de Mobilité de Licence via la Software Assurance éligible.</w:t>
      </w:r>
    </w:p>
    <w:p w:rsidR="006E2458" w:rsidRPr="00483B32" w:rsidRDefault="006E2458" w:rsidP="006E2458">
      <w:pPr>
        <w:pStyle w:val="Heading2"/>
      </w:pPr>
      <w:bookmarkStart w:id="101" w:name="_Windows_Thin_PC"/>
      <w:bookmarkStart w:id="102" w:name="_Extended_Hotfix_Support"/>
      <w:bookmarkStart w:id="103" w:name="_Toc291204568"/>
      <w:bookmarkStart w:id="104" w:name="_Toc374472969"/>
      <w:bookmarkStart w:id="105" w:name="_Toc375840471"/>
      <w:bookmarkStart w:id="106" w:name="_Toc379797455"/>
      <w:bookmarkStart w:id="107" w:name="_Toc380513491"/>
      <w:bookmarkStart w:id="108" w:name="_Toc380655540"/>
      <w:bookmarkStart w:id="109" w:name="_Toc394601036"/>
      <w:bookmarkStart w:id="110" w:name="_Toc403380317"/>
      <w:bookmarkStart w:id="111" w:name="_Toc403985035"/>
      <w:bookmarkStart w:id="112" w:name="_Toc428272542"/>
      <w:bookmarkEnd w:id="101"/>
      <w:bookmarkEnd w:id="102"/>
      <w:r>
        <w:t>Support Hotfix Étendu</w:t>
      </w:r>
      <w:bookmarkEnd w:id="103"/>
      <w:bookmarkEnd w:id="104"/>
      <w:bookmarkEnd w:id="105"/>
      <w:bookmarkEnd w:id="106"/>
      <w:bookmarkEnd w:id="107"/>
      <w:bookmarkEnd w:id="108"/>
      <w:bookmarkEnd w:id="109"/>
      <w:bookmarkEnd w:id="110"/>
      <w:bookmarkEnd w:id="111"/>
      <w:bookmarkEnd w:id="112"/>
    </w:p>
    <w:p w:rsidR="006E2458" w:rsidRPr="00483B32" w:rsidRDefault="006E2458" w:rsidP="006E2458">
      <w:pPr>
        <w:pStyle w:val="ProductList-Body"/>
      </w:pPr>
      <w:r>
        <w:rPr>
          <w:rFonts w:ascii="Segoe UI" w:hAnsi="Segoe UI"/>
          <w:color w:val="000000" w:themeColor="text1"/>
          <w:szCs w:val="18"/>
        </w:rPr>
        <w:t>Le Support Hotfix Étendu est destiné aux titulaires d’un contrat de Support Premier ou Essential Support et d’une SA.</w:t>
      </w:r>
    </w:p>
    <w:p w:rsidR="006E2458" w:rsidRPr="00483B32" w:rsidRDefault="006E2458" w:rsidP="006E2458">
      <w:pPr>
        <w:pStyle w:val="BodyText"/>
        <w:numPr>
          <w:ilvl w:val="0"/>
          <w:numId w:val="16"/>
        </w:numPr>
        <w:spacing w:after="0"/>
      </w:pPr>
      <w:r>
        <w:t xml:space="preserve">Si vous participez au programme Software Assurance Membership pour le groupe de Produits Applications, vous êtes éligible au Support Hotfix Étendu pour les Produits du groupe Applications. </w:t>
      </w:r>
    </w:p>
    <w:p w:rsidR="006E2458" w:rsidRPr="00483B32" w:rsidRDefault="006E2458" w:rsidP="006E2458">
      <w:pPr>
        <w:pStyle w:val="BodyText"/>
        <w:numPr>
          <w:ilvl w:val="0"/>
          <w:numId w:val="16"/>
        </w:numPr>
        <w:spacing w:after="0"/>
      </w:pPr>
      <w:r>
        <w:t>Si vous participez au programme Software Assurance Membership pour le groupe de Produits Systèmes, vous êtes éligible au Support Hotfix Étendu pour les systèmes d’exploitation d’ordinateur Windows et/ou les systèmes d’exploitation Windows Embedded (pour un Produit Windows Embedded couvert par le programme Software Assurance Membership).</w:t>
      </w:r>
    </w:p>
    <w:p w:rsidR="006E2458" w:rsidRPr="00483B32" w:rsidRDefault="006E2458" w:rsidP="006E2458">
      <w:pPr>
        <w:pStyle w:val="BodyText"/>
        <w:numPr>
          <w:ilvl w:val="0"/>
          <w:numId w:val="16"/>
        </w:numPr>
        <w:spacing w:after="0"/>
      </w:pPr>
      <w:r>
        <w:t>Si vous avez souscrit une SA pour au moins un Produit Serveurs, vous êtes éligible au Support Hotfix Étendu pour les Produits Serveurs. Les Produits Serveurs suivants sont couverts :</w:t>
      </w:r>
    </w:p>
    <w:p w:rsidR="006E2458" w:rsidRPr="00483B32" w:rsidRDefault="006E2458" w:rsidP="006E2458">
      <w:pPr>
        <w:pStyle w:val="BodyText"/>
        <w:numPr>
          <w:ilvl w:val="1"/>
          <w:numId w:val="16"/>
        </w:numPr>
        <w:spacing w:after="0"/>
        <w:ind w:left="720" w:hanging="288"/>
      </w:pPr>
      <w:r>
        <w:t>Microsoft Exchange Server, Microsoft SQL Server, System Center 2012 et Windows Server.</w:t>
      </w:r>
    </w:p>
    <w:p w:rsidR="006E2458" w:rsidRPr="00483B32" w:rsidRDefault="006E2458" w:rsidP="006E2458"/>
    <w:p w:rsidR="006E2458" w:rsidRPr="00483B32" w:rsidRDefault="006E2458" w:rsidP="006E2458">
      <w:r>
        <w:rPr>
          <w:color w:val="000000" w:themeColor="text1"/>
          <w:szCs w:val="18"/>
        </w:rPr>
        <w:t xml:space="preserve">Le Support Hotfix Étendu est un avantage concernant les anciennes versions des logiciels qui ont transité du Support Standard au Support Étendu. Les redevances annuelles normalement facturées dans le cadre d’un contrat de Support Étendu sont désormais annulées pour les clients éligibles à cet avantage SA. Vous êtes toutefois tenu de vous acquitter des redevances applicables aux Correctifs individuels. Si vous êtes éligible à cet avantage, vous n’êtes pas tenu de vous inscrire dans les quatre-vingt-dix (90) jours suivant la transition d’un Produit du Support Standard au Support Étendu. Reportez-vous également à la page </w:t>
      </w:r>
      <w:hyperlink r:id="rId28" w:anchor="tab=4" w:history="1">
        <w:r>
          <w:rPr>
            <w:rStyle w:val="Hyperlink"/>
          </w:rPr>
          <w:t>http://www.microsoft.com/licensing/software-assurance/by-benefits.aspx#tab=4</w:t>
        </w:r>
      </w:hyperlink>
      <w:r>
        <w:rPr>
          <w:color w:val="1F497D"/>
        </w:rPr>
        <w:t>.</w:t>
      </w:r>
    </w:p>
    <w:p w:rsidR="006E2458" w:rsidRPr="00483B32" w:rsidRDefault="006E2458" w:rsidP="006E2458">
      <w:pPr>
        <w:pStyle w:val="ProductList-Body"/>
      </w:pPr>
      <w:bookmarkStart w:id="113" w:name="_Microsoft_Desktop_Optimization"/>
      <w:bookmarkStart w:id="114" w:name="_Microsoft_Dynamics_CustomerSource"/>
      <w:bookmarkStart w:id="115" w:name="_Virtualization_Rights_for"/>
      <w:bookmarkStart w:id="116" w:name="_Windows_Virtual_Desktop"/>
      <w:bookmarkEnd w:id="113"/>
      <w:bookmarkEnd w:id="114"/>
      <w:bookmarkEnd w:id="115"/>
      <w:bookmarkEnd w:id="116"/>
    </w:p>
    <w:p w:rsidR="006E2458" w:rsidRPr="00483B32" w:rsidRDefault="006E2458" w:rsidP="006E2458">
      <w:pPr>
        <w:pStyle w:val="Hdg1noborder"/>
      </w:pPr>
      <w:bookmarkStart w:id="117" w:name="_Dynamics_CustomerSource"/>
      <w:bookmarkStart w:id="118" w:name="_Toc207701228"/>
      <w:bookmarkStart w:id="119" w:name="_Toc295673421"/>
      <w:bookmarkStart w:id="120" w:name="_Toc336949456"/>
      <w:bookmarkStart w:id="121" w:name="_Toc359876008"/>
      <w:bookmarkStart w:id="122" w:name="_Toc370837298"/>
      <w:bookmarkStart w:id="123" w:name="_Toc403380322"/>
      <w:bookmarkStart w:id="124" w:name="_Toc403985040"/>
      <w:bookmarkStart w:id="125" w:name="_Toc428272543"/>
      <w:bookmarkEnd w:id="117"/>
      <w:bookmarkEnd w:id="118"/>
      <w:bookmarkEnd w:id="119"/>
      <w:bookmarkEnd w:id="120"/>
      <w:bookmarkEnd w:id="121"/>
      <w:bookmarkEnd w:id="122"/>
      <w:r>
        <w:t>Article 3</w:t>
      </w:r>
      <w:bookmarkEnd w:id="123"/>
      <w:bookmarkEnd w:id="124"/>
      <w:bookmarkEnd w:id="125"/>
    </w:p>
    <w:p w:rsidR="006E2458" w:rsidRPr="00D13940" w:rsidRDefault="006E2458" w:rsidP="006E2458">
      <w:pPr>
        <w:pStyle w:val="Hdg1noborder"/>
        <w:spacing w:before="120" w:after="120" w:line="240" w:lineRule="auto"/>
        <w:rPr>
          <w:rFonts w:asciiTheme="majorHAnsi" w:eastAsiaTheme="majorEastAsia" w:hAnsiTheme="majorHAnsi" w:cstheme="majorBidi"/>
          <w:bCs/>
          <w:color w:val="FFC000" w:themeColor="accent4"/>
          <w:sz w:val="28"/>
          <w:szCs w:val="26"/>
        </w:rPr>
      </w:pPr>
      <w:bookmarkStart w:id="126" w:name="_Toc403380323"/>
      <w:bookmarkStart w:id="127" w:name="_Toc403985041"/>
      <w:bookmarkStart w:id="128" w:name="_Toc428272544"/>
      <w:r>
        <w:rPr>
          <w:rFonts w:asciiTheme="majorHAnsi" w:eastAsiaTheme="majorEastAsia" w:hAnsiTheme="majorHAnsi" w:cstheme="majorBidi"/>
          <w:bCs/>
          <w:color w:val="FFC000" w:themeColor="accent4"/>
          <w:sz w:val="28"/>
          <w:szCs w:val="26"/>
        </w:rPr>
        <w:t>Création de copies des Produits et droits de création de masters</w:t>
      </w:r>
      <w:bookmarkEnd w:id="126"/>
      <w:bookmarkEnd w:id="127"/>
      <w:bookmarkEnd w:id="128"/>
    </w:p>
    <w:p w:rsidR="006E2458" w:rsidRPr="00483B32" w:rsidRDefault="006E2458" w:rsidP="006E2458">
      <w:pPr>
        <w:spacing w:before="120" w:line="240" w:lineRule="auto"/>
      </w:pPr>
      <w:r>
        <w:rPr>
          <w:rFonts w:eastAsia="Times New Roman" w:cs="Times New Roman"/>
          <w:color w:val="505050"/>
          <w:szCs w:val="20"/>
        </w:rPr>
        <w:t>Vos</w:t>
      </w:r>
      <w:r>
        <w:t xml:space="preserve"> </w:t>
      </w:r>
      <w:r>
        <w:rPr>
          <w:rFonts w:eastAsia="Times New Roman" w:cs="Times New Roman"/>
          <w:color w:val="505050"/>
          <w:szCs w:val="20"/>
        </w:rPr>
        <w:t>Compte d’Achats enregistrés peuvent effectuer autant de copies des Produits que nécessaire pour distribuer ces Produits au sein de votre établissement. Les copies doivent être conformes aux originaux et complètes (y compris en ce qui concerne les mentions de droits d’auteur et de marques commerciales) et doivent être effectuées à partir des copies master obtenues auprès d’une source d’approvisionnement autorisée par Microsoft. Vos Comptes d’Achats peuvent faire effectuer et installer ces copies par un tiers, mais vous et vos comptes acceptez d’assumer l’entière responsabilité de tous les actes de ce tiers.</w:t>
      </w:r>
    </w:p>
    <w:p w:rsidR="006E2458" w:rsidRPr="00483B32" w:rsidRDefault="006E2458" w:rsidP="006E2458">
      <w:pPr>
        <w:spacing w:before="120" w:line="240" w:lineRule="auto"/>
      </w:pPr>
      <w:r>
        <w:rPr>
          <w:rFonts w:eastAsia="Times New Roman" w:cs="Times New Roman"/>
          <w:color w:val="505050"/>
          <w:szCs w:val="20"/>
        </w:rPr>
        <w:t>Dans certains cas, la création de masters à l’aide des supports de Produits est autorisée : si les Produits sont acquis sous Licence (1) auprès d’un fabricant d’ordinateurs (OEM), (2) en tant que Produits complets en version boîte (FPP), dans un point de vente, ou (3) dans le cadre d’un autre programme Microsoft, les supports fournis au titre du MPSA peuvent généralement être utilisés pour créer des masters à la place des copies obtenues auprès de cette autre source. Ce droit est subordonné aux conditions suivantes :</w:t>
      </w:r>
    </w:p>
    <w:p w:rsidR="006E2458" w:rsidRPr="00483B32" w:rsidRDefault="006E2458" w:rsidP="006E2458">
      <w:pPr>
        <w:pStyle w:val="BodyText"/>
        <w:numPr>
          <w:ilvl w:val="0"/>
          <w:numId w:val="16"/>
        </w:numPr>
        <w:spacing w:after="0"/>
      </w:pPr>
      <w:r>
        <w:t>Des Licences distinctes doivent être acquises auprès de la source distincte pour chaque Produit pour lequel un master est créé.</w:t>
      </w:r>
    </w:p>
    <w:p w:rsidR="006E2458" w:rsidRPr="00483B32" w:rsidRDefault="006E2458" w:rsidP="006E2458">
      <w:pPr>
        <w:pStyle w:val="BodyText"/>
        <w:numPr>
          <w:ilvl w:val="0"/>
          <w:numId w:val="16"/>
        </w:numPr>
        <w:spacing w:after="0"/>
      </w:pPr>
      <w:r>
        <w:t>Le Produit, la langue, la version et les composants des copies créées doivent être identiques au Produit, à la langue, à la version et à tous les composants des copies qu’ils remplacent et le nombre autorisé de copies ou d’instances de Produits pour lesquels un master est créé reste identique.</w:t>
      </w:r>
    </w:p>
    <w:p w:rsidR="006E2458" w:rsidRPr="00483B32" w:rsidRDefault="006E2458" w:rsidP="006E2458">
      <w:pPr>
        <w:pStyle w:val="BodyText"/>
        <w:numPr>
          <w:ilvl w:val="0"/>
          <w:numId w:val="16"/>
        </w:numPr>
        <w:spacing w:after="0"/>
      </w:pPr>
      <w:r>
        <w:t>Sauf en ce qui concerne les copies d’un système d’exploitation et les copies de Produits acquis sous Licence en vertu d’un autre programme Microsoft, le type de Produit (par exemple, mise à jour ou licence complète) pour lequel un master est créé doit être identique au type de Produit concédé sous licence par cette autre source.</w:t>
      </w:r>
    </w:p>
    <w:p w:rsidR="006E2458" w:rsidRPr="00483B32" w:rsidRDefault="006E2458" w:rsidP="006E2458">
      <w:pPr>
        <w:pStyle w:val="BodyText"/>
        <w:numPr>
          <w:ilvl w:val="0"/>
          <w:numId w:val="16"/>
        </w:numPr>
        <w:spacing w:after="0"/>
      </w:pPr>
      <w:r>
        <w:lastRenderedPageBreak/>
        <w:t>Le Compte d’Achats doit se conformer aux processus ou conditions de création de masters spécifiques au Produit figurant dans les Conditions applicables aux Produits.</w:t>
      </w:r>
    </w:p>
    <w:p w:rsidR="006E2458" w:rsidRPr="00483B32" w:rsidRDefault="006E2458" w:rsidP="006E2458">
      <w:pPr>
        <w:pStyle w:val="BodyText"/>
        <w:numPr>
          <w:ilvl w:val="0"/>
          <w:numId w:val="16"/>
        </w:numPr>
        <w:spacing w:after="0"/>
      </w:pPr>
      <w:r>
        <w:t xml:space="preserve">Les Produits pour lesquels un master est créé restent soumis aux conditions et aux droits d’utilisation de la licence acquise auprès de l’autre source. </w:t>
      </w:r>
    </w:p>
    <w:p w:rsidR="006E2458" w:rsidRPr="00483B32" w:rsidRDefault="006E2458" w:rsidP="006E2458">
      <w:pPr>
        <w:pStyle w:val="Thirdheading"/>
      </w:pPr>
      <w:r>
        <w:rPr>
          <w:b/>
        </w:rPr>
        <w:t>Copies destinées à la formation, à l’évaluation et à la sauvegarde</w:t>
      </w:r>
    </w:p>
    <w:p w:rsidR="006E2458" w:rsidRPr="00483B32" w:rsidRDefault="006E2458" w:rsidP="006E2458">
      <w:pPr>
        <w:spacing w:before="120" w:line="240" w:lineRule="auto"/>
      </w:pPr>
      <w:r>
        <w:rPr>
          <w:rFonts w:eastAsia="Times New Roman" w:cs="Times New Roman"/>
          <w:color w:val="505050"/>
          <w:szCs w:val="20"/>
        </w:rPr>
        <w:t>Pour tous les Produits autres que des Services en Ligne, chaque Compte d’Achats peut (1) utiliser, à titre gracieux, jusqu’à vingt (20) copies de tout Produit concédé sous licence, dans des locaux destinés à la formation audit Produit situés sur ses sites, (2) utiliser, à titre gracieux, jusqu’à dix (10) exemplaires de tout Produit à des fins d’évaluation limitée à soixante (60) jours, et (3) utiliser un exemplaire gratuit de tout Produit concédé sous licence à des fins de sauvegarde ou d’archivage pour chacun de leurs emplacements géographiques.</w:t>
      </w:r>
    </w:p>
    <w:p w:rsidR="006E2458" w:rsidRPr="00D13940" w:rsidRDefault="006E2458" w:rsidP="006E2458">
      <w:pPr>
        <w:pStyle w:val="Hdg1noborder"/>
        <w:spacing w:before="120" w:after="120" w:line="240" w:lineRule="auto"/>
        <w:rPr>
          <w:rFonts w:asciiTheme="majorHAnsi" w:eastAsiaTheme="majorEastAsia" w:hAnsiTheme="majorHAnsi" w:cstheme="majorBidi"/>
          <w:bCs/>
          <w:color w:val="FFC000" w:themeColor="accent4"/>
          <w:sz w:val="28"/>
          <w:szCs w:val="26"/>
        </w:rPr>
      </w:pPr>
      <w:bookmarkStart w:id="129" w:name="_Toc403380324"/>
      <w:bookmarkStart w:id="130" w:name="_Toc403985042"/>
      <w:bookmarkStart w:id="131" w:name="_Toc428272545"/>
      <w:r>
        <w:rPr>
          <w:rFonts w:asciiTheme="majorHAnsi" w:eastAsiaTheme="majorEastAsia" w:hAnsiTheme="majorHAnsi" w:cstheme="majorBidi"/>
          <w:bCs/>
          <w:color w:val="FFC000" w:themeColor="accent4"/>
          <w:sz w:val="28"/>
          <w:szCs w:val="26"/>
        </w:rPr>
        <w:t>Procédure de Transfert de licences</w:t>
      </w:r>
      <w:bookmarkEnd w:id="129"/>
      <w:bookmarkEnd w:id="130"/>
      <w:bookmarkEnd w:id="131"/>
    </w:p>
    <w:p w:rsidR="006E2458" w:rsidRPr="00483B32" w:rsidRDefault="006E2458" w:rsidP="006E2458">
      <w:pPr>
        <w:pStyle w:val="BodyText"/>
      </w:pPr>
      <w:r>
        <w:t xml:space="preserve">Vous devez informer Microsoft de tout transfert de licence en remplissant le formulaire de transfert de licence disponible sur le site </w:t>
      </w:r>
      <w:hyperlink r:id="rId29" w:history="1">
        <w:r>
          <w:rPr>
            <w:rStyle w:val="Hyperlink"/>
          </w:rPr>
          <w:t>http://www.microsoft.com/licensing/contracts</w:t>
        </w:r>
      </w:hyperlink>
      <w:r>
        <w:t xml:space="preserve"> et en envoyant le formulaire renseigné à Microsoft avant le transfert de licence. Le transfert de licences n’est valable que si vous fournissez au cessionnaire, qui les accepte par écrit, les Droits d’Utilisation de Logiciels applicables, les restrictions d’utilisation, les limitations de responsabilité (y compris les exclusions et conditions de garantie) et les restrictions en matière de transfert décrites dans le présent article.</w:t>
      </w:r>
    </w:p>
    <w:p w:rsidR="006E2458" w:rsidRPr="002B05C9" w:rsidRDefault="006E2458" w:rsidP="006E2458">
      <w:pPr>
        <w:pStyle w:val="Hdg1noborder"/>
        <w:spacing w:before="120" w:after="120" w:line="240" w:lineRule="auto"/>
        <w:rPr>
          <w:rFonts w:asciiTheme="majorHAnsi" w:eastAsiaTheme="majorEastAsia" w:hAnsiTheme="majorHAnsi" w:cstheme="majorBidi"/>
          <w:bCs/>
          <w:color w:val="FFC000" w:themeColor="accent4"/>
          <w:sz w:val="28"/>
          <w:szCs w:val="26"/>
        </w:rPr>
      </w:pPr>
      <w:bookmarkStart w:id="132" w:name="_Toc428272546"/>
      <w:r>
        <w:rPr>
          <w:rFonts w:asciiTheme="majorHAnsi" w:eastAsiaTheme="majorEastAsia" w:hAnsiTheme="majorHAnsi" w:cstheme="majorBidi"/>
          <w:bCs/>
          <w:color w:val="FFC000" w:themeColor="accent4"/>
          <w:sz w:val="28"/>
          <w:szCs w:val="26"/>
        </w:rPr>
        <w:t xml:space="preserve">Procédure de Vérification du Respect des Termes Contractuels et </w:t>
      </w:r>
      <w:r>
        <w:rPr>
          <w:rFonts w:asciiTheme="majorHAnsi" w:eastAsiaTheme="majorEastAsia" w:hAnsiTheme="majorHAnsi"/>
          <w:color w:val="FFC000" w:themeColor="accent4"/>
          <w:sz w:val="28"/>
        </w:rPr>
        <w:t>Limitations</w:t>
      </w:r>
      <w:bookmarkEnd w:id="132"/>
    </w:p>
    <w:p w:rsidR="006E2458" w:rsidRPr="00483B32" w:rsidRDefault="006E2458" w:rsidP="006E2458">
      <w:pPr>
        <w:pStyle w:val="BodyText"/>
      </w:pPr>
      <w:r>
        <w:t>Microsoft vous avertira au moins trente (30) jours à l’avance de son intention de vérifier votre respect des termes des contrats de licence pour les Produits que vous ou vos Affiliés utilisez ou distribuez. Microsoft engagera un auditeur indépendant qui sera soumis à une obligation de confidentialité. Toute information recueillie dans ce questionnaire d’audit sera utilisée uniquement pour les besoins de la vérification du respect des termes contractuels. Cette vérification sera effectuée pendant les heures ouvrables normales et de manière à ne pas perturber de manière déraisonnable vos activités.</w:t>
      </w:r>
    </w:p>
    <w:p w:rsidR="006E2458" w:rsidRPr="00B84249" w:rsidRDefault="006E2458" w:rsidP="006E2458">
      <w:pPr>
        <w:pStyle w:val="Hdg1noborder"/>
        <w:spacing w:before="120" w:after="120" w:line="240" w:lineRule="auto"/>
        <w:rPr>
          <w:rFonts w:asciiTheme="majorHAnsi" w:eastAsiaTheme="majorEastAsia" w:hAnsiTheme="majorHAnsi" w:cstheme="majorBidi"/>
          <w:bCs/>
          <w:color w:val="FFC000" w:themeColor="accent4"/>
          <w:sz w:val="28"/>
          <w:szCs w:val="26"/>
        </w:rPr>
      </w:pPr>
      <w:bookmarkStart w:id="133" w:name="_Toc428272547"/>
      <w:bookmarkStart w:id="134" w:name="_Toc403380325"/>
      <w:bookmarkStart w:id="135" w:name="_Toc403985043"/>
      <w:r>
        <w:rPr>
          <w:rFonts w:asciiTheme="majorHAnsi" w:eastAsiaTheme="majorEastAsia" w:hAnsiTheme="majorHAnsi" w:cstheme="majorBidi"/>
          <w:bCs/>
          <w:color w:val="FFC000" w:themeColor="accent4"/>
          <w:sz w:val="28"/>
          <w:szCs w:val="26"/>
        </w:rPr>
        <w:t>Scissions</w:t>
      </w:r>
      <w:bookmarkEnd w:id="133"/>
    </w:p>
    <w:p w:rsidR="006E2458" w:rsidRPr="00483B32" w:rsidRDefault="006E2458" w:rsidP="006E2458">
      <w:pPr>
        <w:pStyle w:val="BodyText"/>
      </w:pPr>
      <w:r>
        <w:t>Si vous avez l’intention de transférer plus de dix pourcent (10 %) de vos licences dans le cadre de la scission d’un Affilié, d’une division opérationnelle ou de la division opérationnelle d’un de vos Affiliés, Microsoft fera son possible pour permettre le transfert.</w:t>
      </w:r>
    </w:p>
    <w:p w:rsidR="006E2458" w:rsidRPr="00FB267F" w:rsidRDefault="006E2458" w:rsidP="006E2458">
      <w:pPr>
        <w:pStyle w:val="Hdg1noborder"/>
        <w:spacing w:before="120" w:after="120" w:line="240" w:lineRule="auto"/>
        <w:rPr>
          <w:rFonts w:asciiTheme="majorHAnsi" w:eastAsiaTheme="majorEastAsia" w:hAnsiTheme="majorHAnsi" w:cstheme="majorBidi"/>
          <w:bCs/>
          <w:color w:val="FFC000" w:themeColor="accent4"/>
          <w:sz w:val="28"/>
          <w:szCs w:val="26"/>
        </w:rPr>
      </w:pPr>
      <w:bookmarkStart w:id="136" w:name="_Toc428272548"/>
      <w:r w:rsidRPr="00FB267F">
        <w:rPr>
          <w:rFonts w:asciiTheme="majorHAnsi" w:eastAsiaTheme="majorEastAsia" w:hAnsiTheme="majorHAnsi" w:cstheme="majorBidi"/>
          <w:bCs/>
          <w:color w:val="FFC000" w:themeColor="accent4"/>
          <w:sz w:val="28"/>
          <w:szCs w:val="26"/>
        </w:rPr>
        <w:t>Catastrophe naturelle</w:t>
      </w:r>
      <w:bookmarkEnd w:id="134"/>
      <w:bookmarkEnd w:id="135"/>
      <w:bookmarkEnd w:id="136"/>
    </w:p>
    <w:p w:rsidR="006E2458" w:rsidRPr="00483B32" w:rsidRDefault="006E2458" w:rsidP="006E2458">
      <w:pPr>
        <w:pStyle w:val="BodyText"/>
      </w:pPr>
      <w:r>
        <w:t>En cas de catastrophe naturelle, Microsoft peut fournir une assistance supplémentaire ou accorder d’autres droits en publiant ces informations sur le site Internet http://www.microsoft.com le moment venu.</w:t>
      </w:r>
    </w:p>
    <w:p w:rsidR="006E2458" w:rsidRPr="00483B32" w:rsidRDefault="006E2458" w:rsidP="006E2458">
      <w:pPr>
        <w:pStyle w:val="Hdg1noborder"/>
      </w:pPr>
      <w:bookmarkStart w:id="137" w:name="_Toc403380326"/>
      <w:bookmarkStart w:id="138" w:name="_Toc403985044"/>
      <w:bookmarkStart w:id="139" w:name="_Toc428272549"/>
      <w:r>
        <w:t>Section 4</w:t>
      </w:r>
      <w:bookmarkEnd w:id="137"/>
      <w:bookmarkEnd w:id="138"/>
      <w:bookmarkEnd w:id="139"/>
    </w:p>
    <w:p w:rsidR="006E2458" w:rsidRPr="005266BD" w:rsidRDefault="006E2458" w:rsidP="006E2458">
      <w:pPr>
        <w:pStyle w:val="Hdg1noborder"/>
        <w:spacing w:before="120" w:after="120" w:line="240" w:lineRule="auto"/>
        <w:rPr>
          <w:rFonts w:asciiTheme="majorHAnsi" w:eastAsiaTheme="majorEastAsia" w:hAnsiTheme="majorHAnsi" w:cstheme="majorBidi"/>
          <w:color w:val="FFC000" w:themeColor="accent4"/>
          <w:sz w:val="28"/>
          <w:szCs w:val="26"/>
        </w:rPr>
      </w:pPr>
      <w:bookmarkStart w:id="140" w:name="_Toc403380327"/>
      <w:bookmarkStart w:id="141" w:name="_Toc403985045"/>
      <w:bookmarkStart w:id="142" w:name="_Toc428272550"/>
      <w:r>
        <w:rPr>
          <w:rFonts w:asciiTheme="majorHAnsi" w:eastAsiaTheme="majorEastAsia" w:hAnsiTheme="majorHAnsi" w:cstheme="majorBidi"/>
          <w:color w:val="FFC000" w:themeColor="accent4"/>
          <w:sz w:val="28"/>
          <w:szCs w:val="26"/>
        </w:rPr>
        <w:t>Modifications du Manuel des Licences au cours des 12 derniers mois</w:t>
      </w:r>
      <w:bookmarkEnd w:id="140"/>
      <w:bookmarkEnd w:id="141"/>
      <w:bookmarkEnd w:id="142"/>
    </w:p>
    <w:p w:rsidR="006E2458" w:rsidRPr="00483B32" w:rsidRDefault="006E2458" w:rsidP="006E2458">
      <w:pPr>
        <w:pStyle w:val="BodyText"/>
        <w:numPr>
          <w:ilvl w:val="0"/>
          <w:numId w:val="16"/>
        </w:numPr>
        <w:spacing w:after="0"/>
      </w:pPr>
      <w:r>
        <w:t>Août 2015 : mise à jour prenant en compte les options d’achat supplémentaires pour les Services Azure, les Services en Ligne et les Packages, et ajout des références et alignement sur les Conditions applicables aux Produits. À compter du 1er juillet 2015, les Conditions applicables aux Produits remplacent à la fois la Liste des Produits et les Droits d’Utilisation de Logiciels.</w:t>
      </w:r>
    </w:p>
    <w:p w:rsidR="006E2458" w:rsidRPr="00483B32" w:rsidRDefault="006E2458" w:rsidP="006E2458">
      <w:pPr>
        <w:pStyle w:val="BodyText"/>
        <w:numPr>
          <w:ilvl w:val="0"/>
          <w:numId w:val="16"/>
        </w:numPr>
        <w:spacing w:after="0"/>
      </w:pPr>
      <w:r>
        <w:t>Mai 2015 : ajout d’informations concernant la procédure de vérification du respect des termes contractuels, les transferts de licence en cas de scission et la SA pour les OEM/FPP.</w:t>
      </w:r>
    </w:p>
    <w:p w:rsidR="006E2458" w:rsidRPr="00483B32" w:rsidRDefault="006E2458" w:rsidP="006E2458">
      <w:pPr>
        <w:pStyle w:val="BodyText"/>
        <w:numPr>
          <w:ilvl w:val="0"/>
          <w:numId w:val="16"/>
        </w:numPr>
        <w:spacing w:after="0"/>
      </w:pPr>
      <w:r>
        <w:t>Février 2015 : mise à jour pour le lancement des procédures pour les Types de Comptes d’Achats Secteur Public et Éducation.</w:t>
      </w:r>
    </w:p>
    <w:p w:rsidR="006E2458" w:rsidRPr="00483B32" w:rsidRDefault="006E2458" w:rsidP="006E2458">
      <w:pPr>
        <w:pStyle w:val="BodyText"/>
        <w:numPr>
          <w:ilvl w:val="0"/>
          <w:numId w:val="16"/>
        </w:numPr>
        <w:spacing w:after="0"/>
      </w:pPr>
      <w:r>
        <w:t>Il a également été actualisé en décembre 2014, pour y intégrer une section sur le Programme d’Utilisation à Domicile (Home Use Program) et en supprimer toute mention de l’abonnement à l’Assistant Windows.</w:t>
      </w:r>
    </w:p>
    <w:p w:rsidR="006E2458" w:rsidRPr="00483B32" w:rsidRDefault="006E2458" w:rsidP="006E2458">
      <w:pPr>
        <w:pStyle w:val="BodyText"/>
        <w:numPr>
          <w:ilvl w:val="0"/>
          <w:numId w:val="16"/>
        </w:numPr>
        <w:spacing w:after="0"/>
      </w:pPr>
      <w:r>
        <w:t>Le manuel a été mis à jour en septembre 2014, suite au lancement de la Software Assurance et des Avantages associés.</w:t>
      </w:r>
    </w:p>
    <w:p w:rsidR="006E2458" w:rsidRPr="00483B32" w:rsidRDefault="006E2458" w:rsidP="006E2458">
      <w:pPr>
        <w:pStyle w:val="Hdg1noborder"/>
      </w:pPr>
      <w:bookmarkStart w:id="143" w:name="_Toc403380328"/>
      <w:bookmarkStart w:id="144" w:name="_Toc403985046"/>
      <w:bookmarkStart w:id="145" w:name="_Toc428272551"/>
      <w:r>
        <w:lastRenderedPageBreak/>
        <w:t>Annexe</w:t>
      </w:r>
      <w:bookmarkEnd w:id="143"/>
      <w:bookmarkEnd w:id="144"/>
      <w:bookmarkEnd w:id="145"/>
    </w:p>
    <w:p w:rsidR="006E2458" w:rsidRPr="00280903" w:rsidRDefault="006E2458" w:rsidP="006E2458">
      <w:pPr>
        <w:pStyle w:val="Hdg1noborder"/>
        <w:spacing w:before="120" w:after="120" w:line="240" w:lineRule="auto"/>
        <w:rPr>
          <w:rFonts w:asciiTheme="majorHAnsi" w:eastAsiaTheme="majorEastAsia" w:hAnsiTheme="majorHAnsi" w:cstheme="majorBidi"/>
          <w:bCs/>
          <w:color w:val="FFC000" w:themeColor="accent4"/>
          <w:sz w:val="28"/>
          <w:szCs w:val="26"/>
        </w:rPr>
      </w:pPr>
      <w:bookmarkStart w:id="146" w:name="_Toc403985047"/>
      <w:bookmarkStart w:id="147" w:name="_Toc403380329"/>
      <w:bookmarkStart w:id="148" w:name="_Toc428272552"/>
      <w:r>
        <w:rPr>
          <w:rFonts w:asciiTheme="majorHAnsi" w:eastAsiaTheme="majorEastAsia" w:hAnsiTheme="majorHAnsi" w:cstheme="majorBidi"/>
          <w:bCs/>
          <w:color w:val="FFC000" w:themeColor="accent4"/>
          <w:sz w:val="28"/>
          <w:szCs w:val="26"/>
        </w:rPr>
        <w:t>Définition des R</w:t>
      </w:r>
      <w:r>
        <w:rPr>
          <w:rFonts w:asciiTheme="majorHAnsi" w:eastAsiaTheme="majorEastAsia" w:hAnsiTheme="majorHAnsi" w:cstheme="majorBidi"/>
          <w:color w:val="FFC000" w:themeColor="accent4"/>
          <w:sz w:val="28"/>
          <w:szCs w:val="26"/>
        </w:rPr>
        <w:t>égions</w:t>
      </w:r>
      <w:bookmarkEnd w:id="146"/>
      <w:bookmarkEnd w:id="147"/>
      <w:bookmarkEnd w:id="148"/>
    </w:p>
    <w:p w:rsidR="006E2458" w:rsidRPr="00483B32" w:rsidRDefault="006E2458" w:rsidP="006E2458">
      <w:pPr>
        <w:pStyle w:val="BodyText"/>
      </w:pPr>
      <w:r>
        <w:t>La liste ci-dessous énumère les pays</w:t>
      </w:r>
      <w:r>
        <w:rPr>
          <w:color w:val="1F497D"/>
        </w:rPr>
        <w:t xml:space="preserve">, </w:t>
      </w:r>
      <w:r>
        <w:t>régions et territoires</w:t>
      </w:r>
      <w:r>
        <w:rPr>
          <w:color w:val="FF0000"/>
        </w:rPr>
        <w:t xml:space="preserve"> </w:t>
      </w:r>
      <w:r>
        <w:t>que Microsoft inclut dans sa définition de la région EMEA (Europe, Moyen-Orient et Afrique), dont il peut être fait mention dans les conditions des Comptes d’Achats. Le MPSA peut ne pas être disponible dans certains pays.</w:t>
      </w:r>
    </w:p>
    <w:p w:rsidR="006E2458" w:rsidRPr="00735254" w:rsidRDefault="006E2458" w:rsidP="006E2458">
      <w:pPr>
        <w:pStyle w:val="BodyText"/>
        <w:rPr>
          <w:sz w:val="14"/>
          <w:szCs w:val="14"/>
        </w:rPr>
      </w:pPr>
      <w:r>
        <w:rPr>
          <w:sz w:val="14"/>
        </w:rPr>
        <w:t>Afghanistan, Afrique du Sud, Albanie, Algérie, Allemagne, Andorre, Angola, Arabie saoudite, Arménie, Autriche, Azerbaïdjan, Bahreïn, Belgique, Bénin, Biélorussie, Bosnie-Herzégovine, Botswana, Bulgarie, Burkina Faso, Burundi, Cameroun, Cap-Vert, Chypre, Comores, Congo, Côte d’Ivoire, Croatie, Danemark, Djibouti, Égypte, Émirats arabes unis, Érythrée, Espagne, Estonie, Éthiopie, Finlande, France, Gabon, Gambie, Géorgie, Ghana, Grèce, Guinée, Guinée-Bissau, Guinée équatoriale, Hongrie, Islande, Irak, Irlande, Israël, Italie, Jordanie, Kazakhstan, Kenya, Kirghizistan, Koweït, Lettonie, Liban, Libye, Liechtenstein, Lituanie, Luxembourg, Macédoine, Madagascar, Malawi, Mali, Malte, Maroc, Maurice, Mauritanie, Moldavie, Monaco, Mongolie, Monténégro, Mozambique, Namibie, Niger, Nigeria, Norvège, Nouvelle Calédonie, Oman, Ouganda, Ouzbékistan, Pakistan, Pays-Bas, Pologne, Polynésie française, Portugal, Qatar, République centrafricaine, République démocratique du Congo, République tchèque, Roumanie, Royaume-Uni, Russie, Rwanda, Saint-Marin, Sénégal, Serbie, Seychelles, Sierra Leone, Slovaquie, Slovénie, Somalie, Sud-Soudan, Suède, Suisse, Syrie, Tadjikistan, Tanzanie, Tchad, Togo, Tunisie, Turkménistan, Turquie, Ukraine, Vatican (Cité du), Yémen, Zambie et Zimbabwe</w:t>
      </w:r>
      <w:r w:rsidRPr="00735254">
        <w:rPr>
          <w:rFonts w:cs="Segoe UI"/>
          <w:color w:val="1C4269"/>
          <w:sz w:val="14"/>
          <w:szCs w:val="14"/>
        </w:rPr>
        <w:t>.</w:t>
      </w:r>
    </w:p>
    <w:p w:rsidR="006E2458" w:rsidRPr="00483B32" w:rsidRDefault="006E2458" w:rsidP="006E2458">
      <w:pPr>
        <w:pStyle w:val="BodyText"/>
      </w:pPr>
    </w:p>
    <w:p w:rsidR="00EE174E" w:rsidRDefault="00EE174E"/>
    <w:sectPr w:rsidR="00EE174E" w:rsidSect="00BC431D">
      <w:headerReference w:type="default" r:id="rId30"/>
      <w:footerReference w:type="default" r:id="rId31"/>
      <w:headerReference w:type="first" r:id="rId32"/>
      <w:footerReference w:type="first" r:id="rId33"/>
      <w:pgSz w:w="12240" w:h="15840" w:code="1"/>
      <w:pgMar w:top="1440" w:right="720" w:bottom="1440" w:left="720" w:header="720" w:footer="72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E2458" w:rsidRDefault="006E2458" w:rsidP="006E2458">
      <w:pPr>
        <w:spacing w:line="240" w:lineRule="auto"/>
      </w:pPr>
      <w:r>
        <w:separator/>
      </w:r>
    </w:p>
  </w:endnote>
  <w:endnote w:type="continuationSeparator" w:id="0">
    <w:p w:rsidR="006E2458" w:rsidRDefault="006E2458" w:rsidP="006E245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Segoe Bold">
    <w:altName w:val="Courier New"/>
    <w:panose1 w:val="00000000000000000000"/>
    <w:charset w:val="00"/>
    <w:family w:val="auto"/>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02FF" w:usb1="4000ACFF" w:usb2="00000001" w:usb3="00000000" w:csb0="0000019F"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Segoe UI Light">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Segoe Light">
    <w:altName w:val="Times New Roman"/>
    <w:panose1 w:val="00000000000000000000"/>
    <w:charset w:val="00"/>
    <w:family w:val="roman"/>
    <w:notTrueType/>
    <w:pitch w:val="default"/>
  </w:font>
  <w:font w:name="Trebuchet MS">
    <w:panose1 w:val="020B0603020202020204"/>
    <w:charset w:val="00"/>
    <w:family w:val="swiss"/>
    <w:pitch w:val="variable"/>
    <w:sig w:usb0="00000687" w:usb1="00000000" w:usb2="00000000" w:usb3="00000000" w:csb0="0000009F" w:csb1="00000000"/>
  </w:font>
  <w:font w:name="MS Mincho">
    <w:altName w:val="Arial Unicode MS"/>
    <w:panose1 w:val="02020609040205080304"/>
    <w:charset w:val="80"/>
    <w:family w:val="roman"/>
    <w:notTrueType/>
    <w:pitch w:val="fixed"/>
    <w:sig w:usb0="00000000" w:usb1="08070000" w:usb2="00000010" w:usb3="00000000" w:csb0="00020000"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E2458" w:rsidRPr="00175A86" w:rsidRDefault="006E2458" w:rsidP="00175A86">
    <w:pPr>
      <w:pStyle w:val="Footer"/>
      <w:pBdr>
        <w:top w:val="none" w:sz="0" w:space="0" w:color="auto"/>
      </w:pBd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F32B1" w:rsidRPr="005A3AB0" w:rsidRDefault="00F458C5" w:rsidP="0030285B">
    <w:pPr>
      <w:pStyle w:val="Footer"/>
      <w:tabs>
        <w:tab w:val="clear" w:pos="4680"/>
        <w:tab w:val="clear" w:pos="9360"/>
        <w:tab w:val="right" w:pos="10800"/>
      </w:tabs>
      <w:rPr>
        <w:lang w:val="en-IN"/>
      </w:rPr>
    </w:pPr>
    <w:r w:rsidRPr="005A3AB0">
      <w:rPr>
        <w:sz w:val="16"/>
        <w:lang w:val="en-IN"/>
      </w:rPr>
      <w:t>© 2015 Microsoft Corporation. All rights reserved.</w:t>
    </w:r>
  </w:p>
  <w:p w:rsidR="001F32B1" w:rsidRPr="005A3AB0" w:rsidRDefault="00F458C5" w:rsidP="0030285B">
    <w:pPr>
      <w:pStyle w:val="Footer"/>
      <w:tabs>
        <w:tab w:val="clear" w:pos="4680"/>
        <w:tab w:val="clear" w:pos="9360"/>
        <w:tab w:val="right" w:pos="10800"/>
      </w:tabs>
      <w:rPr>
        <w:noProof/>
        <w:lang w:val="en-IN"/>
      </w:rPr>
    </w:pPr>
    <w:r w:rsidRPr="005A3AB0">
      <w:rPr>
        <w:sz w:val="16"/>
        <w:lang w:val="en-IN"/>
      </w:rPr>
      <w:t xml:space="preserve">Microsoft is a registered trademark of Microsoft </w:t>
    </w:r>
    <w:r w:rsidRPr="005A3AB0">
      <w:rPr>
        <w:sz w:val="16"/>
        <w:lang w:val="en-IN"/>
      </w:rPr>
      <w:t>Corporation in the United States and/or other countries</w:t>
    </w:r>
    <w:r w:rsidRPr="005A3AB0">
      <w:rPr>
        <w:lang w:val="en-IN"/>
      </w:rPr>
      <w:tab/>
    </w:r>
    <w:r>
      <w:fldChar w:fldCharType="begin"/>
    </w:r>
    <w:r w:rsidRPr="005A3AB0">
      <w:rPr>
        <w:lang w:val="en-IN"/>
      </w:rPr>
      <w:instrText xml:space="preserve"> PAGE   \* MERGEFORMAT </w:instrText>
    </w:r>
    <w:r>
      <w:fldChar w:fldCharType="separate"/>
    </w:r>
    <w:r>
      <w:rPr>
        <w:noProof/>
        <w:lang w:val="en-IN"/>
      </w:rPr>
      <w:t>18</w:t>
    </w:r>
    <w:r>
      <w:rPr>
        <w:noProof/>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F32B1" w:rsidRDefault="00F458C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E2458" w:rsidRDefault="006E2458" w:rsidP="006E2458">
      <w:pPr>
        <w:spacing w:line="240" w:lineRule="auto"/>
      </w:pPr>
      <w:r>
        <w:separator/>
      </w:r>
    </w:p>
  </w:footnote>
  <w:footnote w:type="continuationSeparator" w:id="0">
    <w:p w:rsidR="006E2458" w:rsidRDefault="006E2458" w:rsidP="006E2458">
      <w:pPr>
        <w:spacing w:line="240" w:lineRule="auto"/>
      </w:pPr>
      <w:r>
        <w:continuationSeparator/>
      </w:r>
    </w:p>
  </w:footnote>
  <w:footnote w:id="1">
    <w:p w:rsidR="006E2458" w:rsidRPr="00A123B4" w:rsidRDefault="006E2458" w:rsidP="006E2458">
      <w:pPr>
        <w:pStyle w:val="FootnoteText"/>
        <w:rPr>
          <w:sz w:val="14"/>
        </w:rPr>
      </w:pPr>
      <w:r w:rsidRPr="007B5219">
        <w:rPr>
          <w:rStyle w:val="FootnoteReference"/>
          <w:sz w:val="18"/>
        </w:rPr>
        <w:footnoteRef/>
      </w:r>
      <w:r>
        <w:rPr>
          <w:sz w:val="14"/>
        </w:rPr>
        <w:t xml:space="preserve"> </w:t>
      </w:r>
      <w:r w:rsidRPr="00A123B4">
        <w:rPr>
          <w:sz w:val="14"/>
        </w:rPr>
        <w:t>Les contrats peuvent également être signés à la main, au besoin.</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E2458" w:rsidRPr="00175A86" w:rsidRDefault="006E2458" w:rsidP="00175A86">
    <w:pPr>
      <w:pStyle w:val="Header"/>
      <w:pBdr>
        <w:top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E2458" w:rsidRDefault="006E2458" w:rsidP="00FB65FE">
    <w:pPr>
      <w:pStyle w:val="Header"/>
      <w:pBdr>
        <w:top w:val="none" w:sz="0" w:space="0" w:color="auto"/>
      </w:pBdr>
      <w:spacing w:after="3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F32B1" w:rsidRPr="00C537F0" w:rsidRDefault="00F458C5" w:rsidP="00C537F0">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F32B1" w:rsidRDefault="00F458C5" w:rsidP="00AD5C0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8FB6BC8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BA1A147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4752747E"/>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6EAE748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035A00FA"/>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E5466B9E"/>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77F6AE3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62C76D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F73451F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38A11C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34C2C6C"/>
    <w:multiLevelType w:val="hybridMultilevel"/>
    <w:tmpl w:val="AE7C3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0C92D54"/>
    <w:multiLevelType w:val="hybridMultilevel"/>
    <w:tmpl w:val="EA22A6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1A81EC1"/>
    <w:multiLevelType w:val="hybridMultilevel"/>
    <w:tmpl w:val="D0FE196A"/>
    <w:lvl w:ilvl="0" w:tplc="72D614C8">
      <w:start w:val="1"/>
      <w:numFmt w:val="bullet"/>
      <w:pStyle w:val="VLBody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15:restartNumberingAfterBreak="0">
    <w:nsid w:val="14EB250F"/>
    <w:multiLevelType w:val="hybridMultilevel"/>
    <w:tmpl w:val="C59449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55179C3"/>
    <w:multiLevelType w:val="hybridMultilevel"/>
    <w:tmpl w:val="E85219DE"/>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EBF3958"/>
    <w:multiLevelType w:val="hybridMultilevel"/>
    <w:tmpl w:val="8D6AA23E"/>
    <w:lvl w:ilvl="0" w:tplc="C1CC2224">
      <w:start w:val="1"/>
      <w:numFmt w:val="bullet"/>
      <w:pStyle w:val="Bullet"/>
      <w:lvlText w:val=""/>
      <w:lvlJc w:val="left"/>
      <w:pPr>
        <w:ind w:left="360" w:hanging="360"/>
      </w:pPr>
      <w:rPr>
        <w:rFonts w:ascii="Wingdings 3" w:hAnsi="Wingdings 3" w:hint="default"/>
        <w:color w:val="68217A"/>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3717208"/>
    <w:multiLevelType w:val="hybridMultilevel"/>
    <w:tmpl w:val="4B404BF2"/>
    <w:lvl w:ilvl="0" w:tplc="DF22CD38">
      <w:start w:val="1"/>
      <w:numFmt w:val="bullet"/>
      <w:lvlText w:val=""/>
      <w:lvlJc w:val="left"/>
      <w:pPr>
        <w:ind w:left="360" w:hanging="360"/>
      </w:pPr>
      <w:rPr>
        <w:rFonts w:ascii="Wingdings 3" w:hAnsi="Wingdings 3" w:hint="default"/>
        <w:color w:val="68217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C933CFE"/>
    <w:multiLevelType w:val="hybridMultilevel"/>
    <w:tmpl w:val="545A8304"/>
    <w:lvl w:ilvl="0" w:tplc="7CFEA470">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7AE5658"/>
    <w:multiLevelType w:val="hybridMultilevel"/>
    <w:tmpl w:val="5CB4D436"/>
    <w:lvl w:ilvl="0" w:tplc="8268A676">
      <w:start w:val="1"/>
      <w:numFmt w:val="bullet"/>
      <w:pStyle w:val="Bodycopybullets"/>
      <w:lvlText w:val="+"/>
      <w:lvlJc w:val="left"/>
      <w:pPr>
        <w:tabs>
          <w:tab w:val="num" w:pos="893"/>
        </w:tabs>
        <w:ind w:left="893" w:hanging="173"/>
      </w:pPr>
      <w:rPr>
        <w:rFonts w:ascii="Segoe Bold" w:hAnsi="Segoe Bold" w:hint="default"/>
        <w:b/>
        <w:i w:val="0"/>
        <w:color w:val="3577B0"/>
        <w:sz w:val="16"/>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8B2520E"/>
    <w:multiLevelType w:val="hybridMultilevel"/>
    <w:tmpl w:val="340289EA"/>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A963ED2"/>
    <w:multiLevelType w:val="hybridMultilevel"/>
    <w:tmpl w:val="74EE2E3E"/>
    <w:lvl w:ilvl="0" w:tplc="5CC0B2E4">
      <w:start w:val="2"/>
      <w:numFmt w:val="bullet"/>
      <w:lvlText w:val="-"/>
      <w:lvlJc w:val="left"/>
      <w:pPr>
        <w:ind w:left="720" w:hanging="360"/>
      </w:pPr>
      <w:rPr>
        <w:rFonts w:ascii="Segoe UI" w:eastAsiaTheme="minorHAnsi" w:hAnsi="Segoe UI"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F9336BF"/>
    <w:multiLevelType w:val="hybridMultilevel"/>
    <w:tmpl w:val="7598B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116230B"/>
    <w:multiLevelType w:val="hybridMultilevel"/>
    <w:tmpl w:val="48CC4606"/>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75018E6"/>
    <w:multiLevelType w:val="hybridMultilevel"/>
    <w:tmpl w:val="D78CC9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8813C4E"/>
    <w:multiLevelType w:val="hybridMultilevel"/>
    <w:tmpl w:val="E42640A2"/>
    <w:lvl w:ilvl="0" w:tplc="47620886">
      <w:start w:val="1"/>
      <w:numFmt w:val="bullet"/>
      <w:lvlText w:val=""/>
      <w:lvlJc w:val="left"/>
      <w:pPr>
        <w:ind w:left="720" w:hanging="360"/>
      </w:pPr>
      <w:rPr>
        <w:rFonts w:ascii="Webdings" w:hAnsi="Webdings" w:hint="default"/>
        <w:b w:val="0"/>
        <w:i w:val="0"/>
        <w:color w:val="7030A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D063188"/>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D591687"/>
    <w:multiLevelType w:val="hybridMultilevel"/>
    <w:tmpl w:val="06EA814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270574"/>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5971353"/>
    <w:multiLevelType w:val="hybridMultilevel"/>
    <w:tmpl w:val="FFDA153C"/>
    <w:lvl w:ilvl="0" w:tplc="C24C77A4">
      <w:start w:val="1"/>
      <w:numFmt w:val="lowerRoman"/>
      <w:lvlText w:val="(%1)"/>
      <w:lvlJc w:val="left"/>
      <w:pPr>
        <w:ind w:left="720" w:hanging="360"/>
      </w:pPr>
      <w:rPr>
        <w:b/>
      </w:rPr>
    </w:lvl>
    <w:lvl w:ilvl="1" w:tplc="FCF29998">
      <w:start w:val="2"/>
      <w:numFmt w:val="bullet"/>
      <w:lvlText w:val="•"/>
      <w:lvlJc w:val="left"/>
      <w:pPr>
        <w:ind w:left="1800" w:hanging="720"/>
      </w:pPr>
      <w:rPr>
        <w:rFonts w:ascii="Arial" w:eastAsia="Calibri"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6150D11"/>
    <w:multiLevelType w:val="hybridMultilevel"/>
    <w:tmpl w:val="EBAE39A0"/>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BB72081"/>
    <w:multiLevelType w:val="hybridMultilevel"/>
    <w:tmpl w:val="75A00C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2F16620"/>
    <w:multiLevelType w:val="hybridMultilevel"/>
    <w:tmpl w:val="A30EB7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59C31FE"/>
    <w:multiLevelType w:val="hybridMultilevel"/>
    <w:tmpl w:val="111CCDA2"/>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6532CB8"/>
    <w:multiLevelType w:val="hybridMultilevel"/>
    <w:tmpl w:val="1FB02AA8"/>
    <w:lvl w:ilvl="0" w:tplc="6262BD2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6AE52E6"/>
    <w:multiLevelType w:val="hybridMultilevel"/>
    <w:tmpl w:val="28E0837A"/>
    <w:lvl w:ilvl="0" w:tplc="47620886">
      <w:start w:val="1"/>
      <w:numFmt w:val="bullet"/>
      <w:lvlText w:val=""/>
      <w:lvlJc w:val="left"/>
      <w:pPr>
        <w:ind w:left="360" w:hanging="360"/>
      </w:pPr>
      <w:rPr>
        <w:rFonts w:ascii="Webdings" w:hAnsi="Webdings" w:hint="default"/>
        <w:b w:val="0"/>
        <w:i w:val="0"/>
        <w:color w:val="7030A0"/>
        <w:sz w:val="24"/>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ACD6B14"/>
    <w:multiLevelType w:val="hybridMultilevel"/>
    <w:tmpl w:val="3C666864"/>
    <w:lvl w:ilvl="0" w:tplc="A582E3CC">
      <w:start w:val="1"/>
      <w:numFmt w:val="lowerLetter"/>
      <w:lvlText w:val="%1."/>
      <w:lvlJc w:val="left"/>
      <w:pPr>
        <w:ind w:left="1170" w:hanging="360"/>
      </w:pPr>
      <w:rPr>
        <w:rFonts w:ascii="Arial" w:hAnsi="Arial" w:cs="Arial" w:hint="default"/>
        <w:b/>
        <w:sz w:val="20"/>
        <w:szCs w:val="20"/>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num w:numId="1">
    <w:abstractNumId w:val="9"/>
  </w:num>
  <w:num w:numId="2">
    <w:abstractNumId w:val="8"/>
  </w:num>
  <w:num w:numId="3">
    <w:abstractNumId w:val="7"/>
  </w:num>
  <w:num w:numId="4">
    <w:abstractNumId w:val="6"/>
  </w:num>
  <w:num w:numId="5">
    <w:abstractNumId w:val="5"/>
  </w:num>
  <w:num w:numId="6">
    <w:abstractNumId w:val="4"/>
  </w:num>
  <w:num w:numId="7">
    <w:abstractNumId w:val="3"/>
  </w:num>
  <w:num w:numId="8">
    <w:abstractNumId w:val="2"/>
  </w:num>
  <w:num w:numId="9">
    <w:abstractNumId w:val="1"/>
  </w:num>
  <w:num w:numId="10">
    <w:abstractNumId w:val="0"/>
  </w:num>
  <w:num w:numId="11">
    <w:abstractNumId w:val="21"/>
  </w:num>
  <w:num w:numId="12">
    <w:abstractNumId w:val="20"/>
  </w:num>
  <w:num w:numId="13">
    <w:abstractNumId w:val="16"/>
  </w:num>
  <w:num w:numId="14">
    <w:abstractNumId w:val="23"/>
  </w:num>
  <w:num w:numId="15">
    <w:abstractNumId w:val="22"/>
  </w:num>
  <w:num w:numId="16">
    <w:abstractNumId w:val="42"/>
  </w:num>
  <w:num w:numId="17">
    <w:abstractNumId w:val="44"/>
  </w:num>
  <w:num w:numId="18">
    <w:abstractNumId w:val="40"/>
  </w:num>
  <w:num w:numId="19">
    <w:abstractNumId w:val="24"/>
  </w:num>
  <w:num w:numId="20">
    <w:abstractNumId w:val="27"/>
  </w:num>
  <w:num w:numId="21">
    <w:abstractNumId w:val="35"/>
  </w:num>
  <w:num w:numId="22">
    <w:abstractNumId w:val="36"/>
  </w:num>
  <w:num w:numId="23">
    <w:abstractNumId w:val="19"/>
  </w:num>
  <w:num w:numId="24">
    <w:abstractNumId w:val="34"/>
  </w:num>
  <w:num w:numId="25">
    <w:abstractNumId w:val="33"/>
  </w:num>
  <w:num w:numId="26">
    <w:abstractNumId w:val="28"/>
  </w:num>
  <w:num w:numId="27">
    <w:abstractNumId w:val="30"/>
  </w:num>
  <w:num w:numId="28">
    <w:abstractNumId w:val="10"/>
  </w:num>
  <w:num w:numId="29">
    <w:abstractNumId w:val="17"/>
  </w:num>
  <w:num w:numId="30">
    <w:abstractNumId w:val="38"/>
  </w:num>
  <w:num w:numId="31">
    <w:abstractNumId w:val="43"/>
  </w:num>
  <w:num w:numId="32">
    <w:abstractNumId w:val="15"/>
  </w:num>
  <w:num w:numId="33">
    <w:abstractNumId w:val="12"/>
  </w:num>
  <w:num w:numId="34">
    <w:abstractNumId w:val="32"/>
  </w:num>
  <w:num w:numId="35">
    <w:abstractNumId w:val="37"/>
  </w:num>
  <w:num w:numId="36">
    <w:abstractNumId w:val="13"/>
  </w:num>
  <w:num w:numId="37">
    <w:abstractNumId w:val="25"/>
  </w:num>
  <w:num w:numId="38">
    <w:abstractNumId w:val="26"/>
  </w:num>
  <w:num w:numId="39">
    <w:abstractNumId w:val="11"/>
  </w:num>
  <w:num w:numId="40">
    <w:abstractNumId w:val="39"/>
  </w:num>
  <w:num w:numId="41">
    <w:abstractNumId w:val="18"/>
  </w:num>
  <w:num w:numId="42">
    <w:abstractNumId w:val="31"/>
  </w:num>
  <w:num w:numId="43">
    <w:abstractNumId w:val="41"/>
  </w:num>
  <w:num w:numId="44">
    <w:abstractNumId w:val="14"/>
  </w:num>
  <w:num w:numId="45">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cumentProtection w:edit="forms" w:enforcement="1" w:cryptProviderType="rsaAES" w:cryptAlgorithmClass="hash" w:cryptAlgorithmType="typeAny" w:cryptAlgorithmSid="14" w:cryptSpinCount="100000" w:hash="gThenPjGIWOQrjNrUa2/uT6f7u/Ank1S/SQJTzYCu2pyAiVvoGUDOHZf3ARRjUls19tpZdObsOuDLLK+o5I5VQ==" w:salt="GnA0De545fhgFfuwgNCJ7A=="/>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2458"/>
    <w:rsid w:val="006E2458"/>
    <w:rsid w:val="00EE174E"/>
    <w:rsid w:val="00F458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6A3CEF9-33BC-4811-B7E5-21EBAA8F32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11" w:qFormat="1"/>
    <w:lsdException w:name="heading 1" w:uiPriority="2" w:qFormat="1"/>
    <w:lsdException w:name="heading 2" w:semiHidden="1" w:uiPriority="2"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9"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3"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98"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1"/>
    <w:qFormat/>
    <w:rsid w:val="006E2458"/>
    <w:pPr>
      <w:spacing w:after="0" w:line="240" w:lineRule="atLeast"/>
    </w:pPr>
    <w:rPr>
      <w:rFonts w:ascii="Segoe UI" w:hAnsi="Segoe UI"/>
      <w:sz w:val="18"/>
      <w:lang w:val="fr-FR" w:eastAsia="fr-FR" w:bidi="fr-FR"/>
    </w:rPr>
  </w:style>
  <w:style w:type="paragraph" w:styleId="Heading1">
    <w:name w:val="heading 1"/>
    <w:aliases w:val="Hdg 1 w/ border"/>
    <w:next w:val="Normal"/>
    <w:link w:val="Heading1Char"/>
    <w:uiPriority w:val="2"/>
    <w:qFormat/>
    <w:rsid w:val="006E2458"/>
    <w:pPr>
      <w:keepNext/>
      <w:pBdr>
        <w:top w:val="single" w:sz="4" w:space="6" w:color="68217A"/>
      </w:pBdr>
      <w:spacing w:before="480" w:line="420" w:lineRule="exact"/>
      <w:outlineLvl w:val="0"/>
    </w:pPr>
    <w:rPr>
      <w:rFonts w:ascii="Segoe UI Light" w:eastAsia="Times New Roman" w:hAnsi="Segoe UI Light" w:cs="Times New Roman"/>
      <w:color w:val="68217A"/>
      <w:kern w:val="36"/>
      <w:sz w:val="36"/>
      <w:szCs w:val="39"/>
      <w:lang w:val="fr-FR" w:eastAsia="fr-FR" w:bidi="fr-FR"/>
    </w:rPr>
  </w:style>
  <w:style w:type="paragraph" w:styleId="Heading2">
    <w:name w:val="heading 2"/>
    <w:next w:val="Normal"/>
    <w:link w:val="Heading2Char"/>
    <w:uiPriority w:val="2"/>
    <w:qFormat/>
    <w:rsid w:val="006E2458"/>
    <w:pPr>
      <w:keepNext/>
      <w:keepLines/>
      <w:spacing w:before="120" w:after="120" w:line="240" w:lineRule="auto"/>
      <w:outlineLvl w:val="1"/>
    </w:pPr>
    <w:rPr>
      <w:rFonts w:asciiTheme="majorHAnsi" w:eastAsiaTheme="majorEastAsia" w:hAnsiTheme="majorHAnsi" w:cstheme="majorBidi"/>
      <w:b/>
      <w:bCs/>
      <w:color w:val="FFC000" w:themeColor="accent4"/>
      <w:szCs w:val="18"/>
      <w:lang w:val="fr-FR" w:eastAsia="fr-FR" w:bidi="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dg 1 w/ border Char"/>
    <w:basedOn w:val="DefaultParagraphFont"/>
    <w:link w:val="Heading1"/>
    <w:uiPriority w:val="2"/>
    <w:rsid w:val="006E2458"/>
    <w:rPr>
      <w:rFonts w:ascii="Segoe UI Light" w:eastAsia="Times New Roman" w:hAnsi="Segoe UI Light" w:cs="Times New Roman"/>
      <w:color w:val="68217A"/>
      <w:kern w:val="36"/>
      <w:sz w:val="36"/>
      <w:szCs w:val="39"/>
      <w:lang w:val="fr-FR" w:eastAsia="fr-FR" w:bidi="fr-FR"/>
    </w:rPr>
  </w:style>
  <w:style w:type="character" w:customStyle="1" w:styleId="Heading2Char">
    <w:name w:val="Heading 2 Char"/>
    <w:basedOn w:val="DefaultParagraphFont"/>
    <w:link w:val="Heading2"/>
    <w:uiPriority w:val="2"/>
    <w:rsid w:val="006E2458"/>
    <w:rPr>
      <w:rFonts w:asciiTheme="majorHAnsi" w:eastAsiaTheme="majorEastAsia" w:hAnsiTheme="majorHAnsi" w:cstheme="majorBidi"/>
      <w:b/>
      <w:bCs/>
      <w:color w:val="FFC000" w:themeColor="accent4"/>
      <w:szCs w:val="18"/>
      <w:lang w:val="fr-FR" w:eastAsia="fr-FR" w:bidi="fr-FR"/>
    </w:rPr>
  </w:style>
  <w:style w:type="paragraph" w:styleId="BalloonText">
    <w:name w:val="Balloon Text"/>
    <w:basedOn w:val="Normal"/>
    <w:link w:val="BalloonTextChar"/>
    <w:uiPriority w:val="99"/>
    <w:semiHidden/>
    <w:unhideWhenUsed/>
    <w:rsid w:val="006E2458"/>
    <w:rPr>
      <w:rFonts w:ascii="Tahoma" w:hAnsi="Tahoma" w:cs="Tahoma"/>
      <w:sz w:val="16"/>
      <w:szCs w:val="16"/>
    </w:rPr>
  </w:style>
  <w:style w:type="character" w:customStyle="1" w:styleId="BalloonTextChar">
    <w:name w:val="Balloon Text Char"/>
    <w:basedOn w:val="DefaultParagraphFont"/>
    <w:link w:val="BalloonText"/>
    <w:uiPriority w:val="99"/>
    <w:semiHidden/>
    <w:rsid w:val="006E2458"/>
    <w:rPr>
      <w:rFonts w:ascii="Tahoma" w:hAnsi="Tahoma" w:cs="Tahoma"/>
      <w:sz w:val="16"/>
      <w:szCs w:val="16"/>
      <w:lang w:val="fr-FR" w:eastAsia="fr-FR" w:bidi="fr-FR"/>
    </w:rPr>
  </w:style>
  <w:style w:type="paragraph" w:customStyle="1" w:styleId="ecxmsonormal">
    <w:name w:val="ecxmsonormal"/>
    <w:basedOn w:val="Normal"/>
    <w:uiPriority w:val="98"/>
    <w:semiHidden/>
    <w:rsid w:val="006E2458"/>
    <w:pPr>
      <w:spacing w:after="324"/>
    </w:pPr>
    <w:rPr>
      <w:rFonts w:ascii="Times New Roman" w:eastAsia="Times New Roman" w:hAnsi="Times New Roman" w:cs="Times New Roman"/>
      <w:sz w:val="24"/>
      <w:szCs w:val="24"/>
    </w:rPr>
  </w:style>
  <w:style w:type="character" w:styleId="Hyperlink">
    <w:name w:val="Hyperlink"/>
    <w:basedOn w:val="DefaultParagraphFont"/>
    <w:uiPriority w:val="99"/>
    <w:rsid w:val="006E2458"/>
    <w:rPr>
      <w:color w:val="0563C1" w:themeColor="hyperlink"/>
      <w:u w:val="single"/>
    </w:rPr>
  </w:style>
  <w:style w:type="paragraph" w:styleId="Title">
    <w:name w:val="Title"/>
    <w:basedOn w:val="Normal"/>
    <w:next w:val="Normal"/>
    <w:link w:val="TitleChar"/>
    <w:uiPriority w:val="99"/>
    <w:unhideWhenUsed/>
    <w:rsid w:val="006E2458"/>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99"/>
    <w:rsid w:val="006E2458"/>
    <w:rPr>
      <w:rFonts w:asciiTheme="majorHAnsi" w:eastAsiaTheme="majorEastAsia" w:hAnsiTheme="majorHAnsi" w:cstheme="majorBidi"/>
      <w:color w:val="323E4F" w:themeColor="text2" w:themeShade="BF"/>
      <w:spacing w:val="5"/>
      <w:kern w:val="28"/>
      <w:sz w:val="52"/>
      <w:szCs w:val="52"/>
      <w:lang w:val="fr-FR" w:eastAsia="fr-FR" w:bidi="fr-FR"/>
    </w:rPr>
  </w:style>
  <w:style w:type="paragraph" w:styleId="Subtitle">
    <w:name w:val="Subtitle"/>
    <w:basedOn w:val="Normal"/>
    <w:next w:val="Normal"/>
    <w:link w:val="SubtitleChar"/>
    <w:uiPriority w:val="99"/>
    <w:unhideWhenUsed/>
    <w:rsid w:val="006E2458"/>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99"/>
    <w:rsid w:val="006E2458"/>
    <w:rPr>
      <w:rFonts w:asciiTheme="majorHAnsi" w:eastAsiaTheme="majorEastAsia" w:hAnsiTheme="majorHAnsi" w:cstheme="majorBidi"/>
      <w:i/>
      <w:iCs/>
      <w:color w:val="5B9BD5" w:themeColor="accent1"/>
      <w:spacing w:val="15"/>
      <w:sz w:val="24"/>
      <w:szCs w:val="24"/>
      <w:lang w:val="fr-FR" w:eastAsia="fr-FR" w:bidi="fr-FR"/>
    </w:rPr>
  </w:style>
  <w:style w:type="character" w:styleId="SubtleEmphasis">
    <w:name w:val="Subtle Emphasis"/>
    <w:basedOn w:val="DefaultParagraphFont"/>
    <w:uiPriority w:val="99"/>
    <w:rsid w:val="006E2458"/>
    <w:rPr>
      <w:i/>
      <w:iCs/>
      <w:color w:val="808080" w:themeColor="text1" w:themeTint="7F"/>
    </w:rPr>
  </w:style>
  <w:style w:type="character" w:styleId="Emphasis">
    <w:name w:val="Emphasis"/>
    <w:basedOn w:val="DefaultParagraphFont"/>
    <w:uiPriority w:val="99"/>
    <w:rsid w:val="006E2458"/>
    <w:rPr>
      <w:i/>
      <w:iCs/>
    </w:rPr>
  </w:style>
  <w:style w:type="character" w:styleId="IntenseEmphasis">
    <w:name w:val="Intense Emphasis"/>
    <w:basedOn w:val="DefaultParagraphFont"/>
    <w:uiPriority w:val="21"/>
    <w:unhideWhenUsed/>
    <w:rsid w:val="006E2458"/>
    <w:rPr>
      <w:b/>
      <w:bCs/>
      <w:i/>
      <w:iCs/>
      <w:color w:val="5B9BD5" w:themeColor="accent1"/>
    </w:rPr>
  </w:style>
  <w:style w:type="character" w:styleId="Strong">
    <w:name w:val="Strong"/>
    <w:basedOn w:val="DefaultParagraphFont"/>
    <w:uiPriority w:val="22"/>
    <w:unhideWhenUsed/>
    <w:rsid w:val="006E2458"/>
    <w:rPr>
      <w:b/>
      <w:bCs/>
    </w:rPr>
  </w:style>
  <w:style w:type="paragraph" w:styleId="Quote">
    <w:name w:val="Quote"/>
    <w:basedOn w:val="Normal"/>
    <w:next w:val="Normal"/>
    <w:link w:val="QuoteChar"/>
    <w:uiPriority w:val="29"/>
    <w:unhideWhenUsed/>
    <w:rsid w:val="006E2458"/>
    <w:rPr>
      <w:i/>
      <w:iCs/>
      <w:color w:val="000000" w:themeColor="text1"/>
    </w:rPr>
  </w:style>
  <w:style w:type="character" w:customStyle="1" w:styleId="QuoteChar">
    <w:name w:val="Quote Char"/>
    <w:basedOn w:val="DefaultParagraphFont"/>
    <w:link w:val="Quote"/>
    <w:uiPriority w:val="29"/>
    <w:rsid w:val="006E2458"/>
    <w:rPr>
      <w:rFonts w:ascii="Segoe UI" w:hAnsi="Segoe UI"/>
      <w:i/>
      <w:iCs/>
      <w:color w:val="000000" w:themeColor="text1"/>
      <w:sz w:val="18"/>
      <w:lang w:val="fr-FR" w:eastAsia="fr-FR" w:bidi="fr-FR"/>
    </w:rPr>
  </w:style>
  <w:style w:type="paragraph" w:styleId="IntenseQuote">
    <w:name w:val="Intense Quote"/>
    <w:basedOn w:val="Normal"/>
    <w:next w:val="Normal"/>
    <w:link w:val="IntenseQuoteChar"/>
    <w:uiPriority w:val="30"/>
    <w:unhideWhenUsed/>
    <w:rsid w:val="006E2458"/>
    <w:pPr>
      <w:pBdr>
        <w:bottom w:val="single" w:sz="4" w:space="4" w:color="5B9BD5" w:themeColor="accent1"/>
      </w:pBdr>
      <w:spacing w:before="200" w:after="280"/>
      <w:ind w:left="936" w:right="936"/>
    </w:pPr>
    <w:rPr>
      <w:b/>
      <w:bCs/>
      <w:i/>
      <w:iCs/>
      <w:color w:val="5B9BD5" w:themeColor="accent1"/>
    </w:rPr>
  </w:style>
  <w:style w:type="character" w:customStyle="1" w:styleId="IntenseQuoteChar">
    <w:name w:val="Intense Quote Char"/>
    <w:basedOn w:val="DefaultParagraphFont"/>
    <w:link w:val="IntenseQuote"/>
    <w:uiPriority w:val="30"/>
    <w:rsid w:val="006E2458"/>
    <w:rPr>
      <w:rFonts w:ascii="Segoe UI" w:hAnsi="Segoe UI"/>
      <w:b/>
      <w:bCs/>
      <w:i/>
      <w:iCs/>
      <w:color w:val="5B9BD5" w:themeColor="accent1"/>
      <w:sz w:val="18"/>
      <w:lang w:val="fr-FR" w:eastAsia="fr-FR" w:bidi="fr-FR"/>
    </w:rPr>
  </w:style>
  <w:style w:type="character" w:styleId="SubtleReference">
    <w:name w:val="Subtle Reference"/>
    <w:basedOn w:val="DefaultParagraphFont"/>
    <w:uiPriority w:val="31"/>
    <w:unhideWhenUsed/>
    <w:rsid w:val="006E2458"/>
    <w:rPr>
      <w:smallCaps/>
      <w:color w:val="ED7D31" w:themeColor="accent2"/>
      <w:u w:val="single"/>
    </w:rPr>
  </w:style>
  <w:style w:type="character" w:styleId="IntenseReference">
    <w:name w:val="Intense Reference"/>
    <w:basedOn w:val="DefaultParagraphFont"/>
    <w:uiPriority w:val="32"/>
    <w:unhideWhenUsed/>
    <w:rsid w:val="006E2458"/>
    <w:rPr>
      <w:b/>
      <w:bCs/>
      <w:smallCaps/>
      <w:color w:val="ED7D31" w:themeColor="accent2"/>
      <w:spacing w:val="5"/>
      <w:u w:val="single"/>
    </w:rPr>
  </w:style>
  <w:style w:type="character" w:styleId="BookTitle">
    <w:name w:val="Book Title"/>
    <w:basedOn w:val="DefaultParagraphFont"/>
    <w:uiPriority w:val="33"/>
    <w:unhideWhenUsed/>
    <w:rsid w:val="006E2458"/>
    <w:rPr>
      <w:b/>
      <w:bCs/>
      <w:smallCaps/>
      <w:spacing w:val="5"/>
    </w:rPr>
  </w:style>
  <w:style w:type="paragraph" w:styleId="ListParagraph">
    <w:name w:val="List Paragraph"/>
    <w:basedOn w:val="Normal"/>
    <w:uiPriority w:val="34"/>
    <w:unhideWhenUsed/>
    <w:qFormat/>
    <w:rsid w:val="006E2458"/>
  </w:style>
  <w:style w:type="paragraph" w:styleId="NoSpacing">
    <w:name w:val="No Spacing"/>
    <w:uiPriority w:val="98"/>
    <w:rsid w:val="006E2458"/>
    <w:pPr>
      <w:spacing w:after="0" w:line="240" w:lineRule="auto"/>
    </w:pPr>
    <w:rPr>
      <w:rFonts w:ascii="Arial" w:hAnsi="Arial"/>
      <w:lang w:val="fr-FR" w:eastAsia="fr-FR" w:bidi="fr-FR"/>
    </w:rPr>
  </w:style>
  <w:style w:type="table" w:styleId="TableGrid">
    <w:name w:val="Table Grid"/>
    <w:basedOn w:val="TableNormal"/>
    <w:uiPriority w:val="39"/>
    <w:rsid w:val="006E2458"/>
    <w:pPr>
      <w:spacing w:after="0" w:line="240" w:lineRule="auto"/>
    </w:pPr>
    <w:rPr>
      <w:rFonts w:ascii="Arial" w:hAnsi="Arial"/>
      <w:sz w:val="20"/>
      <w:lang w:val="fr-FR" w:eastAsia="fr-FR" w:bidi="fr-FR"/>
    </w:rPr>
    <w:tblPr>
      <w:tblCellMar>
        <w:left w:w="0" w:type="dxa"/>
        <w:right w:w="0" w:type="dxa"/>
      </w:tblCellMar>
    </w:tblPr>
    <w:trPr>
      <w:cantSplit/>
    </w:trPr>
  </w:style>
  <w:style w:type="paragraph" w:customStyle="1" w:styleId="BodyTextIndented">
    <w:name w:val="Body Text Indented"/>
    <w:basedOn w:val="BodyText"/>
    <w:uiPriority w:val="6"/>
    <w:qFormat/>
    <w:rsid w:val="006E2458"/>
    <w:pPr>
      <w:ind w:left="3168"/>
    </w:pPr>
  </w:style>
  <w:style w:type="paragraph" w:styleId="Header">
    <w:name w:val="header"/>
    <w:basedOn w:val="Normal"/>
    <w:link w:val="HeaderChar"/>
    <w:uiPriority w:val="99"/>
    <w:unhideWhenUsed/>
    <w:rsid w:val="006E2458"/>
    <w:pPr>
      <w:pBdr>
        <w:top w:val="single" w:sz="4" w:space="5" w:color="68217A"/>
      </w:pBdr>
      <w:tabs>
        <w:tab w:val="center" w:pos="4680"/>
        <w:tab w:val="right" w:pos="9360"/>
      </w:tabs>
      <w:spacing w:line="240" w:lineRule="auto"/>
    </w:pPr>
    <w:rPr>
      <w:rFonts w:asciiTheme="majorHAnsi" w:hAnsiTheme="majorHAnsi"/>
      <w:color w:val="68217A"/>
      <w:sz w:val="40"/>
    </w:rPr>
  </w:style>
  <w:style w:type="character" w:customStyle="1" w:styleId="HeaderChar">
    <w:name w:val="Header Char"/>
    <w:basedOn w:val="DefaultParagraphFont"/>
    <w:link w:val="Header"/>
    <w:uiPriority w:val="99"/>
    <w:rsid w:val="006E2458"/>
    <w:rPr>
      <w:rFonts w:asciiTheme="majorHAnsi" w:hAnsiTheme="majorHAnsi"/>
      <w:color w:val="68217A"/>
      <w:sz w:val="40"/>
      <w:lang w:val="fr-FR" w:eastAsia="fr-FR" w:bidi="fr-FR"/>
    </w:rPr>
  </w:style>
  <w:style w:type="paragraph" w:styleId="Footer">
    <w:name w:val="footer"/>
    <w:link w:val="FooterChar"/>
    <w:uiPriority w:val="99"/>
    <w:unhideWhenUsed/>
    <w:rsid w:val="006E2458"/>
    <w:pPr>
      <w:pBdr>
        <w:top w:val="single" w:sz="4" w:space="5" w:color="969696"/>
      </w:pBdr>
      <w:tabs>
        <w:tab w:val="center" w:pos="4680"/>
        <w:tab w:val="right" w:pos="9360"/>
      </w:tabs>
      <w:spacing w:after="0" w:line="240" w:lineRule="auto"/>
    </w:pPr>
    <w:rPr>
      <w:rFonts w:ascii="Segoe UI" w:hAnsi="Segoe UI"/>
      <w:color w:val="505050"/>
      <w:sz w:val="18"/>
      <w:lang w:val="fr-FR" w:eastAsia="fr-FR" w:bidi="fr-FR"/>
    </w:rPr>
  </w:style>
  <w:style w:type="character" w:customStyle="1" w:styleId="FooterChar">
    <w:name w:val="Footer Char"/>
    <w:basedOn w:val="DefaultParagraphFont"/>
    <w:link w:val="Footer"/>
    <w:uiPriority w:val="99"/>
    <w:rsid w:val="006E2458"/>
    <w:rPr>
      <w:rFonts w:ascii="Segoe UI" w:hAnsi="Segoe UI"/>
      <w:color w:val="505050"/>
      <w:sz w:val="18"/>
      <w:lang w:val="fr-FR" w:eastAsia="fr-FR" w:bidi="fr-FR"/>
    </w:rPr>
  </w:style>
  <w:style w:type="paragraph" w:customStyle="1" w:styleId="DocTitle">
    <w:name w:val="DocTitle"/>
    <w:rsid w:val="006E2458"/>
    <w:pPr>
      <w:spacing w:after="0" w:line="880" w:lineRule="atLeast"/>
      <w:ind w:left="2430" w:right="14"/>
    </w:pPr>
    <w:rPr>
      <w:rFonts w:ascii="Segoe UI Light" w:eastAsia="Times New Roman" w:hAnsi="Segoe UI Light" w:cs="Times New Roman"/>
      <w:color w:val="B4009E"/>
      <w:sz w:val="80"/>
      <w:szCs w:val="20"/>
      <w:lang w:val="fr-FR" w:eastAsia="fr-FR" w:bidi="fr-FR"/>
    </w:rPr>
  </w:style>
  <w:style w:type="paragraph" w:customStyle="1" w:styleId="TOCHeadingV1">
    <w:name w:val="TOC Heading V1"/>
    <w:uiPriority w:val="19"/>
    <w:rsid w:val="006E2458"/>
    <w:pPr>
      <w:pageBreakBefore/>
      <w:pBdr>
        <w:bottom w:val="single" w:sz="36" w:space="6" w:color="68217A"/>
      </w:pBdr>
      <w:spacing w:before="1320" w:after="720" w:line="240" w:lineRule="auto"/>
      <w:ind w:right="1440"/>
    </w:pPr>
    <w:rPr>
      <w:rFonts w:ascii="Segoe UI" w:hAnsi="Segoe UI"/>
      <w:color w:val="68217A"/>
      <w:sz w:val="32"/>
      <w:lang w:val="fr-FR" w:eastAsia="fr-FR" w:bidi="fr-FR"/>
    </w:rPr>
  </w:style>
  <w:style w:type="paragraph" w:styleId="Caption">
    <w:name w:val="caption"/>
    <w:aliases w:val="Caption underneath"/>
    <w:basedOn w:val="Normal"/>
    <w:uiPriority w:val="9"/>
    <w:qFormat/>
    <w:rsid w:val="006E2458"/>
    <w:pPr>
      <w:spacing w:before="60" w:after="300" w:line="180" w:lineRule="atLeast"/>
    </w:pPr>
    <w:rPr>
      <w:i/>
      <w:sz w:val="14"/>
    </w:rPr>
  </w:style>
  <w:style w:type="paragraph" w:customStyle="1" w:styleId="Legalese">
    <w:name w:val="Legalese"/>
    <w:uiPriority w:val="13"/>
    <w:qFormat/>
    <w:rsid w:val="006E2458"/>
    <w:pPr>
      <w:spacing w:after="120" w:line="180" w:lineRule="atLeast"/>
    </w:pPr>
    <w:rPr>
      <w:rFonts w:ascii="Segoe UI" w:eastAsia="Times New Roman" w:hAnsi="Segoe UI" w:cs="Times New Roman"/>
      <w:color w:val="000000" w:themeColor="text1"/>
      <w:sz w:val="14"/>
      <w:szCs w:val="20"/>
      <w:lang w:val="fr-FR" w:eastAsia="fr-FR" w:bidi="fr-FR"/>
    </w:rPr>
  </w:style>
  <w:style w:type="paragraph" w:styleId="TOC1">
    <w:name w:val="toc 1"/>
    <w:basedOn w:val="Normal"/>
    <w:next w:val="Normal"/>
    <w:uiPriority w:val="39"/>
    <w:unhideWhenUsed/>
    <w:rsid w:val="006E2458"/>
    <w:pPr>
      <w:tabs>
        <w:tab w:val="right" w:leader="dot" w:pos="9360"/>
      </w:tabs>
      <w:spacing w:before="120" w:after="120" w:line="240" w:lineRule="auto"/>
    </w:pPr>
    <w:rPr>
      <w:noProof/>
      <w:color w:val="505050"/>
      <w:sz w:val="20"/>
    </w:rPr>
  </w:style>
  <w:style w:type="paragraph" w:styleId="TOC2">
    <w:name w:val="toc 2"/>
    <w:basedOn w:val="Normal"/>
    <w:next w:val="Normal"/>
    <w:uiPriority w:val="39"/>
    <w:unhideWhenUsed/>
    <w:rsid w:val="006E2458"/>
    <w:pPr>
      <w:tabs>
        <w:tab w:val="right" w:leader="dot" w:pos="9360"/>
      </w:tabs>
      <w:spacing w:before="120" w:after="120" w:line="240" w:lineRule="auto"/>
      <w:ind w:left="288"/>
    </w:pPr>
    <w:rPr>
      <w:rFonts w:eastAsia="Times New Roman" w:cs="Times New Roman"/>
      <w:noProof/>
      <w:color w:val="505050"/>
      <w:sz w:val="16"/>
      <w:szCs w:val="20"/>
    </w:rPr>
  </w:style>
  <w:style w:type="paragraph" w:customStyle="1" w:styleId="Celltoholdimage">
    <w:name w:val="Cell to hold image"/>
    <w:basedOn w:val="Normal"/>
    <w:uiPriority w:val="8"/>
    <w:qFormat/>
    <w:rsid w:val="006E2458"/>
    <w:pPr>
      <w:keepNext/>
      <w:spacing w:before="120" w:after="120" w:line="240" w:lineRule="auto"/>
      <w:ind w:left="-29"/>
    </w:pPr>
    <w:rPr>
      <w:rFonts w:eastAsia="Times New Roman" w:cs="Times New Roman"/>
      <w:szCs w:val="20"/>
    </w:rPr>
  </w:style>
  <w:style w:type="table" w:customStyle="1" w:styleId="MSBRANDtable">
    <w:name w:val="MS BRAND table"/>
    <w:basedOn w:val="TableNormal"/>
    <w:uiPriority w:val="99"/>
    <w:qFormat/>
    <w:rsid w:val="006E2458"/>
    <w:pPr>
      <w:spacing w:after="0" w:line="240" w:lineRule="auto"/>
    </w:pPr>
    <w:rPr>
      <w:sz w:val="18"/>
      <w:lang w:val="fr-FR" w:eastAsia="fr-FR" w:bidi="fr-FR"/>
    </w:rPr>
    <w:tblPr>
      <w:tblInd w:w="144" w:type="dxa"/>
      <w:tblBorders>
        <w:bottom w:val="single" w:sz="4" w:space="0" w:color="000000" w:themeColor="text1"/>
        <w:insideH w:val="single" w:sz="4" w:space="0" w:color="000000" w:themeColor="text1"/>
      </w:tblBorders>
      <w:tblCellMar>
        <w:top w:w="58" w:type="dxa"/>
        <w:left w:w="144" w:type="dxa"/>
        <w:bottom w:w="58" w:type="dxa"/>
        <w:right w:w="144" w:type="dxa"/>
      </w:tblCellMar>
    </w:tblPr>
    <w:tcPr>
      <w:shd w:val="clear" w:color="auto" w:fill="auto"/>
    </w:tcPr>
    <w:tblStylePr w:type="firstRow">
      <w:rPr>
        <w:rFonts w:asciiTheme="minorHAnsi" w:hAnsiTheme="minorHAnsi"/>
        <w:color w:val="FFFFFF"/>
        <w:sz w:val="22"/>
      </w:rPr>
      <w:tblPr/>
      <w:tcPr>
        <w:shd w:val="clear" w:color="auto" w:fill="44546A" w:themeFill="text2"/>
      </w:tcPr>
    </w:tblStylePr>
  </w:style>
  <w:style w:type="paragraph" w:customStyle="1" w:styleId="TableHeadings--11pt">
    <w:name w:val="Table Headings -- 11 pt"/>
    <w:basedOn w:val="Normal"/>
    <w:uiPriority w:val="10"/>
    <w:qFormat/>
    <w:rsid w:val="006E2458"/>
    <w:pPr>
      <w:keepNext/>
    </w:pPr>
    <w:rPr>
      <w:color w:val="FFFFFF"/>
      <w:sz w:val="22"/>
    </w:rPr>
  </w:style>
  <w:style w:type="paragraph" w:customStyle="1" w:styleId="Hdg1noborder">
    <w:name w:val="Hdg 1 no border"/>
    <w:basedOn w:val="Heading1"/>
    <w:uiPriority w:val="2"/>
    <w:qFormat/>
    <w:rsid w:val="006E2458"/>
    <w:pPr>
      <w:pBdr>
        <w:top w:val="none" w:sz="0" w:space="0" w:color="auto"/>
      </w:pBdr>
      <w:spacing w:before="360"/>
    </w:pPr>
    <w:rPr>
      <w:rFonts w:ascii="Segoe UI" w:hAnsi="Segoe UI"/>
      <w:b/>
      <w:szCs w:val="20"/>
    </w:rPr>
  </w:style>
  <w:style w:type="paragraph" w:customStyle="1" w:styleId="DocSubtitle">
    <w:name w:val="DocSubtitle"/>
    <w:next w:val="DocTitle"/>
    <w:rsid w:val="006E2458"/>
    <w:pPr>
      <w:pageBreakBefore/>
      <w:spacing w:before="1080" w:after="0" w:line="340" w:lineRule="atLeast"/>
      <w:ind w:left="2434"/>
    </w:pPr>
    <w:rPr>
      <w:rFonts w:ascii="Segoe UI" w:eastAsia="Times New Roman" w:hAnsi="Segoe UI" w:cs="Times New Roman"/>
      <w:color w:val="68217A"/>
      <w:sz w:val="30"/>
      <w:szCs w:val="20"/>
      <w:lang w:val="fr-FR" w:eastAsia="fr-FR" w:bidi="fr-FR"/>
    </w:rPr>
  </w:style>
  <w:style w:type="paragraph" w:styleId="BodyText">
    <w:name w:val="Body Text"/>
    <w:basedOn w:val="Normal"/>
    <w:link w:val="BodyTextChar"/>
    <w:uiPriority w:val="3"/>
    <w:qFormat/>
    <w:rsid w:val="006E2458"/>
    <w:pPr>
      <w:spacing w:after="120"/>
    </w:pPr>
    <w:rPr>
      <w:rFonts w:eastAsia="Times New Roman" w:cs="Times New Roman"/>
      <w:color w:val="505050"/>
      <w:szCs w:val="20"/>
    </w:rPr>
  </w:style>
  <w:style w:type="character" w:customStyle="1" w:styleId="BodyTextChar">
    <w:name w:val="Body Text Char"/>
    <w:basedOn w:val="DefaultParagraphFont"/>
    <w:link w:val="BodyText"/>
    <w:uiPriority w:val="3"/>
    <w:rsid w:val="006E2458"/>
    <w:rPr>
      <w:rFonts w:ascii="Segoe UI" w:eastAsia="Times New Roman" w:hAnsi="Segoe UI" w:cs="Times New Roman"/>
      <w:color w:val="505050"/>
      <w:sz w:val="18"/>
      <w:szCs w:val="20"/>
      <w:lang w:val="fr-FR" w:eastAsia="fr-FR" w:bidi="fr-FR"/>
    </w:rPr>
  </w:style>
  <w:style w:type="paragraph" w:customStyle="1" w:styleId="Imagetablespacerrows">
    <w:name w:val="Image table spacer rows"/>
    <w:uiPriority w:val="8"/>
    <w:qFormat/>
    <w:rsid w:val="006E2458"/>
    <w:pPr>
      <w:keepNext/>
      <w:spacing w:after="0" w:line="240" w:lineRule="auto"/>
    </w:pPr>
    <w:rPr>
      <w:rFonts w:ascii="Segoe UI" w:eastAsia="Times New Roman" w:hAnsi="Segoe UI" w:cs="Times New Roman"/>
      <w:noProof/>
      <w:color w:val="000000" w:themeColor="text1"/>
      <w:sz w:val="16"/>
      <w:szCs w:val="20"/>
      <w:lang w:val="fr-FR" w:eastAsia="fr-FR" w:bidi="fr-FR"/>
    </w:rPr>
  </w:style>
  <w:style w:type="paragraph" w:customStyle="1" w:styleId="Sidebarheading">
    <w:name w:val="Sidebar heading"/>
    <w:uiPriority w:val="7"/>
    <w:qFormat/>
    <w:rsid w:val="006E2458"/>
    <w:pPr>
      <w:spacing w:after="180" w:line="290" w:lineRule="exact"/>
    </w:pPr>
    <w:rPr>
      <w:rFonts w:ascii="Segoe UI" w:eastAsia="Times New Roman" w:hAnsi="Segoe UI" w:cs="Times New Roman"/>
      <w:color w:val="68217A"/>
      <w:sz w:val="24"/>
      <w:szCs w:val="20"/>
      <w:lang w:val="fr-FR" w:eastAsia="fr-FR" w:bidi="fr-FR"/>
    </w:rPr>
  </w:style>
  <w:style w:type="paragraph" w:customStyle="1" w:styleId="DocTitlewhite">
    <w:name w:val="DocTitle white"/>
    <w:uiPriority w:val="1"/>
    <w:rsid w:val="006E2458"/>
    <w:pPr>
      <w:spacing w:after="0" w:line="880" w:lineRule="atLeast"/>
      <w:ind w:left="-144"/>
    </w:pPr>
    <w:rPr>
      <w:rFonts w:ascii="Segoe UI Light" w:eastAsia="Times New Roman" w:hAnsi="Segoe UI Light" w:cs="Times New Roman"/>
      <w:color w:val="FFFFFF"/>
      <w:sz w:val="80"/>
      <w:szCs w:val="20"/>
      <w:lang w:val="fr-FR" w:eastAsia="fr-FR" w:bidi="fr-FR"/>
    </w:rPr>
  </w:style>
  <w:style w:type="paragraph" w:customStyle="1" w:styleId="DocSubtitlewhite">
    <w:name w:val="DocSubtitle white"/>
    <w:basedOn w:val="DocSubtitle"/>
    <w:next w:val="DocTitlewhite"/>
    <w:uiPriority w:val="1"/>
    <w:rsid w:val="006E2458"/>
    <w:pPr>
      <w:spacing w:before="3000"/>
      <w:ind w:left="-144"/>
    </w:pPr>
    <w:rPr>
      <w:color w:val="FFFFFF"/>
    </w:rPr>
  </w:style>
  <w:style w:type="paragraph" w:customStyle="1" w:styleId="SpacerafterToChdgV3">
    <w:name w:val="Spacer after ToC hdg V3"/>
    <w:uiPriority w:val="20"/>
    <w:rsid w:val="006E2458"/>
    <w:pPr>
      <w:spacing w:after="0" w:line="240" w:lineRule="auto"/>
    </w:pPr>
    <w:rPr>
      <w:rFonts w:ascii="Segoe UI" w:eastAsia="Times New Roman" w:hAnsi="Segoe UI" w:cs="Times New Roman"/>
      <w:sz w:val="8"/>
      <w:szCs w:val="20"/>
      <w:lang w:val="fr-FR" w:eastAsia="fr-FR" w:bidi="fr-FR"/>
    </w:rPr>
  </w:style>
  <w:style w:type="paragraph" w:customStyle="1" w:styleId="Hdg1wborderindented">
    <w:name w:val="Hdg 1 w/ border indented"/>
    <w:basedOn w:val="Heading1"/>
    <w:uiPriority w:val="4"/>
    <w:qFormat/>
    <w:rsid w:val="006E2458"/>
    <w:pPr>
      <w:ind w:left="3150"/>
    </w:pPr>
    <w:rPr>
      <w:szCs w:val="20"/>
    </w:rPr>
  </w:style>
  <w:style w:type="paragraph" w:customStyle="1" w:styleId="Hdg1noborderindented">
    <w:name w:val="Hdg 1 no border indented"/>
    <w:basedOn w:val="Hdg1noborder"/>
    <w:uiPriority w:val="4"/>
    <w:qFormat/>
    <w:rsid w:val="006E2458"/>
    <w:pPr>
      <w:ind w:left="3150"/>
    </w:pPr>
  </w:style>
  <w:style w:type="paragraph" w:customStyle="1" w:styleId="Heading2indented">
    <w:name w:val="Heading 2 indented"/>
    <w:basedOn w:val="Heading2"/>
    <w:uiPriority w:val="5"/>
    <w:qFormat/>
    <w:rsid w:val="006E2458"/>
    <w:pPr>
      <w:ind w:left="3150"/>
    </w:pPr>
    <w:rPr>
      <w:rFonts w:eastAsia="Times New Roman" w:cs="Times New Roman"/>
      <w:szCs w:val="20"/>
    </w:rPr>
  </w:style>
  <w:style w:type="paragraph" w:customStyle="1" w:styleId="Bullet">
    <w:name w:val="Bullet"/>
    <w:basedOn w:val="BodyText"/>
    <w:uiPriority w:val="3"/>
    <w:qFormat/>
    <w:rsid w:val="006E2458"/>
    <w:pPr>
      <w:numPr>
        <w:numId w:val="12"/>
      </w:numPr>
    </w:pPr>
  </w:style>
  <w:style w:type="paragraph" w:customStyle="1" w:styleId="Bulletindented">
    <w:name w:val="Bullet indented"/>
    <w:basedOn w:val="Bullet"/>
    <w:uiPriority w:val="7"/>
    <w:qFormat/>
    <w:rsid w:val="006E2458"/>
    <w:pPr>
      <w:ind w:left="3528"/>
    </w:pPr>
  </w:style>
  <w:style w:type="paragraph" w:customStyle="1" w:styleId="Bulletnexttosidebar">
    <w:name w:val="Bullet next to sidebar"/>
    <w:basedOn w:val="Bulletindented"/>
    <w:uiPriority w:val="7"/>
    <w:qFormat/>
    <w:rsid w:val="006E2458"/>
    <w:pPr>
      <w:ind w:left="3442" w:hanging="3442"/>
    </w:pPr>
  </w:style>
  <w:style w:type="paragraph" w:customStyle="1" w:styleId="TOCHeadingV2">
    <w:name w:val="TOC Heading V2"/>
    <w:basedOn w:val="TOCHeadingV1"/>
    <w:uiPriority w:val="19"/>
    <w:qFormat/>
    <w:rsid w:val="006E2458"/>
    <w:pPr>
      <w:pBdr>
        <w:bottom w:val="none" w:sz="0" w:space="0" w:color="auto"/>
      </w:pBdr>
      <w:spacing w:before="1440" w:after="120"/>
      <w:ind w:left="1440"/>
    </w:pPr>
  </w:style>
  <w:style w:type="paragraph" w:customStyle="1" w:styleId="TOCHeadingV3">
    <w:name w:val="TOC Heading V3"/>
    <w:basedOn w:val="TOCHeadingV1"/>
    <w:uiPriority w:val="19"/>
    <w:qFormat/>
    <w:rsid w:val="006E2458"/>
    <w:pPr>
      <w:pBdr>
        <w:bottom w:val="none" w:sz="0" w:space="0" w:color="auto"/>
      </w:pBdr>
      <w:spacing w:before="120" w:after="0"/>
    </w:pPr>
    <w:rPr>
      <w:sz w:val="40"/>
    </w:rPr>
  </w:style>
  <w:style w:type="paragraph" w:customStyle="1" w:styleId="Tablespacerrows">
    <w:name w:val="Table spacer rows"/>
    <w:uiPriority w:val="12"/>
    <w:qFormat/>
    <w:rsid w:val="006E2458"/>
    <w:pPr>
      <w:keepNext/>
      <w:spacing w:after="0" w:line="240" w:lineRule="auto"/>
    </w:pPr>
    <w:rPr>
      <w:rFonts w:ascii="Segoe UI" w:eastAsia="Times New Roman" w:hAnsi="Segoe UI" w:cs="Times New Roman"/>
      <w:noProof/>
      <w:color w:val="000000" w:themeColor="text1"/>
      <w:sz w:val="16"/>
      <w:szCs w:val="20"/>
      <w:lang w:val="fr-FR" w:eastAsia="fr-FR" w:bidi="fr-FR"/>
    </w:rPr>
  </w:style>
  <w:style w:type="paragraph" w:customStyle="1" w:styleId="Captiontotheleft">
    <w:name w:val="Caption to the left"/>
    <w:basedOn w:val="Caption"/>
    <w:uiPriority w:val="9"/>
    <w:rsid w:val="006E2458"/>
    <w:pPr>
      <w:spacing w:after="120"/>
    </w:pPr>
    <w:rPr>
      <w:rFonts w:eastAsia="Times New Roman" w:cs="Times New Roman"/>
      <w:iCs/>
      <w:szCs w:val="20"/>
    </w:rPr>
  </w:style>
  <w:style w:type="paragraph" w:customStyle="1" w:styleId="VLBodyBullet">
    <w:name w:val="VL Body Bullet"/>
    <w:basedOn w:val="Normal"/>
    <w:qFormat/>
    <w:rsid w:val="006E2458"/>
    <w:pPr>
      <w:numPr>
        <w:numId w:val="13"/>
      </w:numPr>
      <w:spacing w:after="60" w:line="240" w:lineRule="auto"/>
    </w:pPr>
    <w:rPr>
      <w:color w:val="595959" w:themeColor="text1" w:themeTint="A6"/>
      <w:sz w:val="19"/>
    </w:rPr>
  </w:style>
  <w:style w:type="table" w:styleId="MediumShading1-Accent1">
    <w:name w:val="Medium Shading 1 Accent 1"/>
    <w:basedOn w:val="TableNormal"/>
    <w:uiPriority w:val="63"/>
    <w:rsid w:val="006E2458"/>
    <w:pPr>
      <w:spacing w:after="0" w:line="240" w:lineRule="auto"/>
    </w:pPr>
    <w:rPr>
      <w:sz w:val="24"/>
      <w:szCs w:val="24"/>
      <w:lang w:val="fr-FR" w:eastAsia="fr-FR" w:bidi="fr-FR"/>
    </w:rPr>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paragraph" w:customStyle="1" w:styleId="VLTableHeader">
    <w:name w:val="VL Table Header"/>
    <w:basedOn w:val="Normal"/>
    <w:rsid w:val="006E2458"/>
    <w:pPr>
      <w:spacing w:before="60" w:after="60" w:line="240" w:lineRule="auto"/>
    </w:pPr>
    <w:rPr>
      <w:b/>
      <w:bCs/>
      <w:color w:val="FFFFFF" w:themeColor="background1"/>
    </w:rPr>
  </w:style>
  <w:style w:type="paragraph" w:customStyle="1" w:styleId="VLTableBullets">
    <w:name w:val="VL Table Bullets"/>
    <w:basedOn w:val="VLBodyBullet"/>
    <w:rsid w:val="006E2458"/>
    <w:pPr>
      <w:spacing w:line="200" w:lineRule="exact"/>
      <w:ind w:left="432"/>
    </w:pPr>
    <w:rPr>
      <w:spacing w:val="-2"/>
      <w:sz w:val="17"/>
    </w:rPr>
  </w:style>
  <w:style w:type="paragraph" w:customStyle="1" w:styleId="VLTabletext">
    <w:name w:val="VL Table text"/>
    <w:basedOn w:val="Normal"/>
    <w:rsid w:val="006E2458"/>
    <w:pPr>
      <w:spacing w:after="80" w:line="240" w:lineRule="auto"/>
    </w:pPr>
    <w:rPr>
      <w:color w:val="595959" w:themeColor="text1" w:themeTint="A6"/>
      <w:sz w:val="17"/>
      <w:szCs w:val="17"/>
    </w:rPr>
  </w:style>
  <w:style w:type="table" w:styleId="MediumShading1-Accent4">
    <w:name w:val="Medium Shading 1 Accent 4"/>
    <w:basedOn w:val="TableNormal"/>
    <w:uiPriority w:val="63"/>
    <w:rsid w:val="006E2458"/>
    <w:pPr>
      <w:spacing w:after="0" w:line="240" w:lineRule="auto"/>
    </w:pPr>
    <w:rPr>
      <w:rFonts w:ascii="Arial" w:hAnsi="Arial"/>
      <w:lang w:val="fr-FR" w:eastAsia="fr-FR" w:bidi="fr-FR"/>
    </w:r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LightList-Accent4">
    <w:name w:val="Light List Accent 4"/>
    <w:basedOn w:val="TableNormal"/>
    <w:uiPriority w:val="61"/>
    <w:rsid w:val="006E2458"/>
    <w:pPr>
      <w:spacing w:after="0" w:line="240" w:lineRule="auto"/>
    </w:pPr>
    <w:rPr>
      <w:rFonts w:ascii="Arial" w:hAnsi="Arial"/>
      <w:lang w:val="fr-FR" w:eastAsia="fr-FR" w:bidi="fr-FR"/>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paragraph" w:customStyle="1" w:styleId="Bodycopybullets">
    <w:name w:val="Body copy bullets"/>
    <w:rsid w:val="006E2458"/>
    <w:pPr>
      <w:numPr>
        <w:numId w:val="14"/>
      </w:numPr>
      <w:spacing w:after="60" w:line="240" w:lineRule="auto"/>
    </w:pPr>
    <w:rPr>
      <w:rFonts w:ascii="Segoe Light" w:eastAsia="Times New Roman" w:hAnsi="Segoe Light" w:cs="Times New Roman"/>
      <w:sz w:val="14"/>
      <w:szCs w:val="24"/>
      <w:lang w:val="fr-FR" w:eastAsia="fr-FR" w:bidi="fr-FR"/>
    </w:rPr>
  </w:style>
  <w:style w:type="character" w:styleId="FollowedHyperlink">
    <w:name w:val="FollowedHyperlink"/>
    <w:basedOn w:val="DefaultParagraphFont"/>
    <w:uiPriority w:val="99"/>
    <w:semiHidden/>
    <w:unhideWhenUsed/>
    <w:rsid w:val="006E2458"/>
    <w:rPr>
      <w:color w:val="954F72" w:themeColor="followedHyperlink"/>
      <w:u w:val="single"/>
    </w:rPr>
  </w:style>
  <w:style w:type="paragraph" w:customStyle="1" w:styleId="VLBodyCopy2">
    <w:name w:val="VL Body Copy 2"/>
    <w:basedOn w:val="Normal"/>
    <w:next w:val="Normal"/>
    <w:link w:val="VLBodyCopy2Char"/>
    <w:qFormat/>
    <w:rsid w:val="006E2458"/>
    <w:pPr>
      <w:spacing w:line="240" w:lineRule="auto"/>
    </w:pPr>
    <w:rPr>
      <w:color w:val="595959" w:themeColor="text1" w:themeTint="A6"/>
      <w:sz w:val="19"/>
    </w:rPr>
  </w:style>
  <w:style w:type="character" w:customStyle="1" w:styleId="VLBodyCopy2Char">
    <w:name w:val="VL Body Copy 2 Char"/>
    <w:basedOn w:val="DefaultParagraphFont"/>
    <w:link w:val="VLBodyCopy2"/>
    <w:rsid w:val="006E2458"/>
    <w:rPr>
      <w:rFonts w:ascii="Segoe UI" w:hAnsi="Segoe UI"/>
      <w:color w:val="595959" w:themeColor="text1" w:themeTint="A6"/>
      <w:sz w:val="19"/>
      <w:lang w:val="fr-FR" w:eastAsia="fr-FR" w:bidi="fr-FR"/>
    </w:rPr>
  </w:style>
  <w:style w:type="character" w:styleId="CommentReference">
    <w:name w:val="annotation reference"/>
    <w:basedOn w:val="DefaultParagraphFont"/>
    <w:unhideWhenUsed/>
    <w:rsid w:val="006E2458"/>
    <w:rPr>
      <w:sz w:val="16"/>
      <w:szCs w:val="16"/>
    </w:rPr>
  </w:style>
  <w:style w:type="paragraph" w:styleId="CommentText">
    <w:name w:val="annotation text"/>
    <w:basedOn w:val="Normal"/>
    <w:link w:val="CommentTextChar"/>
    <w:uiPriority w:val="99"/>
    <w:semiHidden/>
    <w:unhideWhenUsed/>
    <w:rsid w:val="006E2458"/>
    <w:pPr>
      <w:spacing w:line="240" w:lineRule="auto"/>
    </w:pPr>
    <w:rPr>
      <w:sz w:val="20"/>
      <w:szCs w:val="20"/>
    </w:rPr>
  </w:style>
  <w:style w:type="character" w:customStyle="1" w:styleId="CommentTextChar">
    <w:name w:val="Comment Text Char"/>
    <w:basedOn w:val="DefaultParagraphFont"/>
    <w:link w:val="CommentText"/>
    <w:uiPriority w:val="99"/>
    <w:semiHidden/>
    <w:rsid w:val="006E2458"/>
    <w:rPr>
      <w:rFonts w:ascii="Segoe UI" w:hAnsi="Segoe UI"/>
      <w:sz w:val="20"/>
      <w:szCs w:val="20"/>
      <w:lang w:val="fr-FR" w:eastAsia="fr-FR" w:bidi="fr-FR"/>
    </w:rPr>
  </w:style>
  <w:style w:type="paragraph" w:styleId="CommentSubject">
    <w:name w:val="annotation subject"/>
    <w:basedOn w:val="CommentText"/>
    <w:next w:val="CommentText"/>
    <w:link w:val="CommentSubjectChar"/>
    <w:uiPriority w:val="99"/>
    <w:semiHidden/>
    <w:unhideWhenUsed/>
    <w:rsid w:val="006E2458"/>
    <w:rPr>
      <w:b/>
      <w:bCs/>
    </w:rPr>
  </w:style>
  <w:style w:type="character" w:customStyle="1" w:styleId="CommentSubjectChar">
    <w:name w:val="Comment Subject Char"/>
    <w:basedOn w:val="CommentTextChar"/>
    <w:link w:val="CommentSubject"/>
    <w:uiPriority w:val="99"/>
    <w:semiHidden/>
    <w:rsid w:val="006E2458"/>
    <w:rPr>
      <w:rFonts w:ascii="Segoe UI" w:hAnsi="Segoe UI"/>
      <w:b/>
      <w:bCs/>
      <w:sz w:val="20"/>
      <w:szCs w:val="20"/>
      <w:lang w:val="fr-FR" w:eastAsia="fr-FR" w:bidi="fr-FR"/>
    </w:rPr>
  </w:style>
  <w:style w:type="paragraph" w:styleId="NormalWeb">
    <w:name w:val="Normal (Web)"/>
    <w:basedOn w:val="Normal"/>
    <w:uiPriority w:val="99"/>
    <w:unhideWhenUsed/>
    <w:rsid w:val="006E245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VLHead1">
    <w:name w:val="VL Head 1"/>
    <w:basedOn w:val="Normal"/>
    <w:link w:val="VLHead1Char"/>
    <w:qFormat/>
    <w:rsid w:val="006E2458"/>
    <w:pPr>
      <w:spacing w:before="480" w:after="240" w:line="270" w:lineRule="exact"/>
    </w:pPr>
    <w:rPr>
      <w:color w:val="5B9BD5" w:themeColor="accent1"/>
      <w:sz w:val="25"/>
      <w:szCs w:val="24"/>
    </w:rPr>
  </w:style>
  <w:style w:type="character" w:customStyle="1" w:styleId="VLHead1Char">
    <w:name w:val="VL Head 1 Char"/>
    <w:basedOn w:val="DefaultParagraphFont"/>
    <w:link w:val="VLHead1"/>
    <w:rsid w:val="006E2458"/>
    <w:rPr>
      <w:rFonts w:ascii="Segoe UI" w:hAnsi="Segoe UI"/>
      <w:color w:val="5B9BD5" w:themeColor="accent1"/>
      <w:sz w:val="25"/>
      <w:szCs w:val="24"/>
      <w:lang w:val="fr-FR" w:eastAsia="fr-FR" w:bidi="fr-FR"/>
    </w:rPr>
  </w:style>
  <w:style w:type="paragraph" w:styleId="FootnoteText">
    <w:name w:val="footnote text"/>
    <w:basedOn w:val="Normal"/>
    <w:link w:val="FootnoteTextChar"/>
    <w:uiPriority w:val="99"/>
    <w:semiHidden/>
    <w:unhideWhenUsed/>
    <w:rsid w:val="006E2458"/>
    <w:pPr>
      <w:spacing w:line="240" w:lineRule="auto"/>
    </w:pPr>
    <w:rPr>
      <w:sz w:val="20"/>
      <w:szCs w:val="20"/>
    </w:rPr>
  </w:style>
  <w:style w:type="character" w:customStyle="1" w:styleId="FootnoteTextChar">
    <w:name w:val="Footnote Text Char"/>
    <w:basedOn w:val="DefaultParagraphFont"/>
    <w:link w:val="FootnoteText"/>
    <w:uiPriority w:val="99"/>
    <w:semiHidden/>
    <w:rsid w:val="006E2458"/>
    <w:rPr>
      <w:rFonts w:ascii="Segoe UI" w:hAnsi="Segoe UI"/>
      <w:sz w:val="20"/>
      <w:szCs w:val="20"/>
      <w:lang w:val="fr-FR" w:eastAsia="fr-FR" w:bidi="fr-FR"/>
    </w:rPr>
  </w:style>
  <w:style w:type="character" w:styleId="FootnoteReference">
    <w:name w:val="footnote reference"/>
    <w:basedOn w:val="DefaultParagraphFont"/>
    <w:uiPriority w:val="99"/>
    <w:semiHidden/>
    <w:unhideWhenUsed/>
    <w:rsid w:val="006E2458"/>
    <w:rPr>
      <w:vertAlign w:val="superscript"/>
    </w:rPr>
  </w:style>
  <w:style w:type="paragraph" w:customStyle="1" w:styleId="AppendixTableHeadings">
    <w:name w:val="Appendix Table Headings"/>
    <w:basedOn w:val="AppendixTableText"/>
    <w:rsid w:val="006E2458"/>
    <w:rPr>
      <w:b/>
      <w:bCs/>
    </w:rPr>
  </w:style>
  <w:style w:type="paragraph" w:customStyle="1" w:styleId="AppendixTableText">
    <w:name w:val="Appendix Table Text"/>
    <w:basedOn w:val="Normal"/>
    <w:rsid w:val="006E2458"/>
    <w:pPr>
      <w:jc w:val="center"/>
    </w:pPr>
    <w:rPr>
      <w:rFonts w:ascii="Trebuchet MS" w:eastAsia="MS Mincho" w:hAnsi="Trebuchet MS" w:cs="Arial"/>
      <w:szCs w:val="18"/>
    </w:rPr>
  </w:style>
  <w:style w:type="paragraph" w:styleId="Revision">
    <w:name w:val="Revision"/>
    <w:hidden/>
    <w:uiPriority w:val="99"/>
    <w:semiHidden/>
    <w:rsid w:val="006E2458"/>
    <w:pPr>
      <w:spacing w:after="0" w:line="240" w:lineRule="auto"/>
    </w:pPr>
    <w:rPr>
      <w:rFonts w:ascii="Segoe UI" w:hAnsi="Segoe UI"/>
      <w:sz w:val="18"/>
      <w:lang w:val="fr-FR" w:eastAsia="fr-FR" w:bidi="fr-FR"/>
    </w:rPr>
  </w:style>
  <w:style w:type="table" w:customStyle="1" w:styleId="GridTable4-Accent41">
    <w:name w:val="Grid Table 4 - Accent 41"/>
    <w:basedOn w:val="TableNormal"/>
    <w:uiPriority w:val="49"/>
    <w:rsid w:val="006E2458"/>
    <w:pPr>
      <w:spacing w:after="0" w:line="240" w:lineRule="auto"/>
    </w:pPr>
    <w:rPr>
      <w:rFonts w:ascii="Arial" w:hAnsi="Arial"/>
      <w:lang w:val="fr-FR" w:eastAsia="fr-FR" w:bidi="fr-FR"/>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insideV w:val="nil"/>
        </w:tcBorders>
        <w:shd w:val="clear" w:color="auto" w:fill="FFC000" w:themeFill="accent4"/>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paragraph" w:customStyle="1" w:styleId="VLBodyHead">
    <w:name w:val="VL Body Head"/>
    <w:basedOn w:val="Normal"/>
    <w:link w:val="VLBodyHeadChar"/>
    <w:qFormat/>
    <w:rsid w:val="006E2458"/>
    <w:pPr>
      <w:spacing w:after="160" w:line="240" w:lineRule="auto"/>
    </w:pPr>
    <w:rPr>
      <w:rFonts w:ascii="Segoe UI Semibold" w:hAnsi="Segoe UI Semibold"/>
      <w:color w:val="404040" w:themeColor="text1" w:themeTint="BF"/>
      <w:sz w:val="19"/>
    </w:rPr>
  </w:style>
  <w:style w:type="character" w:customStyle="1" w:styleId="VLBodyHeadChar">
    <w:name w:val="VL Body Head Char"/>
    <w:basedOn w:val="DefaultParagraphFont"/>
    <w:link w:val="VLBodyHead"/>
    <w:rsid w:val="006E2458"/>
    <w:rPr>
      <w:rFonts w:ascii="Segoe UI Semibold" w:hAnsi="Segoe UI Semibold"/>
      <w:color w:val="404040" w:themeColor="text1" w:themeTint="BF"/>
      <w:sz w:val="19"/>
      <w:lang w:val="fr-FR" w:eastAsia="fr-FR" w:bidi="fr-FR"/>
    </w:rPr>
  </w:style>
  <w:style w:type="paragraph" w:customStyle="1" w:styleId="tableheading">
    <w:name w:val="table heading"/>
    <w:basedOn w:val="BodyText"/>
    <w:next w:val="Hdg1noborder"/>
    <w:link w:val="tableheadingChar"/>
    <w:uiPriority w:val="11"/>
    <w:qFormat/>
    <w:rsid w:val="006E2458"/>
    <w:pPr>
      <w:spacing w:before="120"/>
    </w:pPr>
    <w:rPr>
      <w:color w:val="68217A"/>
      <w:sz w:val="40"/>
    </w:rPr>
  </w:style>
  <w:style w:type="paragraph" w:customStyle="1" w:styleId="newheading2shurley">
    <w:name w:val="new heading 2 shurley"/>
    <w:basedOn w:val="Heading2"/>
    <w:link w:val="newheading2shurleyChar"/>
    <w:uiPriority w:val="11"/>
    <w:qFormat/>
    <w:rsid w:val="006E2458"/>
    <w:rPr>
      <w:b w:val="0"/>
      <w:sz w:val="28"/>
    </w:rPr>
  </w:style>
  <w:style w:type="character" w:customStyle="1" w:styleId="tableheadingChar">
    <w:name w:val="table heading Char"/>
    <w:basedOn w:val="BodyTextChar"/>
    <w:link w:val="tableheading"/>
    <w:uiPriority w:val="11"/>
    <w:rsid w:val="006E2458"/>
    <w:rPr>
      <w:rFonts w:ascii="Segoe UI" w:eastAsia="Times New Roman" w:hAnsi="Segoe UI" w:cs="Times New Roman"/>
      <w:color w:val="68217A"/>
      <w:sz w:val="40"/>
      <w:szCs w:val="20"/>
      <w:lang w:val="fr-FR" w:eastAsia="fr-FR" w:bidi="fr-FR"/>
    </w:rPr>
  </w:style>
  <w:style w:type="paragraph" w:customStyle="1" w:styleId="Thirdheading">
    <w:name w:val="Third heading"/>
    <w:basedOn w:val="BodyText"/>
    <w:link w:val="ThirdheadingChar"/>
    <w:uiPriority w:val="11"/>
    <w:qFormat/>
    <w:rsid w:val="006E2458"/>
    <w:pPr>
      <w:spacing w:before="120"/>
    </w:pPr>
    <w:rPr>
      <w:rFonts w:asciiTheme="majorHAnsi" w:hAnsiTheme="majorHAnsi" w:cstheme="majorHAnsi"/>
      <w:color w:val="68217A"/>
      <w:sz w:val="20"/>
      <w:szCs w:val="24"/>
    </w:rPr>
  </w:style>
  <w:style w:type="character" w:customStyle="1" w:styleId="newheading2shurleyChar">
    <w:name w:val="new heading 2 shurley Char"/>
    <w:basedOn w:val="Heading2Char"/>
    <w:link w:val="newheading2shurley"/>
    <w:uiPriority w:val="11"/>
    <w:rsid w:val="006E2458"/>
    <w:rPr>
      <w:rFonts w:asciiTheme="majorHAnsi" w:eastAsiaTheme="majorEastAsia" w:hAnsiTheme="majorHAnsi" w:cstheme="majorBidi"/>
      <w:b w:val="0"/>
      <w:bCs/>
      <w:color w:val="FFC000" w:themeColor="accent4"/>
      <w:sz w:val="28"/>
      <w:szCs w:val="18"/>
      <w:lang w:val="fr-FR" w:eastAsia="fr-FR" w:bidi="fr-FR"/>
    </w:rPr>
  </w:style>
  <w:style w:type="character" w:customStyle="1" w:styleId="ThirdheadingChar">
    <w:name w:val="Third heading Char"/>
    <w:basedOn w:val="BodyTextChar"/>
    <w:link w:val="Thirdheading"/>
    <w:uiPriority w:val="11"/>
    <w:rsid w:val="006E2458"/>
    <w:rPr>
      <w:rFonts w:asciiTheme="majorHAnsi" w:eastAsia="Times New Roman" w:hAnsiTheme="majorHAnsi" w:cstheme="majorHAnsi"/>
      <w:color w:val="68217A"/>
      <w:sz w:val="20"/>
      <w:szCs w:val="24"/>
      <w:lang w:val="fr-FR" w:eastAsia="fr-FR" w:bidi="fr-FR"/>
    </w:rPr>
  </w:style>
  <w:style w:type="paragraph" w:customStyle="1" w:styleId="ProductList-Body">
    <w:name w:val="Product List - Body"/>
    <w:basedOn w:val="Normal"/>
    <w:link w:val="ProductList-BodyChar"/>
    <w:qFormat/>
    <w:rsid w:val="006E2458"/>
    <w:pPr>
      <w:tabs>
        <w:tab w:val="left" w:pos="158"/>
      </w:tabs>
      <w:spacing w:line="240" w:lineRule="auto"/>
    </w:pPr>
    <w:rPr>
      <w:rFonts w:asciiTheme="minorHAnsi" w:hAnsiTheme="minorHAnsi"/>
    </w:rPr>
  </w:style>
  <w:style w:type="character" w:customStyle="1" w:styleId="ProductList-BodyChar">
    <w:name w:val="Product List - Body Char"/>
    <w:basedOn w:val="DefaultParagraphFont"/>
    <w:link w:val="ProductList-Body"/>
    <w:rsid w:val="006E2458"/>
    <w:rPr>
      <w:sz w:val="18"/>
      <w:lang w:val="fr-FR" w:eastAsia="fr-FR" w:bidi="fr-FR"/>
    </w:rPr>
  </w:style>
  <w:style w:type="paragraph" w:customStyle="1" w:styleId="ProductList-Offering1Heading">
    <w:name w:val="Product List - Offering 1 Heading"/>
    <w:basedOn w:val="ProductList-Body"/>
    <w:next w:val="ProductList-Body"/>
    <w:link w:val="ProductList-Offering1HeadingChar"/>
    <w:qFormat/>
    <w:rsid w:val="006E245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6E2458"/>
    <w:rPr>
      <w:rFonts w:asciiTheme="majorHAnsi" w:hAnsiTheme="majorHAnsi"/>
      <w:b/>
      <w:sz w:val="28"/>
      <w:lang w:val="fr-FR" w:eastAsia="fr-FR" w:bidi="fr-FR"/>
    </w:rPr>
  </w:style>
  <w:style w:type="paragraph" w:customStyle="1" w:styleId="ProductList-SubSubSectionHeading">
    <w:name w:val="Product List - SubSubSection Heading"/>
    <w:basedOn w:val="ProductList-Body"/>
    <w:link w:val="ProductList-SubSubSectionHeadingChar"/>
    <w:qFormat/>
    <w:rsid w:val="006E2458"/>
  </w:style>
  <w:style w:type="character" w:customStyle="1" w:styleId="ProductList-SubSubSectionHeadingChar">
    <w:name w:val="Product List - SubSubSection Heading Char"/>
    <w:basedOn w:val="ProductList-BodyChar"/>
    <w:link w:val="ProductList-SubSubSectionHeading"/>
    <w:rsid w:val="006E2458"/>
    <w:rPr>
      <w:sz w:val="18"/>
      <w:lang w:val="fr-FR" w:eastAsia="fr-FR" w:bidi="fr-FR"/>
    </w:rPr>
  </w:style>
  <w:style w:type="paragraph" w:styleId="TOC5">
    <w:name w:val="toc 5"/>
    <w:basedOn w:val="Normal"/>
    <w:next w:val="Normal"/>
    <w:autoRedefine/>
    <w:uiPriority w:val="39"/>
    <w:semiHidden/>
    <w:unhideWhenUsed/>
    <w:rsid w:val="006E2458"/>
    <w:pPr>
      <w:spacing w:after="100"/>
      <w:ind w:left="720"/>
    </w:pPr>
  </w:style>
  <w:style w:type="table" w:customStyle="1" w:styleId="PlainTable11">
    <w:name w:val="Plain Table 11"/>
    <w:basedOn w:val="TableNormal"/>
    <w:uiPriority w:val="41"/>
    <w:rsid w:val="006E2458"/>
    <w:pPr>
      <w:spacing w:after="0" w:line="240" w:lineRule="auto"/>
    </w:pPr>
    <w:rPr>
      <w:rFonts w:ascii="Arial" w:hAnsi="Arial"/>
      <w:lang w:val="fr-FR" w:eastAsia="fr-FR" w:bidi="fr-FR"/>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LogoportMarkup">
    <w:name w:val="LogoportMarkup"/>
    <w:basedOn w:val="DefaultParagraphFont"/>
    <w:rsid w:val="006E2458"/>
    <w:rPr>
      <w:rFonts w:ascii="Courier New" w:hAnsi="Courier New" w:cs="Courier New"/>
      <w:b w:val="0"/>
      <w:i w:val="0"/>
      <w:color w:val="FF0000"/>
      <w:sz w:val="18"/>
    </w:rPr>
  </w:style>
  <w:style w:type="character" w:customStyle="1" w:styleId="LogoportDoNotTranslate">
    <w:name w:val="LogoportDoNotTranslate"/>
    <w:basedOn w:val="DefaultParagraphFont"/>
    <w:rsid w:val="006E2458"/>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pinpoint.microsoft.com" TargetMode="External"/><Relationship Id="rId18" Type="http://schemas.openxmlformats.org/officeDocument/2006/relationships/hyperlink" Target="https://licensing.microsoft.com/customer" TargetMode="External"/><Relationship Id="rId26" Type="http://schemas.openxmlformats.org/officeDocument/2006/relationships/hyperlink" Target="http://www.microsoft.com/licensing/software-assurance/by-benefits.aspx" TargetMode="External"/><Relationship Id="rId3" Type="http://schemas.openxmlformats.org/officeDocument/2006/relationships/settings" Target="settings.xml"/><Relationship Id="rId21" Type="http://schemas.openxmlformats.org/officeDocument/2006/relationships/hyperlink" Target="http://directory.partners.extranet.microsoft.com/psbproviders." TargetMode="External"/><Relationship Id="rId34"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hyperlink" Target="http://www.microsoft.com/licensing/contracts" TargetMode="External"/><Relationship Id="rId17" Type="http://schemas.openxmlformats.org/officeDocument/2006/relationships/hyperlink" Target="http://www.microsoft.com/licensing/contracts" TargetMode="External"/><Relationship Id="rId25" Type="http://schemas.openxmlformats.org/officeDocument/2006/relationships/hyperlink" Target="http://www.microsoft.com/en-us/sharedsource/enterprise-source-licensing-program.aspx" TargetMode="External"/><Relationship Id="rId33" Type="http://schemas.openxmlformats.org/officeDocument/2006/relationships/footer" Target="footer3.xml"/><Relationship Id="rId2" Type="http://schemas.openxmlformats.org/officeDocument/2006/relationships/styles" Target="styles.xml"/><Relationship Id="rId16" Type="http://schemas.openxmlformats.org/officeDocument/2006/relationships/hyperlink" Target="https://licensing.microsoft.com/customer/" TargetMode="External"/><Relationship Id="rId20" Type="http://schemas.openxmlformats.org/officeDocument/2006/relationships/hyperlink" Target="http://directory.partners.extranet.microsoft.com/psbproviders." TargetMode="External"/><Relationship Id="rId29" Type="http://schemas.openxmlformats.org/officeDocument/2006/relationships/hyperlink" Target="http://www.microsoft.com/licensing/contracts"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microsoft.com/licensing/mpsa/" TargetMode="External"/><Relationship Id="rId24" Type="http://schemas.openxmlformats.org/officeDocument/2006/relationships/hyperlink" Target="http://www.microsoft.com/licensing" TargetMode="External"/><Relationship Id="rId32" Type="http://schemas.openxmlformats.org/officeDocument/2006/relationships/header" Target="header4.xml"/><Relationship Id="rId5" Type="http://schemas.openxmlformats.org/officeDocument/2006/relationships/footnotes" Target="footnotes.xml"/><Relationship Id="rId15" Type="http://schemas.openxmlformats.org/officeDocument/2006/relationships/hyperlink" Target="http://www.microsoft.com/licensing/contracts" TargetMode="External"/><Relationship Id="rId23" Type="http://schemas.openxmlformats.org/officeDocument/2006/relationships/hyperlink" Target="http://support.microsoft.com/gp/saphone" TargetMode="External"/><Relationship Id="rId28" Type="http://schemas.openxmlformats.org/officeDocument/2006/relationships/hyperlink" Target="http://www.microsoft.com/licensing/software-assurance/by-benefits.aspx" TargetMode="External"/><Relationship Id="rId10" Type="http://schemas.openxmlformats.org/officeDocument/2006/relationships/header" Target="header2.xml"/><Relationship Id="rId19" Type="http://schemas.openxmlformats.org/officeDocument/2006/relationships/hyperlink" Target="http://www.microsoft.com/licensing/software-assurance/planning-services-overview.aspx" TargetMode="External"/><Relationship Id="rId31"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yperlink" Target="http://www.microsoftvolumelicensing.com/contracts" TargetMode="External"/><Relationship Id="rId22" Type="http://schemas.openxmlformats.org/officeDocument/2006/relationships/hyperlink" Target="http://www.microsoft.com/learning/sa/training.mspx" TargetMode="External"/><Relationship Id="rId27" Type="http://schemas.openxmlformats.org/officeDocument/2006/relationships/hyperlink" Target="http://www.microsoft.com/licensing/software-assurance/license-mobility.aspx" TargetMode="External"/><Relationship Id="rId30" Type="http://schemas.openxmlformats.org/officeDocument/2006/relationships/header" Target="header3.xml"/><Relationship Id="rId3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19</Pages>
  <Words>10488</Words>
  <Characters>59787</Characters>
  <Application>Microsoft Office Word</Application>
  <DocSecurity>0</DocSecurity>
  <Lines>498</Lines>
  <Paragraphs>140</Paragraphs>
  <ScaleCrop>false</ScaleCrop>
  <Company/>
  <LinksUpToDate>false</LinksUpToDate>
  <CharactersWithSpaces>70135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Alexandra Myles (Inviso)</dc:creator>
  <cp:keywords/>
  <dc:description/>
  <cp:lastModifiedBy>Alexandra Myles (Inviso)</cp:lastModifiedBy>
  <cp:revision>2</cp:revision>
  <dcterms:created xsi:type="dcterms:W3CDTF">2015-09-15T16:53:00Z</dcterms:created>
  <dcterms:modified xsi:type="dcterms:W3CDTF">2015-09-15T16:53:00Z</dcterms:modified>
</cp:coreProperties>
</file>