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Contratti Multilicenza Microsoft </w:t>
      </w:r>
    </w:p>
    <w:p w14:paraId="5A22EF86" w14:textId="7D9B6B98" w:rsidR="00C415FE" w:rsidRPr="00AD0AEF" w:rsidRDefault="003B5822" w:rsidP="00AD0AEF">
      <w:pPr>
        <w:pStyle w:val="DocTitle"/>
        <w:ind w:right="-630"/>
        <w:rPr>
          <w:spacing w:val="-4"/>
        </w:rPr>
      </w:pPr>
      <w:r w:rsidRPr="00AD0AEF">
        <w:rPr>
          <w:spacing w:val="-4"/>
        </w:rPr>
        <w:t>Manuale delle Licenze per il Contratto per i Prodotti e</w:t>
      </w:r>
      <w:r w:rsidR="00AD0AEF" w:rsidRPr="00AD0AEF">
        <w:rPr>
          <w:spacing w:val="-4"/>
        </w:rPr>
        <w:t> </w:t>
      </w:r>
      <w:r w:rsidRPr="00AD0AEF">
        <w:rPr>
          <w:spacing w:val="-4"/>
        </w:rPr>
        <w:t>i Servizi Microsoft</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 xml:space="preserve">2016 agosto </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Sommario</w:t>
      </w:r>
    </w:p>
    <w:p w14:paraId="11F162E7" w14:textId="77777777" w:rsidR="00647AEC"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4594" w:history="1">
        <w:r w:rsidR="00647AEC" w:rsidRPr="009C3649">
          <w:rPr>
            <w:rStyle w:val="Hyperlink"/>
          </w:rPr>
          <w:t>Scopo del Documento e Risorse</w:t>
        </w:r>
        <w:r w:rsidR="00647AEC">
          <w:rPr>
            <w:webHidden/>
          </w:rPr>
          <w:tab/>
        </w:r>
        <w:r w:rsidR="00647AEC">
          <w:rPr>
            <w:webHidden/>
          </w:rPr>
          <w:fldChar w:fldCharType="begin"/>
        </w:r>
        <w:r w:rsidR="00647AEC">
          <w:rPr>
            <w:webHidden/>
          </w:rPr>
          <w:instrText xml:space="preserve"> PAGEREF _Toc457854594 \h </w:instrText>
        </w:r>
        <w:r w:rsidR="00647AEC">
          <w:rPr>
            <w:webHidden/>
          </w:rPr>
        </w:r>
        <w:r w:rsidR="00647AEC">
          <w:rPr>
            <w:webHidden/>
          </w:rPr>
          <w:fldChar w:fldCharType="separate"/>
        </w:r>
        <w:r w:rsidR="00113637">
          <w:rPr>
            <w:webHidden/>
          </w:rPr>
          <w:t>1</w:t>
        </w:r>
        <w:r w:rsidR="00647AEC">
          <w:rPr>
            <w:webHidden/>
          </w:rPr>
          <w:fldChar w:fldCharType="end"/>
        </w:r>
      </w:hyperlink>
    </w:p>
    <w:p w14:paraId="746BF0C9" w14:textId="77777777" w:rsidR="00647AEC" w:rsidRDefault="00157ED6">
      <w:pPr>
        <w:pStyle w:val="TOC1"/>
        <w:rPr>
          <w:rFonts w:asciiTheme="minorHAnsi" w:eastAsiaTheme="minorEastAsia" w:hAnsiTheme="minorHAnsi"/>
          <w:color w:val="auto"/>
          <w:sz w:val="22"/>
          <w:lang w:val="en-US" w:eastAsia="en-US" w:bidi="ar-SA"/>
        </w:rPr>
      </w:pPr>
      <w:hyperlink w:anchor="_Toc457854595" w:history="1">
        <w:r w:rsidR="00647AEC" w:rsidRPr="009C3649">
          <w:rPr>
            <w:rStyle w:val="Hyperlink"/>
          </w:rPr>
          <w:t>Articolo 1</w:t>
        </w:r>
        <w:r w:rsidR="00647AEC">
          <w:rPr>
            <w:webHidden/>
          </w:rPr>
          <w:tab/>
        </w:r>
        <w:r w:rsidR="00647AEC">
          <w:rPr>
            <w:webHidden/>
          </w:rPr>
          <w:fldChar w:fldCharType="begin"/>
        </w:r>
        <w:r w:rsidR="00647AEC">
          <w:rPr>
            <w:webHidden/>
          </w:rPr>
          <w:instrText xml:space="preserve"> PAGEREF _Toc457854595 \h </w:instrText>
        </w:r>
        <w:r w:rsidR="00647AEC">
          <w:rPr>
            <w:webHidden/>
          </w:rPr>
        </w:r>
        <w:r w:rsidR="00647AEC">
          <w:rPr>
            <w:webHidden/>
          </w:rPr>
          <w:fldChar w:fldCharType="separate"/>
        </w:r>
        <w:r w:rsidR="00113637">
          <w:rPr>
            <w:webHidden/>
          </w:rPr>
          <w:t>2</w:t>
        </w:r>
        <w:r w:rsidR="00647AEC">
          <w:rPr>
            <w:webHidden/>
          </w:rPr>
          <w:fldChar w:fldCharType="end"/>
        </w:r>
      </w:hyperlink>
    </w:p>
    <w:p w14:paraId="6C014A0D" w14:textId="77777777" w:rsidR="00647AEC" w:rsidRDefault="00157ED6">
      <w:pPr>
        <w:pStyle w:val="TOC1"/>
        <w:rPr>
          <w:rFonts w:asciiTheme="minorHAnsi" w:eastAsiaTheme="minorEastAsia" w:hAnsiTheme="minorHAnsi"/>
          <w:color w:val="auto"/>
          <w:sz w:val="22"/>
          <w:lang w:val="en-US" w:eastAsia="en-US" w:bidi="ar-SA"/>
        </w:rPr>
      </w:pPr>
      <w:hyperlink w:anchor="_Toc457854596" w:history="1">
        <w:r w:rsidR="00647AEC" w:rsidRPr="009C3649">
          <w:rPr>
            <w:rStyle w:val="Hyperlink"/>
            <w:rFonts w:asciiTheme="majorHAnsi" w:eastAsiaTheme="majorEastAsia" w:hAnsiTheme="majorHAnsi" w:cstheme="majorBidi"/>
            <w:bCs/>
          </w:rPr>
          <w:t>Contratto per i Prodotti e i Servizi Microsoft</w:t>
        </w:r>
        <w:r w:rsidR="00647AEC">
          <w:rPr>
            <w:webHidden/>
          </w:rPr>
          <w:tab/>
        </w:r>
        <w:r w:rsidR="00647AEC">
          <w:rPr>
            <w:webHidden/>
          </w:rPr>
          <w:fldChar w:fldCharType="begin"/>
        </w:r>
        <w:r w:rsidR="00647AEC">
          <w:rPr>
            <w:webHidden/>
          </w:rPr>
          <w:instrText xml:space="preserve"> PAGEREF _Toc457854596 \h </w:instrText>
        </w:r>
        <w:r w:rsidR="00647AEC">
          <w:rPr>
            <w:webHidden/>
          </w:rPr>
        </w:r>
        <w:r w:rsidR="00647AEC">
          <w:rPr>
            <w:webHidden/>
          </w:rPr>
          <w:fldChar w:fldCharType="separate"/>
        </w:r>
        <w:r w:rsidR="00113637">
          <w:rPr>
            <w:webHidden/>
          </w:rPr>
          <w:t>2</w:t>
        </w:r>
        <w:r w:rsidR="00647AEC">
          <w:rPr>
            <w:webHidden/>
          </w:rPr>
          <w:fldChar w:fldCharType="end"/>
        </w:r>
      </w:hyperlink>
    </w:p>
    <w:p w14:paraId="0882B84E" w14:textId="77777777" w:rsidR="00647AEC" w:rsidRDefault="00157ED6">
      <w:pPr>
        <w:pStyle w:val="TOC1"/>
        <w:rPr>
          <w:rFonts w:asciiTheme="minorHAnsi" w:eastAsiaTheme="minorEastAsia" w:hAnsiTheme="minorHAnsi"/>
          <w:color w:val="auto"/>
          <w:sz w:val="22"/>
          <w:lang w:val="en-US" w:eastAsia="en-US" w:bidi="ar-SA"/>
        </w:rPr>
      </w:pPr>
      <w:hyperlink w:anchor="_Toc457854597" w:history="1">
        <w:r w:rsidR="00647AEC" w:rsidRPr="009C3649">
          <w:rPr>
            <w:rStyle w:val="Hyperlink"/>
            <w:rFonts w:asciiTheme="majorHAnsi" w:eastAsiaTheme="majorEastAsia" w:hAnsiTheme="majorHAnsi" w:cstheme="majorBidi"/>
            <w:bCs/>
          </w:rPr>
          <w:t>Acquisti Transazionali</w:t>
        </w:r>
        <w:r w:rsidR="00647AEC">
          <w:rPr>
            <w:webHidden/>
          </w:rPr>
          <w:tab/>
        </w:r>
        <w:r w:rsidR="00647AEC">
          <w:rPr>
            <w:webHidden/>
          </w:rPr>
          <w:fldChar w:fldCharType="begin"/>
        </w:r>
        <w:r w:rsidR="00647AEC">
          <w:rPr>
            <w:webHidden/>
          </w:rPr>
          <w:instrText xml:space="preserve"> PAGEREF _Toc457854597 \h </w:instrText>
        </w:r>
        <w:r w:rsidR="00647AEC">
          <w:rPr>
            <w:webHidden/>
          </w:rPr>
        </w:r>
        <w:r w:rsidR="00647AEC">
          <w:rPr>
            <w:webHidden/>
          </w:rPr>
          <w:fldChar w:fldCharType="separate"/>
        </w:r>
        <w:r w:rsidR="00113637">
          <w:rPr>
            <w:webHidden/>
          </w:rPr>
          <w:t>3</w:t>
        </w:r>
        <w:r w:rsidR="00647AEC">
          <w:rPr>
            <w:webHidden/>
          </w:rPr>
          <w:fldChar w:fldCharType="end"/>
        </w:r>
      </w:hyperlink>
    </w:p>
    <w:p w14:paraId="19E54B40" w14:textId="77777777" w:rsidR="00647AEC" w:rsidRDefault="00157ED6">
      <w:pPr>
        <w:pStyle w:val="TOC1"/>
        <w:rPr>
          <w:rFonts w:asciiTheme="minorHAnsi" w:eastAsiaTheme="minorEastAsia" w:hAnsiTheme="minorHAnsi"/>
          <w:color w:val="auto"/>
          <w:sz w:val="22"/>
          <w:lang w:val="en-US" w:eastAsia="en-US" w:bidi="ar-SA"/>
        </w:rPr>
      </w:pPr>
      <w:hyperlink w:anchor="_Toc457854598" w:history="1">
        <w:r w:rsidR="00647AEC" w:rsidRPr="009C3649">
          <w:rPr>
            <w:rStyle w:val="Hyperlink"/>
          </w:rPr>
          <w:t>Articolo 2</w:t>
        </w:r>
        <w:r w:rsidR="00647AEC">
          <w:rPr>
            <w:webHidden/>
          </w:rPr>
          <w:tab/>
        </w:r>
        <w:r w:rsidR="00647AEC">
          <w:rPr>
            <w:webHidden/>
          </w:rPr>
          <w:fldChar w:fldCharType="begin"/>
        </w:r>
        <w:r w:rsidR="00647AEC">
          <w:rPr>
            <w:webHidden/>
          </w:rPr>
          <w:instrText xml:space="preserve"> PAGEREF _Toc457854598 \h </w:instrText>
        </w:r>
        <w:r w:rsidR="00647AEC">
          <w:rPr>
            <w:webHidden/>
          </w:rPr>
        </w:r>
        <w:r w:rsidR="00647AEC">
          <w:rPr>
            <w:webHidden/>
          </w:rPr>
          <w:fldChar w:fldCharType="separate"/>
        </w:r>
        <w:r w:rsidR="00113637">
          <w:rPr>
            <w:webHidden/>
          </w:rPr>
          <w:t>6</w:t>
        </w:r>
        <w:r w:rsidR="00647AEC">
          <w:rPr>
            <w:webHidden/>
          </w:rPr>
          <w:fldChar w:fldCharType="end"/>
        </w:r>
      </w:hyperlink>
    </w:p>
    <w:p w14:paraId="0C849199" w14:textId="77777777" w:rsidR="00647AEC" w:rsidRDefault="00157ED6">
      <w:pPr>
        <w:pStyle w:val="TOC1"/>
        <w:rPr>
          <w:rFonts w:asciiTheme="minorHAnsi" w:eastAsiaTheme="minorEastAsia" w:hAnsiTheme="minorHAnsi"/>
          <w:color w:val="auto"/>
          <w:sz w:val="22"/>
          <w:lang w:val="en-US" w:eastAsia="en-US" w:bidi="ar-SA"/>
        </w:rPr>
      </w:pPr>
      <w:hyperlink w:anchor="_Toc457854599" w:history="1">
        <w:r w:rsidR="00647AEC" w:rsidRPr="009C3649">
          <w:rPr>
            <w:rStyle w:val="Hyperlink"/>
            <w:rFonts w:asciiTheme="majorHAnsi" w:eastAsiaTheme="majorEastAsia" w:hAnsiTheme="majorHAnsi" w:cstheme="majorBidi"/>
            <w:bCs/>
          </w:rPr>
          <w:t>Creazione di copie di Prodotti e diritti di re-imaging</w:t>
        </w:r>
        <w:r w:rsidR="00647AEC">
          <w:rPr>
            <w:webHidden/>
          </w:rPr>
          <w:tab/>
        </w:r>
        <w:r w:rsidR="00647AEC">
          <w:rPr>
            <w:webHidden/>
          </w:rPr>
          <w:fldChar w:fldCharType="begin"/>
        </w:r>
        <w:r w:rsidR="00647AEC">
          <w:rPr>
            <w:webHidden/>
          </w:rPr>
          <w:instrText xml:space="preserve"> PAGEREF _Toc457854599 \h </w:instrText>
        </w:r>
        <w:r w:rsidR="00647AEC">
          <w:rPr>
            <w:webHidden/>
          </w:rPr>
        </w:r>
        <w:r w:rsidR="00647AEC">
          <w:rPr>
            <w:webHidden/>
          </w:rPr>
          <w:fldChar w:fldCharType="separate"/>
        </w:r>
        <w:r w:rsidR="00113637">
          <w:rPr>
            <w:webHidden/>
          </w:rPr>
          <w:t>6</w:t>
        </w:r>
        <w:r w:rsidR="00647AEC">
          <w:rPr>
            <w:webHidden/>
          </w:rPr>
          <w:fldChar w:fldCharType="end"/>
        </w:r>
      </w:hyperlink>
    </w:p>
    <w:p w14:paraId="54D248A9" w14:textId="77777777" w:rsidR="00647AEC" w:rsidRDefault="00157ED6">
      <w:pPr>
        <w:pStyle w:val="TOC1"/>
        <w:rPr>
          <w:rFonts w:asciiTheme="minorHAnsi" w:eastAsiaTheme="minorEastAsia" w:hAnsiTheme="minorHAnsi"/>
          <w:color w:val="auto"/>
          <w:sz w:val="22"/>
          <w:lang w:val="en-US" w:eastAsia="en-US" w:bidi="ar-SA"/>
        </w:rPr>
      </w:pPr>
      <w:hyperlink w:anchor="_Toc457854600" w:history="1">
        <w:r w:rsidR="00647AEC" w:rsidRPr="009C3649">
          <w:rPr>
            <w:rStyle w:val="Hyperlink"/>
            <w:rFonts w:asciiTheme="majorHAnsi" w:eastAsiaTheme="majorEastAsia" w:hAnsiTheme="majorHAnsi" w:cstheme="majorBidi"/>
            <w:bCs/>
          </w:rPr>
          <w:t>Procedura per il Trasferimento di Licenze</w:t>
        </w:r>
        <w:r w:rsidR="00647AEC">
          <w:rPr>
            <w:webHidden/>
          </w:rPr>
          <w:tab/>
        </w:r>
        <w:r w:rsidR="00647AEC">
          <w:rPr>
            <w:webHidden/>
          </w:rPr>
          <w:fldChar w:fldCharType="begin"/>
        </w:r>
        <w:r w:rsidR="00647AEC">
          <w:rPr>
            <w:webHidden/>
          </w:rPr>
          <w:instrText xml:space="preserve"> PAGEREF _Toc457854600 \h </w:instrText>
        </w:r>
        <w:r w:rsidR="00647AEC">
          <w:rPr>
            <w:webHidden/>
          </w:rPr>
        </w:r>
        <w:r w:rsidR="00647AEC">
          <w:rPr>
            <w:webHidden/>
          </w:rPr>
          <w:fldChar w:fldCharType="separate"/>
        </w:r>
        <w:r w:rsidR="00113637">
          <w:rPr>
            <w:webHidden/>
          </w:rPr>
          <w:t>6</w:t>
        </w:r>
        <w:r w:rsidR="00647AEC">
          <w:rPr>
            <w:webHidden/>
          </w:rPr>
          <w:fldChar w:fldCharType="end"/>
        </w:r>
      </w:hyperlink>
    </w:p>
    <w:p w14:paraId="223A706F" w14:textId="77777777" w:rsidR="00647AEC" w:rsidRDefault="00157ED6">
      <w:pPr>
        <w:pStyle w:val="TOC1"/>
        <w:rPr>
          <w:rFonts w:asciiTheme="minorHAnsi" w:eastAsiaTheme="minorEastAsia" w:hAnsiTheme="minorHAnsi"/>
          <w:color w:val="auto"/>
          <w:sz w:val="22"/>
          <w:lang w:val="en-US" w:eastAsia="en-US" w:bidi="ar-SA"/>
        </w:rPr>
      </w:pPr>
      <w:hyperlink w:anchor="_Toc457854601" w:history="1">
        <w:r w:rsidR="00647AEC" w:rsidRPr="009C3649">
          <w:rPr>
            <w:rStyle w:val="Hyperlink"/>
            <w:rFonts w:asciiTheme="majorHAnsi" w:eastAsiaTheme="majorEastAsia" w:hAnsiTheme="majorHAnsi" w:cstheme="majorBidi"/>
            <w:bCs/>
          </w:rPr>
          <w:t xml:space="preserve">Procedura per la Verifica relativa all’Utilizzo dei Prodotti e </w:t>
        </w:r>
        <w:r w:rsidR="00647AEC" w:rsidRPr="009C3649">
          <w:rPr>
            <w:rStyle w:val="Hyperlink"/>
            <w:rFonts w:asciiTheme="majorHAnsi" w:eastAsiaTheme="majorEastAsia" w:hAnsiTheme="majorHAnsi"/>
          </w:rPr>
          <w:t>Limitazioni</w:t>
        </w:r>
        <w:r w:rsidR="00647AEC">
          <w:rPr>
            <w:webHidden/>
          </w:rPr>
          <w:tab/>
        </w:r>
        <w:r w:rsidR="00647AEC">
          <w:rPr>
            <w:webHidden/>
          </w:rPr>
          <w:fldChar w:fldCharType="begin"/>
        </w:r>
        <w:r w:rsidR="00647AEC">
          <w:rPr>
            <w:webHidden/>
          </w:rPr>
          <w:instrText xml:space="preserve"> PAGEREF _Toc457854601 \h </w:instrText>
        </w:r>
        <w:r w:rsidR="00647AEC">
          <w:rPr>
            <w:webHidden/>
          </w:rPr>
        </w:r>
        <w:r w:rsidR="00647AEC">
          <w:rPr>
            <w:webHidden/>
          </w:rPr>
          <w:fldChar w:fldCharType="separate"/>
        </w:r>
        <w:r w:rsidR="00113637">
          <w:rPr>
            <w:webHidden/>
          </w:rPr>
          <w:t>6</w:t>
        </w:r>
        <w:r w:rsidR="00647AEC">
          <w:rPr>
            <w:webHidden/>
          </w:rPr>
          <w:fldChar w:fldCharType="end"/>
        </w:r>
      </w:hyperlink>
    </w:p>
    <w:p w14:paraId="36F82186" w14:textId="77777777" w:rsidR="00647AEC" w:rsidRDefault="00157ED6">
      <w:pPr>
        <w:pStyle w:val="TOC1"/>
        <w:rPr>
          <w:rFonts w:asciiTheme="minorHAnsi" w:eastAsiaTheme="minorEastAsia" w:hAnsiTheme="minorHAnsi"/>
          <w:color w:val="auto"/>
          <w:sz w:val="22"/>
          <w:lang w:val="en-US" w:eastAsia="en-US" w:bidi="ar-SA"/>
        </w:rPr>
      </w:pPr>
      <w:hyperlink w:anchor="_Toc457854602" w:history="1">
        <w:r w:rsidR="00647AEC" w:rsidRPr="009C3649">
          <w:rPr>
            <w:rStyle w:val="Hyperlink"/>
            <w:rFonts w:asciiTheme="majorHAnsi" w:eastAsiaTheme="majorEastAsia" w:hAnsiTheme="majorHAnsi" w:cstheme="majorBidi"/>
            <w:bCs/>
          </w:rPr>
          <w:t>Dismissione</w:t>
        </w:r>
        <w:r w:rsidR="00647AEC">
          <w:rPr>
            <w:webHidden/>
          </w:rPr>
          <w:tab/>
        </w:r>
        <w:r w:rsidR="00647AEC">
          <w:rPr>
            <w:webHidden/>
          </w:rPr>
          <w:fldChar w:fldCharType="begin"/>
        </w:r>
        <w:r w:rsidR="00647AEC">
          <w:rPr>
            <w:webHidden/>
          </w:rPr>
          <w:instrText xml:space="preserve"> PAGEREF _Toc457854602 \h </w:instrText>
        </w:r>
        <w:r w:rsidR="00647AEC">
          <w:rPr>
            <w:webHidden/>
          </w:rPr>
        </w:r>
        <w:r w:rsidR="00647AEC">
          <w:rPr>
            <w:webHidden/>
          </w:rPr>
          <w:fldChar w:fldCharType="separate"/>
        </w:r>
        <w:r w:rsidR="00113637">
          <w:rPr>
            <w:webHidden/>
          </w:rPr>
          <w:t>7</w:t>
        </w:r>
        <w:r w:rsidR="00647AEC">
          <w:rPr>
            <w:webHidden/>
          </w:rPr>
          <w:fldChar w:fldCharType="end"/>
        </w:r>
      </w:hyperlink>
    </w:p>
    <w:p w14:paraId="682AEB4B" w14:textId="77777777" w:rsidR="00647AEC" w:rsidRDefault="00157ED6">
      <w:pPr>
        <w:pStyle w:val="TOC1"/>
        <w:rPr>
          <w:rFonts w:asciiTheme="minorHAnsi" w:eastAsiaTheme="minorEastAsia" w:hAnsiTheme="minorHAnsi"/>
          <w:color w:val="auto"/>
          <w:sz w:val="22"/>
          <w:lang w:val="en-US" w:eastAsia="en-US" w:bidi="ar-SA"/>
        </w:rPr>
      </w:pPr>
      <w:hyperlink w:anchor="_Toc457854603" w:history="1">
        <w:r w:rsidR="00647AEC" w:rsidRPr="009C3649">
          <w:rPr>
            <w:rStyle w:val="Hyperlink"/>
            <w:rFonts w:asciiTheme="majorHAnsi" w:eastAsiaTheme="majorEastAsia" w:hAnsiTheme="majorHAnsi" w:cstheme="majorBidi"/>
            <w:bCs/>
          </w:rPr>
          <w:t>Calamità Naturali</w:t>
        </w:r>
        <w:r w:rsidR="00647AEC">
          <w:rPr>
            <w:webHidden/>
          </w:rPr>
          <w:tab/>
        </w:r>
        <w:r w:rsidR="00647AEC">
          <w:rPr>
            <w:webHidden/>
          </w:rPr>
          <w:fldChar w:fldCharType="begin"/>
        </w:r>
        <w:r w:rsidR="00647AEC">
          <w:rPr>
            <w:webHidden/>
          </w:rPr>
          <w:instrText xml:space="preserve"> PAGEREF _Toc457854603 \h </w:instrText>
        </w:r>
        <w:r w:rsidR="00647AEC">
          <w:rPr>
            <w:webHidden/>
          </w:rPr>
        </w:r>
        <w:r w:rsidR="00647AEC">
          <w:rPr>
            <w:webHidden/>
          </w:rPr>
          <w:fldChar w:fldCharType="separate"/>
        </w:r>
        <w:r w:rsidR="00113637">
          <w:rPr>
            <w:webHidden/>
          </w:rPr>
          <w:t>7</w:t>
        </w:r>
        <w:r w:rsidR="00647AEC">
          <w:rPr>
            <w:webHidden/>
          </w:rPr>
          <w:fldChar w:fldCharType="end"/>
        </w:r>
      </w:hyperlink>
    </w:p>
    <w:p w14:paraId="51917F60" w14:textId="77777777" w:rsidR="00647AEC" w:rsidRDefault="00157ED6">
      <w:pPr>
        <w:pStyle w:val="TOC1"/>
        <w:rPr>
          <w:rFonts w:asciiTheme="minorHAnsi" w:eastAsiaTheme="minorEastAsia" w:hAnsiTheme="minorHAnsi"/>
          <w:color w:val="auto"/>
          <w:sz w:val="22"/>
          <w:lang w:val="en-US" w:eastAsia="en-US" w:bidi="ar-SA"/>
        </w:rPr>
      </w:pPr>
      <w:hyperlink w:anchor="_Toc457854604" w:history="1">
        <w:r w:rsidR="00647AEC" w:rsidRPr="009C3649">
          <w:rPr>
            <w:rStyle w:val="Hyperlink"/>
          </w:rPr>
          <w:t>Articolo 3</w:t>
        </w:r>
        <w:r w:rsidR="00647AEC">
          <w:rPr>
            <w:webHidden/>
          </w:rPr>
          <w:tab/>
        </w:r>
        <w:r w:rsidR="00647AEC">
          <w:rPr>
            <w:webHidden/>
          </w:rPr>
          <w:fldChar w:fldCharType="begin"/>
        </w:r>
        <w:r w:rsidR="00647AEC">
          <w:rPr>
            <w:webHidden/>
          </w:rPr>
          <w:instrText xml:space="preserve"> PAGEREF _Toc457854604 \h </w:instrText>
        </w:r>
        <w:r w:rsidR="00647AEC">
          <w:rPr>
            <w:webHidden/>
          </w:rPr>
        </w:r>
        <w:r w:rsidR="00647AEC">
          <w:rPr>
            <w:webHidden/>
          </w:rPr>
          <w:fldChar w:fldCharType="separate"/>
        </w:r>
        <w:r w:rsidR="00113637">
          <w:rPr>
            <w:webHidden/>
          </w:rPr>
          <w:t>7</w:t>
        </w:r>
        <w:r w:rsidR="00647AEC">
          <w:rPr>
            <w:webHidden/>
          </w:rPr>
          <w:fldChar w:fldCharType="end"/>
        </w:r>
      </w:hyperlink>
    </w:p>
    <w:p w14:paraId="55D06BA0" w14:textId="77777777" w:rsidR="00647AEC" w:rsidRDefault="00157ED6">
      <w:pPr>
        <w:pStyle w:val="TOC1"/>
        <w:rPr>
          <w:rFonts w:asciiTheme="minorHAnsi" w:eastAsiaTheme="minorEastAsia" w:hAnsiTheme="minorHAnsi"/>
          <w:color w:val="auto"/>
          <w:sz w:val="22"/>
          <w:lang w:val="en-US" w:eastAsia="en-US" w:bidi="ar-SA"/>
        </w:rPr>
      </w:pPr>
      <w:hyperlink w:anchor="_Toc457854605" w:history="1">
        <w:r w:rsidR="00647AEC" w:rsidRPr="009C3649">
          <w:rPr>
            <w:rStyle w:val="Hyperlink"/>
            <w:rFonts w:asciiTheme="majorHAnsi" w:eastAsiaTheme="majorEastAsia" w:hAnsiTheme="majorHAnsi" w:cstheme="majorBidi"/>
          </w:rPr>
          <w:t>Modifiche apportate al Manuale delle Licenze negli ultimi 12 mesi</w:t>
        </w:r>
        <w:r w:rsidR="00647AEC">
          <w:rPr>
            <w:webHidden/>
          </w:rPr>
          <w:tab/>
        </w:r>
        <w:r w:rsidR="00647AEC">
          <w:rPr>
            <w:webHidden/>
          </w:rPr>
          <w:fldChar w:fldCharType="begin"/>
        </w:r>
        <w:r w:rsidR="00647AEC">
          <w:rPr>
            <w:webHidden/>
          </w:rPr>
          <w:instrText xml:space="preserve"> PAGEREF _Toc457854605 \h </w:instrText>
        </w:r>
        <w:r w:rsidR="00647AEC">
          <w:rPr>
            <w:webHidden/>
          </w:rPr>
        </w:r>
        <w:r w:rsidR="00647AEC">
          <w:rPr>
            <w:webHidden/>
          </w:rPr>
          <w:fldChar w:fldCharType="separate"/>
        </w:r>
        <w:r w:rsidR="00113637">
          <w:rPr>
            <w:webHidden/>
          </w:rPr>
          <w:t>7</w:t>
        </w:r>
        <w:r w:rsidR="00647AEC">
          <w:rPr>
            <w:webHidden/>
          </w:rPr>
          <w:fldChar w:fldCharType="end"/>
        </w:r>
      </w:hyperlink>
    </w:p>
    <w:p w14:paraId="37BDCC97" w14:textId="77777777" w:rsidR="00647AEC" w:rsidRDefault="00157ED6">
      <w:pPr>
        <w:pStyle w:val="TOC1"/>
        <w:rPr>
          <w:rFonts w:asciiTheme="minorHAnsi" w:eastAsiaTheme="minorEastAsia" w:hAnsiTheme="minorHAnsi"/>
          <w:color w:val="auto"/>
          <w:sz w:val="22"/>
          <w:lang w:val="en-US" w:eastAsia="en-US" w:bidi="ar-SA"/>
        </w:rPr>
      </w:pPr>
      <w:hyperlink w:anchor="_Toc457854606" w:history="1">
        <w:r w:rsidR="00647AEC" w:rsidRPr="009C3649">
          <w:rPr>
            <w:rStyle w:val="Hyperlink"/>
          </w:rPr>
          <w:t>Appendice</w:t>
        </w:r>
        <w:r w:rsidR="00647AEC">
          <w:rPr>
            <w:webHidden/>
          </w:rPr>
          <w:tab/>
        </w:r>
        <w:r w:rsidR="00647AEC">
          <w:rPr>
            <w:webHidden/>
          </w:rPr>
          <w:fldChar w:fldCharType="begin"/>
        </w:r>
        <w:r w:rsidR="00647AEC">
          <w:rPr>
            <w:webHidden/>
          </w:rPr>
          <w:instrText xml:space="preserve"> PAGEREF _Toc457854606 \h </w:instrText>
        </w:r>
        <w:r w:rsidR="00647AEC">
          <w:rPr>
            <w:webHidden/>
          </w:rPr>
        </w:r>
        <w:r w:rsidR="00647AEC">
          <w:rPr>
            <w:webHidden/>
          </w:rPr>
          <w:fldChar w:fldCharType="separate"/>
        </w:r>
        <w:r w:rsidR="00113637">
          <w:rPr>
            <w:webHidden/>
          </w:rPr>
          <w:t>8</w:t>
        </w:r>
        <w:r w:rsidR="00647AEC">
          <w:rPr>
            <w:webHidden/>
          </w:rPr>
          <w:fldChar w:fldCharType="end"/>
        </w:r>
      </w:hyperlink>
    </w:p>
    <w:p w14:paraId="075E932D" w14:textId="77777777" w:rsidR="00647AEC" w:rsidRDefault="00157ED6">
      <w:pPr>
        <w:pStyle w:val="TOC1"/>
        <w:rPr>
          <w:rFonts w:asciiTheme="minorHAnsi" w:eastAsiaTheme="minorEastAsia" w:hAnsiTheme="minorHAnsi"/>
          <w:color w:val="auto"/>
          <w:sz w:val="22"/>
          <w:lang w:val="en-US" w:eastAsia="en-US" w:bidi="ar-SA"/>
        </w:rPr>
      </w:pPr>
      <w:hyperlink w:anchor="_Toc457854607" w:history="1">
        <w:r w:rsidR="00647AEC" w:rsidRPr="009C3649">
          <w:rPr>
            <w:rStyle w:val="Hyperlink"/>
            <w:rFonts w:asciiTheme="majorHAnsi" w:eastAsiaTheme="majorEastAsia" w:hAnsiTheme="majorHAnsi" w:cstheme="majorBidi"/>
            <w:bCs/>
          </w:rPr>
          <w:t>Definizione di</w:t>
        </w:r>
        <w:r w:rsidR="00647AEC" w:rsidRPr="009C3649">
          <w:rPr>
            <w:rStyle w:val="Hyperlink"/>
            <w:rFonts w:asciiTheme="majorHAnsi" w:eastAsiaTheme="majorEastAsia" w:hAnsiTheme="majorHAnsi" w:cstheme="majorBidi"/>
          </w:rPr>
          <w:t>Regioni</w:t>
        </w:r>
        <w:r w:rsidR="00647AEC">
          <w:rPr>
            <w:webHidden/>
          </w:rPr>
          <w:tab/>
        </w:r>
        <w:r w:rsidR="00647AEC">
          <w:rPr>
            <w:webHidden/>
          </w:rPr>
          <w:fldChar w:fldCharType="begin"/>
        </w:r>
        <w:r w:rsidR="00647AEC">
          <w:rPr>
            <w:webHidden/>
          </w:rPr>
          <w:instrText xml:space="preserve"> PAGEREF _Toc457854607 \h </w:instrText>
        </w:r>
        <w:r w:rsidR="00647AEC">
          <w:rPr>
            <w:webHidden/>
          </w:rPr>
        </w:r>
        <w:r w:rsidR="00647AEC">
          <w:rPr>
            <w:webHidden/>
          </w:rPr>
          <w:fldChar w:fldCharType="separate"/>
        </w:r>
        <w:r w:rsidR="00113637">
          <w:rPr>
            <w:webHidden/>
          </w:rPr>
          <w:t>8</w:t>
        </w:r>
        <w:r w:rsidR="00647AEC">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4594"/>
      <w:r>
        <w:t>Scopo del Documento e Risorse</w:t>
      </w:r>
      <w:bookmarkEnd w:id="1"/>
      <w:bookmarkEnd w:id="2"/>
      <w:bookmarkEnd w:id="3"/>
    </w:p>
    <w:p w14:paraId="0AAB290E" w14:textId="529DEF17" w:rsidR="0038541A" w:rsidRPr="001165AA" w:rsidRDefault="00BC6802" w:rsidP="00551301">
      <w:pPr>
        <w:pStyle w:val="BodyText"/>
      </w:pPr>
      <w:r>
        <w:t>Il presente Manuale delle Licenze fornisce alle società in possesso del Contratto per i Prodotti e i Servizi Microsoft (MPSA) informazioni sul supporto che riguardano la struttura dell’account, le procedure d’ordine, i prezzi e altre condizioni.</w:t>
      </w:r>
      <w:r w:rsidR="00D60EEB">
        <w:t xml:space="preserve"> </w:t>
      </w:r>
      <w:r>
        <w:t>Tutti i termini in maiuscolo utilizzati, ma non definiti, nel presente Manuale delle Licenze avranno lo stesso significato attribuito loro nel Contratto MPSA, incluse le</w:t>
      </w:r>
      <w:r w:rsidR="00AD0AEF">
        <w:t> </w:t>
      </w:r>
      <w:r>
        <w:t>Condizioni per l’Utilizzo dei Prodotti.</w:t>
      </w:r>
    </w:p>
    <w:p w14:paraId="6352A80B" w14:textId="249BC8C0" w:rsidR="00BC6802" w:rsidRPr="001165AA" w:rsidRDefault="00BC6802" w:rsidP="00551301">
      <w:pPr>
        <w:pStyle w:val="BodyText"/>
      </w:pPr>
      <w:r>
        <w:t xml:space="preserve">Una panoramica generale del Contratto MPSA è disponibile all’indirizzo </w:t>
      </w:r>
      <w:hyperlink r:id="rId15" w:history="1">
        <w:r>
          <w:rPr>
            <w:rStyle w:val="Hyperlink"/>
          </w:rPr>
          <w:t>http://www.microsoft.com/licensing/mpsa/</w:t>
        </w:r>
      </w:hyperlink>
      <w:r w:rsidRPr="006B51E9">
        <w:rPr>
          <w:rStyle w:val="Hyperlink"/>
          <w:color w:val="auto"/>
          <w:u w:val="none"/>
        </w:rPr>
        <w:t>.</w:t>
      </w:r>
      <w:r w:rsidR="00D60EEB">
        <w:rPr>
          <w:rStyle w:val="Hyperlink"/>
        </w:rPr>
        <w:t xml:space="preserve"> </w:t>
      </w:r>
    </w:p>
    <w:p w14:paraId="7505A368" w14:textId="1D955765" w:rsidR="00BC6802" w:rsidRPr="001165AA" w:rsidRDefault="00BC6802" w:rsidP="00BC6802">
      <w:pPr>
        <w:pStyle w:val="BodyText"/>
      </w:pPr>
      <w:r>
        <w:t>L’ultima versione del presente documento, i dettagli riguardanti i diritti sull’utilizzo e le Condizioni per l’Utilizzo dei Prodotti sono</w:t>
      </w:r>
      <w:r w:rsidR="00AD0AEF">
        <w:t> </w:t>
      </w:r>
      <w:r>
        <w:t xml:space="preserve">disponibili all’indirizzo </w:t>
      </w:r>
      <w:hyperlink r:id="rId16" w:history="1">
        <w:r>
          <w:rPr>
            <w:rStyle w:val="Hyperlink"/>
          </w:rPr>
          <w:t>http://www.microsoft.com/licensing/contracts</w:t>
        </w:r>
      </w:hyperlink>
      <w:r w:rsidRPr="006B51E9">
        <w:rPr>
          <w:rStyle w:val="Hyperlink"/>
          <w:color w:val="auto"/>
          <w:u w:val="none"/>
        </w:rPr>
        <w:t>.</w:t>
      </w:r>
      <w:r w:rsidR="00D60EEB">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4595"/>
      <w:r>
        <w:lastRenderedPageBreak/>
        <w:t>Articolo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4596"/>
      <w:r>
        <w:rPr>
          <w:rFonts w:asciiTheme="majorHAnsi" w:eastAsiaTheme="majorEastAsia" w:hAnsiTheme="majorHAnsi" w:cstheme="majorBidi"/>
          <w:bCs/>
          <w:color w:val="8064A2" w:themeColor="accent4"/>
          <w:sz w:val="28"/>
          <w:szCs w:val="26"/>
        </w:rPr>
        <w:t>Contratto per i Prodotti e i Servizi Microsoft</w:t>
      </w:r>
      <w:bookmarkEnd w:id="7"/>
      <w:bookmarkEnd w:id="8"/>
      <w:bookmarkEnd w:id="9"/>
    </w:p>
    <w:p w14:paraId="3D0499DA" w14:textId="77777777" w:rsidR="00EE5D60" w:rsidRPr="001165AA" w:rsidRDefault="00FD4C65" w:rsidP="00CC6A48">
      <w:pPr>
        <w:pStyle w:val="Thirdheading"/>
      </w:pPr>
      <w:r>
        <w:rPr>
          <w:b/>
        </w:rPr>
        <w:t>Struttura dell’account</w:t>
      </w:r>
    </w:p>
    <w:p w14:paraId="748F15FC" w14:textId="618BDA95" w:rsidR="002B4822" w:rsidRPr="001165AA" w:rsidRDefault="002B4822" w:rsidP="002B4822">
      <w:pPr>
        <w:pStyle w:val="BodyText"/>
      </w:pPr>
      <w:r>
        <w:t>Il Contratto per i Prodotti e i Servizi Microsoft offre alla società la flessibilità di definire la struttura acquisti desiderata per gli acquisti di</w:t>
      </w:r>
      <w:r w:rsidR="005328A3">
        <w:t> </w:t>
      </w:r>
      <w:r>
        <w:t>Contratti Multilicenza tramite gli Account per gli Acquisti.</w:t>
      </w:r>
      <w:r w:rsidR="00D60EEB">
        <w:t xml:space="preserve"> </w:t>
      </w:r>
      <w:r>
        <w:t>Un Account per gli Acquisti è definito come una qualsiasi unità all’interno dell’organizzazione che la società desidera abilitare all’acquisto sia di Software che di Servizi Online.</w:t>
      </w:r>
      <w:r w:rsidR="00D60EEB">
        <w:t xml:space="preserve"> </w:t>
      </w:r>
      <w:r>
        <w:t>Gli Account per gli Acquisti sono associati al Contratto MPSA dell’organizzazione tramite la persona giuridica definita nel modulo di registrazione dell’Account per gli Acquisti.</w:t>
      </w:r>
    </w:p>
    <w:p w14:paraId="71AABA69" w14:textId="2FDA0573" w:rsidR="00551301" w:rsidRPr="001165AA" w:rsidRDefault="00986457" w:rsidP="00551301">
      <w:pPr>
        <w:pStyle w:val="BodyText"/>
      </w:pPr>
      <w:r>
        <w:t>Esistono tre tipi di Account per gli Acquisti supportati per tipi diversi di Società: Commerciale, degli Enti Pubblici e degli Istituti Didattici.</w:t>
      </w:r>
      <w:r w:rsidR="00D60EEB">
        <w:t xml:space="preserve"> </w:t>
      </w:r>
      <w:r>
        <w:t xml:space="preserve">Per qualificarsi come Account per gli Acquisti degli Enti Pubblici o degli Istituti Didattici, l’organizzazione dovrà soddisfare i requisiti di idoneità pertinenti indicati alla pagina </w:t>
      </w:r>
      <w:hyperlink r:id="rId17" w:history="1">
        <w:r>
          <w:rPr>
            <w:rStyle w:val="Hyperlink"/>
          </w:rPr>
          <w:t>http://www.microsoftvolumelicensing.com/contracts</w:t>
        </w:r>
      </w:hyperlink>
      <w:r w:rsidRPr="006B51E9">
        <w:rPr>
          <w:color w:val="auto"/>
        </w:rPr>
        <w:t>.</w:t>
      </w:r>
    </w:p>
    <w:p w14:paraId="57454CD8" w14:textId="2E6574B4" w:rsidR="002B4822" w:rsidRPr="001165AA" w:rsidRDefault="002B4822" w:rsidP="002B4822">
      <w:pPr>
        <w:pStyle w:val="BodyText"/>
      </w:pPr>
      <w:r>
        <w:t>La struttura flessibile degli Account per gli Acquisti consente alla società di definire e ridefinire la configurazione degli acquisti della propria organizzazione in base alle esigenze aziendali.</w:t>
      </w:r>
      <w:r w:rsidR="00D60EEB">
        <w:t xml:space="preserve"> </w:t>
      </w:r>
      <w:r>
        <w:t>Gli account possono essere definiti a livello di organizzazione, consociata, reparto o anche semplicemente per un sottoinsieme del personale.</w:t>
      </w:r>
    </w:p>
    <w:p w14:paraId="18A1DAD4" w14:textId="194311CD" w:rsidR="003B5822" w:rsidRPr="001165AA" w:rsidRDefault="002B4822" w:rsidP="002B4822">
      <w:pPr>
        <w:pStyle w:val="BodyText"/>
      </w:pPr>
      <w:r>
        <w:t>Il primo passo consiste nel decidere in che modo l’organizzazione dovrà acquistare i Prodotti.</w:t>
      </w:r>
      <w:r w:rsidR="00D60EEB">
        <w:t xml:space="preserve"> </w:t>
      </w:r>
      <w:r>
        <w:t>Ciò consentirà di gestire la struttura preposta agli acquisti di transazioni di Contratti Multilicenza.</w:t>
      </w:r>
      <w:r w:rsidR="00D60EEB">
        <w:t xml:space="preserve"> </w:t>
      </w:r>
    </w:p>
    <w:p w14:paraId="1454C11F" w14:textId="75CEDFC5" w:rsidR="00EE5D60" w:rsidRPr="001165AA" w:rsidRDefault="00EE5D60" w:rsidP="003B5822">
      <w:pPr>
        <w:pStyle w:val="BodyText"/>
      </w:pPr>
      <w:r>
        <w:t>Ad esempio, qualora la società decida di gestire a livello centrale gli acquisti, potrà registrare un Account per gli Acquisti:</w:t>
      </w:r>
      <w:r w:rsidR="00D60EEB">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ACCOUNT PER GLI ACQUISTI</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65BDF00D" w:rsidR="002C6347" w:rsidRPr="001165AA" w:rsidRDefault="001273AD" w:rsidP="00EF5842">
      <w:pPr>
        <w:pStyle w:val="BodyText"/>
        <w:spacing w:before="240"/>
      </w:pPr>
      <w:r>
        <w:t>In alternativa, qualora la società desideri avere un approccio più decentralizzato, può registrare più Account per gli Acquisti e può disporre di tipi diversi di Account per gli Acquisti con un singolo Contratto MPSA:</w:t>
      </w:r>
      <w:r w:rsidR="00D60EEB">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ACCOUNT PER GLI ACQUISTI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Didattico</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14:paraId="1C95D260" w14:textId="77777777" w:rsidR="00E77ED7" w:rsidRPr="00D20D1D" w:rsidRDefault="002678BC" w:rsidP="00D20D1D">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D20D1D">
              <w:rPr>
                <w:color w:val="FFFFFF" w:themeColor="background1"/>
                <w:sz w:val="16"/>
                <w:lang w:val="en-US" w:eastAsia="en-US" w:bidi="ar-SA"/>
              </w:rPr>
              <w:t>ACCOUNT PER GLI ACQUISTI 3</w:t>
            </w:r>
          </w:p>
          <w:p w14:paraId="3AB45F74" w14:textId="77777777" w:rsidR="002678BC" w:rsidRPr="004105EA" w:rsidRDefault="00E77ED7" w:rsidP="00D20D1D">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D20D1D">
              <w:rPr>
                <w:color w:val="FFFFFF" w:themeColor="background1"/>
                <w:sz w:val="16"/>
                <w:lang w:val="en-US" w:eastAsia="en-US" w:bidi="ar-SA"/>
              </w:rPr>
              <w:t>Commerciale</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ACCOUNT PER GLI ACQUISTI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Commerciale</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14:paraId="3B159B10" w14:textId="77777777" w:rsidR="002C6347" w:rsidRPr="00D20D1D"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D20D1D">
              <w:rPr>
                <w:color w:val="FFFFFF" w:themeColor="background1"/>
                <w:sz w:val="16"/>
                <w:lang w:val="en-US" w:eastAsia="en-US" w:bidi="ar-SA"/>
              </w:rPr>
              <w:t>ACCOUNT PER GLI ACQUISTI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D20D1D">
              <w:rPr>
                <w:color w:val="FFFFFF" w:themeColor="background1"/>
                <w:sz w:val="16"/>
                <w:lang w:val="en-US" w:eastAsia="en-US" w:bidi="ar-SA"/>
              </w:rPr>
              <w:t>Commerciale</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Mese di ricorrenza dell’Account per gli Acquisti</w:t>
      </w:r>
    </w:p>
    <w:p w14:paraId="716531FB" w14:textId="61C5A5A5" w:rsidR="00BA0D95" w:rsidRPr="001165AA" w:rsidRDefault="00F55CB5" w:rsidP="000F6294">
      <w:pPr>
        <w:pStyle w:val="BodyText"/>
      </w:pPr>
      <w:r>
        <w:t>Quando la società effettua la registrazione di ciascun Account per gli Acquisti, può essere scelto un mese specifico rispetto al quale allineare gli acquisti con periodi di validità della sottoscrizione, allo scopo di avere una ricorrenza unica e coerente per i rinnovi.</w:t>
      </w:r>
      <w:r w:rsidR="00D60EEB">
        <w:t xml:space="preserve"> </w:t>
      </w:r>
      <w:r>
        <w:t>Ad esempio, nel caso in cui uno degli account scelga gennaio come mese di ricorrenza, qualsiasi acquisto di Servizi Online effettuato nell’account si allineerà a quel mese e in tal modo i rinnovi dei Servizi Online avranno luogo ogni anno a gennaio.</w:t>
      </w:r>
      <w:r w:rsidR="00D60EEB">
        <w:t xml:space="preserve"> </w:t>
      </w:r>
      <w:r>
        <w:t>Tale designazione può essere cambiata successivamente in base alle esigenze dell’organizzazione tramite il Microsoft Business Center.</w:t>
      </w:r>
      <w:r w:rsidR="00D60EEB">
        <w:t xml:space="preserve"> </w:t>
      </w:r>
      <w:r>
        <w:t>Le eventuali modifiche influiranno sugli ordini futuri.</w:t>
      </w:r>
    </w:p>
    <w:p w14:paraId="523B666A" w14:textId="761FF1A2" w:rsidR="009C6617" w:rsidRPr="001165AA" w:rsidRDefault="00351635" w:rsidP="000F6294">
      <w:pPr>
        <w:pStyle w:val="BodyText"/>
      </w:pPr>
      <w:r>
        <w:t>Per quanto riguarda gli Account per gli Acquisti degli Enti Pubblici e degli Istituti Didattici è possibile specificare una data di scadenza degli acquisti.</w:t>
      </w:r>
      <w:r w:rsidR="00D60EEB">
        <w:t xml:space="preserve"> </w:t>
      </w:r>
      <w:r>
        <w:t>Quando è selezionata questa opzione, i periodi di validità delle sottoscrizioni non si estenderanno oltre tale data.</w:t>
      </w:r>
      <w:r w:rsidR="00D60EEB">
        <w:t xml:space="preserve"> </w:t>
      </w:r>
      <w:r>
        <w:t>È possibile prorogare questa data, se necessario.</w:t>
      </w:r>
      <w:r w:rsidR="00D60EEB">
        <w:t xml:space="preserve"> </w:t>
      </w:r>
    </w:p>
    <w:p w14:paraId="3E54FF24" w14:textId="77777777" w:rsidR="00EE5D60" w:rsidRPr="001165AA" w:rsidRDefault="00EE5D60" w:rsidP="00CC6A48">
      <w:pPr>
        <w:pStyle w:val="Thirdheading"/>
      </w:pPr>
      <w:r>
        <w:rPr>
          <w:b/>
        </w:rPr>
        <w:lastRenderedPageBreak/>
        <w:t>L’Amministratore del Contratto</w:t>
      </w:r>
    </w:p>
    <w:p w14:paraId="5DCCE091" w14:textId="2EBCF182" w:rsidR="00EE5D60" w:rsidRPr="001165AA" w:rsidRDefault="00B60D55" w:rsidP="0098090B">
      <w:pPr>
        <w:pStyle w:val="BodyText"/>
      </w:pPr>
      <w:r>
        <w:t xml:space="preserve">Ogni MPSA deve essere firmato da una persona giuridica ossia dalla </w:t>
      </w:r>
      <w:r w:rsidR="0098090B">
        <w:t>“</w:t>
      </w:r>
      <w:r>
        <w:t>Società</w:t>
      </w:r>
      <w:r w:rsidR="0098090B">
        <w:t>”</w:t>
      </w:r>
      <w:r>
        <w:t>. La Società dovrà designare un Account per gli Acquisti come Amministratore del Contratto.</w:t>
      </w:r>
      <w:r w:rsidR="00D60EEB">
        <w:t xml:space="preserve"> </w:t>
      </w:r>
      <w:r>
        <w:t>È possibile aggiungere altri Account per gli Acquisti e associarli all’Amministratore del Contratto.</w:t>
      </w:r>
      <w:r w:rsidR="00D60EEB">
        <w:t xml:space="preserve"> </w:t>
      </w:r>
      <w:r>
        <w:t>Ciò offre all’Amministratore del Contratto una visione consolidata di tutte le risorse all’interno dell’organizzazione e un’unica base comoda per la gestione di tutti gli Account per gli Acquisti.</w:t>
      </w:r>
      <w:r w:rsidR="00D60EEB">
        <w:t xml:space="preserve"> </w:t>
      </w:r>
      <w:r>
        <w:t>All’Account dell’Amministratore del Contratto:</w:t>
      </w:r>
    </w:p>
    <w:p w14:paraId="17D00860" w14:textId="77777777" w:rsidR="00EE5D60" w:rsidRPr="001165AA" w:rsidRDefault="00EE5D60" w:rsidP="00732568">
      <w:pPr>
        <w:pStyle w:val="BodyText"/>
        <w:numPr>
          <w:ilvl w:val="0"/>
          <w:numId w:val="16"/>
        </w:numPr>
        <w:spacing w:after="0"/>
      </w:pPr>
      <w:r>
        <w:t>Viene fornita una visione completa delle risorse di tutti gli Account per gli Acquisti.</w:t>
      </w:r>
    </w:p>
    <w:p w14:paraId="22DDFB5B" w14:textId="5DF06EAD" w:rsidR="00EE5D60" w:rsidRPr="001165AA" w:rsidRDefault="00EE5D60" w:rsidP="00732568">
      <w:pPr>
        <w:pStyle w:val="BodyText"/>
        <w:numPr>
          <w:ilvl w:val="0"/>
          <w:numId w:val="16"/>
        </w:numPr>
        <w:spacing w:after="0"/>
      </w:pPr>
      <w:r>
        <w:t>Viene comunicato quando un Account per gli Acquisti è associato al Contratto MPSA.</w:t>
      </w:r>
    </w:p>
    <w:p w14:paraId="3900998A" w14:textId="77777777" w:rsidR="00EE5D60" w:rsidRPr="001165AA" w:rsidRDefault="00EE5D60" w:rsidP="00732568">
      <w:pPr>
        <w:pStyle w:val="BodyText"/>
        <w:numPr>
          <w:ilvl w:val="0"/>
          <w:numId w:val="16"/>
        </w:numPr>
        <w:spacing w:after="0"/>
      </w:pPr>
      <w:r>
        <w:t>È concesso il diritto di porre termine all’associazione degli Account per gli Acquisti al Contratto MPSA.</w:t>
      </w:r>
    </w:p>
    <w:p w14:paraId="670F27E9" w14:textId="77777777" w:rsidR="00EE5D60" w:rsidRPr="001165AA" w:rsidRDefault="00EE5D60" w:rsidP="00732568">
      <w:pPr>
        <w:pStyle w:val="BodyText"/>
        <w:numPr>
          <w:ilvl w:val="0"/>
          <w:numId w:val="16"/>
        </w:numPr>
        <w:spacing w:after="0"/>
      </w:pPr>
      <w:r>
        <w:t>È concesso il diritto di porre termine al Contratto MPSA stesso.</w:t>
      </w:r>
    </w:p>
    <w:p w14:paraId="4B7AFB3F" w14:textId="77777777" w:rsidR="00732568" w:rsidRPr="001165AA" w:rsidRDefault="00732568" w:rsidP="00A80953">
      <w:pPr>
        <w:pStyle w:val="BodyText"/>
        <w:numPr>
          <w:ilvl w:val="0"/>
          <w:numId w:val="16"/>
        </w:numPr>
        <w:spacing w:after="0"/>
      </w:pPr>
      <w:r>
        <w:t xml:space="preserve">Non è consentito ordinare altri Account per gli Acquisti o gestire le relative risorse. </w:t>
      </w:r>
    </w:p>
    <w:p w14:paraId="4805856A" w14:textId="7316D0FD" w:rsidR="00E66243" w:rsidRPr="001165AA" w:rsidRDefault="00E66243" w:rsidP="008073E9">
      <w:pPr>
        <w:pStyle w:val="BodyText"/>
        <w:spacing w:before="120" w:after="0"/>
      </w:pPr>
      <w:r>
        <w:t>La Società (persona giuridica) dell’Amministratore del Contratto viene utilizzata per la definizione di Consociata del Contratto MPSA.</w:t>
      </w:r>
    </w:p>
    <w:p w14:paraId="16DC1212" w14:textId="77777777" w:rsidR="00BA0D95" w:rsidRPr="001165AA" w:rsidRDefault="00BA0D95" w:rsidP="002123CF">
      <w:pPr>
        <w:pStyle w:val="Thirdheading"/>
        <w:spacing w:line="240" w:lineRule="auto"/>
      </w:pPr>
      <w:r>
        <w:rPr>
          <w:b/>
        </w:rPr>
        <w:t>Partner</w:t>
      </w:r>
    </w:p>
    <w:p w14:paraId="13ADF8DC" w14:textId="1E573835" w:rsidR="00BA0D95" w:rsidRPr="001165AA" w:rsidRDefault="00DF4813" w:rsidP="00CF38B4">
      <w:pPr>
        <w:pStyle w:val="BodyText"/>
        <w:spacing w:after="0"/>
      </w:pPr>
      <w:r>
        <w:t>La società potrà effettuare ordini ai sensi dell’Account per gli Acquisti del Contratto MPSA ricorrendo a un Licensing Solution Partner (LSP) autorizzato a rivendere i Prodotti Microsoft tramite il Contratto MPSA.</w:t>
      </w:r>
      <w:r w:rsidR="00D60EEB">
        <w:t xml:space="preserve"> </w:t>
      </w:r>
      <w:r>
        <w:t>Ogni Account per gli Acquisti potrà scegliere un particolare LSP che collaborerà con la società per registrare gli Account per gli Acquisti e creare il contratto in formato elettronico con firma elettronica</w:t>
      </w:r>
      <w:r w:rsidR="005328A3">
        <w:rPr>
          <w:rStyle w:val="FootnoteReference"/>
        </w:rPr>
        <w:footnoteReference w:id="2"/>
      </w:r>
      <w:r>
        <w:t>.</w:t>
      </w:r>
      <w:r w:rsidR="00D60EEB">
        <w:t xml:space="preserve"> </w:t>
      </w:r>
      <w:r>
        <w:t>Nel tempo la società potrà aggiungere ai propri account gli LSP che riterrà necessari per gli acquisti transazionali.</w:t>
      </w:r>
      <w:r w:rsidR="00D60EEB">
        <w:t xml:space="preserve"> </w:t>
      </w:r>
      <w:r>
        <w:t xml:space="preserve">Per ulteriori informazioni sui Partner nel mondo presenti nella zona della sua sede, la società potrà visitare la pagina </w:t>
      </w:r>
      <w:hyperlink r:id="rId18" w:history="1">
        <w:r>
          <w:rPr>
            <w:rStyle w:val="Hyperlink"/>
          </w:rPr>
          <w:t>http://pinpoint.microsoft.com</w:t>
        </w:r>
      </w:hyperlink>
      <w:r w:rsidRPr="006B51E9">
        <w:rPr>
          <w:color w:val="auto"/>
        </w:rPr>
        <w:t>.</w:t>
      </w:r>
    </w:p>
    <w:p w14:paraId="1E9FBD4F" w14:textId="19C7971B" w:rsidR="00F360FC" w:rsidRPr="001165AA" w:rsidRDefault="00F360FC" w:rsidP="00F360FC">
      <w:pPr>
        <w:pStyle w:val="Thirdheading"/>
        <w:spacing w:line="240" w:lineRule="auto"/>
      </w:pPr>
      <w:r>
        <w:rPr>
          <w:b/>
        </w:rPr>
        <w:t>Vendite Dirette</w:t>
      </w:r>
    </w:p>
    <w:p w14:paraId="712E4874" w14:textId="0C8821C7" w:rsidR="00F360FC" w:rsidRPr="001165AA" w:rsidRDefault="000273F6" w:rsidP="00F360FC">
      <w:pPr>
        <w:pStyle w:val="BodyText"/>
        <w:spacing w:after="0"/>
      </w:pPr>
      <w:r>
        <w:t>Alcuni professionisti delle vendite Microsoft sono autorizzati a offrire Prodotti tramite il Contratto MPSA e possono collaborare con la società per registrare Account per gli Acquisti.</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4597"/>
      <w:r>
        <w:rPr>
          <w:rFonts w:asciiTheme="majorHAnsi" w:eastAsiaTheme="majorEastAsia" w:hAnsiTheme="majorHAnsi" w:cstheme="majorBidi"/>
          <w:bCs/>
          <w:color w:val="8064A2" w:themeColor="accent4"/>
          <w:sz w:val="28"/>
          <w:szCs w:val="26"/>
        </w:rPr>
        <w:t>Acquisti Transazionali</w:t>
      </w:r>
      <w:bookmarkEnd w:id="10"/>
      <w:bookmarkEnd w:id="11"/>
      <w:bookmarkEnd w:id="12"/>
    </w:p>
    <w:p w14:paraId="2A578B5E" w14:textId="77777777" w:rsidR="009D6481" w:rsidRPr="001165AA" w:rsidRDefault="00FD50F2" w:rsidP="00CC6A48">
      <w:pPr>
        <w:pStyle w:val="Thirdheading"/>
      </w:pPr>
      <w:r>
        <w:rPr>
          <w:b/>
        </w:rPr>
        <w:t>Prodotti</w:t>
      </w:r>
    </w:p>
    <w:p w14:paraId="7B8A6817" w14:textId="08CB7D94" w:rsidR="009D6481" w:rsidRPr="001165AA" w:rsidRDefault="00C72F37" w:rsidP="009D6481">
      <w:pPr>
        <w:pStyle w:val="BodyText"/>
      </w:pPr>
      <w:r>
        <w:t>La società può ordinare la maggior parte dei Prodotti con Contratti Multilicenza Microsoft tramite il proprio Contratto MPSA.</w:t>
      </w:r>
      <w:r w:rsidR="00D60EEB">
        <w:t xml:space="preserve"> </w:t>
      </w:r>
      <w:r>
        <w:t xml:space="preserve">Per una lista completa dei Prodotti disponibili attraverso il Contratto MPSA, la società potrà fare riferimento alle Condizioni per l’Utilizzo dei Prodotti alla pagina </w:t>
      </w:r>
      <w:hyperlink r:id="rId19" w:history="1">
        <w:r>
          <w:rPr>
            <w:rStyle w:val="Hyperlink"/>
          </w:rPr>
          <w:t>http://www.microsoft.com/licensing/contracts</w:t>
        </w:r>
      </w:hyperlink>
      <w:r w:rsidRPr="006B51E9">
        <w:rPr>
          <w:color w:val="auto"/>
        </w:rPr>
        <w:t>.</w:t>
      </w:r>
      <w:r w:rsidR="00D60EEB">
        <w:t xml:space="preserve"> </w:t>
      </w:r>
    </w:p>
    <w:p w14:paraId="07C83D7C" w14:textId="77777777" w:rsidR="009D6481" w:rsidRPr="001165AA" w:rsidRDefault="00FD50F2" w:rsidP="00CC6A48">
      <w:pPr>
        <w:pStyle w:val="Thirdheading"/>
      </w:pPr>
      <w:r>
        <w:rPr>
          <w:b/>
        </w:rPr>
        <w:t>Accesso ai download e alle informazioni account</w:t>
      </w:r>
    </w:p>
    <w:p w14:paraId="27EB6CBB" w14:textId="0D18BCF6" w:rsidR="009D6481" w:rsidRPr="001165AA" w:rsidRDefault="003732E1" w:rsidP="00994CAB">
      <w:pPr>
        <w:pStyle w:val="BodyText"/>
      </w:pPr>
      <w:r>
        <w:t>La società potrà accedere al Microsoft Business Center per eseguire il download del Software, accedere ai codici Product Key, visualizzare il portafoglio di licenze e servizi ed erogare i Servizi Online.</w:t>
      </w:r>
      <w:r w:rsidR="00D60EEB">
        <w:t xml:space="preserve"> </w:t>
      </w:r>
      <w:r>
        <w:t xml:space="preserve">Il Microsoft Business Center è disponibile all’indirizzo </w:t>
      </w:r>
      <w:hyperlink r:id="rId20" w:history="1">
        <w:r>
          <w:rPr>
            <w:rStyle w:val="Hyperlink"/>
          </w:rPr>
          <w:t>https://licensing.microsoft.com/customer/</w:t>
        </w:r>
      </w:hyperlink>
      <w:r w:rsidRPr="006B51E9">
        <w:rPr>
          <w:color w:val="auto"/>
        </w:rPr>
        <w:t>.</w:t>
      </w:r>
    </w:p>
    <w:p w14:paraId="0DB6FBA2" w14:textId="0E9DB4C2" w:rsidR="008E77D5" w:rsidRPr="001165AA" w:rsidRDefault="0020545D" w:rsidP="00CC6A48">
      <w:pPr>
        <w:pStyle w:val="Thirdheading"/>
      </w:pPr>
      <w:r>
        <w:rPr>
          <w:b/>
        </w:rPr>
        <w:t>Livelli di prezzo</w:t>
      </w:r>
    </w:p>
    <w:p w14:paraId="3FE02415" w14:textId="0CE717CA" w:rsidR="00D17BBE" w:rsidRPr="001165AA" w:rsidRDefault="009D5624" w:rsidP="00E30CB7">
      <w:pPr>
        <w:pStyle w:val="BodyText"/>
      </w:pPr>
      <w:r>
        <w:t>La società dovrà ottenere almeno 500 punti per ciascun Pool di Prodotti all’anno per essere idonea a ordinare i Prodotti di quel Pool.</w:t>
      </w:r>
      <w:r w:rsidR="00D60EEB">
        <w:t xml:space="preserve"> </w:t>
      </w:r>
      <w:r>
        <w:t>In</w:t>
      </w:r>
      <w:r w:rsidR="005328A3">
        <w:t> </w:t>
      </w:r>
      <w:r>
        <w:t>alternativa, potrà qualificarsi ordinando almeno 250 punti per i Servizi Online di quel Pool di Prodotti o associando un contratto attivo</w:t>
      </w:r>
      <w:r w:rsidR="005328A3">
        <w:t> </w:t>
      </w:r>
      <w:r>
        <w:t>qualificante (Iscrizione Enterprise, Iscrizione Enterprise Subscription o Contratto Select Plus) al Contratto MPSA.</w:t>
      </w:r>
      <w:r w:rsidR="00D60EEB">
        <w:t xml:space="preserve"> </w:t>
      </w:r>
      <w:r>
        <w:t>La società potrà utilizzare un contratto qualificante diverso per ogni Pool di Prodotti.</w:t>
      </w:r>
      <w:r w:rsidR="00D60EEB">
        <w:t xml:space="preserve"> </w:t>
      </w:r>
      <w:r>
        <w:t>La società, tuttavia, dovrà (1) essere una Consociata e (2) essere in</w:t>
      </w:r>
      <w:r w:rsidR="005328A3">
        <w:t> </w:t>
      </w:r>
      <w:r>
        <w:t>possesso dell’approvazione della Società che ha stipulato il contratto qualificante da associare al Contratto MPSA.</w:t>
      </w:r>
      <w:r w:rsidR="00D60EEB">
        <w:t xml:space="preserve"> </w:t>
      </w:r>
      <w:r>
        <w:t>La società potrà utilizzare i Servizi Microsoft Azure senza raggiungere il numero minimo di punti richiesto.</w:t>
      </w:r>
    </w:p>
    <w:p w14:paraId="14D5163E" w14:textId="2B0435F5" w:rsidR="00BC6802" w:rsidRDefault="00433D47" w:rsidP="00E30CB7">
      <w:pPr>
        <w:pStyle w:val="BodyText"/>
      </w:pPr>
      <w:r>
        <w:t>Gli Account per gli Acquisti commerciali hanno a disposizione quattro livelli di prezzo per Pool di Prodotti come definito di seguito.</w:t>
      </w:r>
      <w:r w:rsidR="00D60EEB">
        <w:t xml:space="preserve"> </w:t>
      </w:r>
      <w:r>
        <w:t>Per</w:t>
      </w:r>
      <w:r w:rsidR="005328A3">
        <w:t> </w:t>
      </w:r>
      <w:r>
        <w:t>quanto riguarda gli Account per gli Acquisti Commerciali i punti per ciascun livello di prezzo sono riportati nella tabella che segue.</w:t>
      </w:r>
      <w:r w:rsidR="00D60EEB">
        <w:t xml:space="preserve"> </w:t>
      </w:r>
    </w:p>
    <w:p w14:paraId="5490AEB6" w14:textId="77777777" w:rsidR="009E6D35" w:rsidRPr="001165AA" w:rsidRDefault="009E6D35" w:rsidP="00E30CB7">
      <w:pPr>
        <w:pStyle w:val="BodyText"/>
      </w:pP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lastRenderedPageBreak/>
              <w:t>Livello di prezzo - Account commerciale</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Quantità minima di punti all’anno per Pool di Prodotti</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 250 solo per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Per impostazione predefinita, il livello di prezzo iniziale al momento della sottoscrizione è il livello A. L’organizzazione passerà automaticamente a un livello di prezzo più favorevole qualora si verifichi uno dei seguenti eventi:</w:t>
      </w:r>
    </w:p>
    <w:p w14:paraId="4CE0D1CA" w14:textId="153ED5C4" w:rsidR="00A80953" w:rsidRPr="001165AA" w:rsidRDefault="008E77D5" w:rsidP="00A80953">
      <w:pPr>
        <w:pStyle w:val="BodyText"/>
        <w:numPr>
          <w:ilvl w:val="0"/>
          <w:numId w:val="16"/>
        </w:numPr>
        <w:spacing w:after="0"/>
      </w:pPr>
      <w:r>
        <w:t>La società effettua un ordine che le assegna un numero di punti sufficiente a qualificarla per il livello di prezzi successivo per un</w:t>
      </w:r>
      <w:r w:rsidR="005328A3">
        <w:t> </w:t>
      </w:r>
      <w:r>
        <w:t>Pool di Prodotti.</w:t>
      </w:r>
    </w:p>
    <w:p w14:paraId="67DCFF8F" w14:textId="37F9061F" w:rsidR="00A80953" w:rsidRPr="001165AA" w:rsidRDefault="00A80953" w:rsidP="00A80953">
      <w:pPr>
        <w:pStyle w:val="BodyText"/>
        <w:numPr>
          <w:ilvl w:val="0"/>
          <w:numId w:val="16"/>
        </w:numPr>
        <w:spacing w:after="0"/>
      </w:pPr>
      <w:r>
        <w:t>Qualora la società associ un contratto qualificante attivo a un livello di prezzo per un Pool di Prodotti più favorevole rispetto al</w:t>
      </w:r>
      <w:r w:rsidR="005328A3">
        <w:t> </w:t>
      </w:r>
      <w:r>
        <w:t xml:space="preserve">corrispondente Pool di Prodotti del Contratto MPSA, il livello di prezzo più vantaggioso verrà applicato agli ordini futuri. </w:t>
      </w:r>
    </w:p>
    <w:p w14:paraId="0374531C" w14:textId="438D022F" w:rsidR="00D17BBE" w:rsidRPr="001165AA" w:rsidRDefault="00D17BBE" w:rsidP="008073E9">
      <w:pPr>
        <w:pStyle w:val="BodyText"/>
        <w:spacing w:before="120"/>
      </w:pPr>
      <w:r>
        <w:t>Gli Account per gli Acquisti degli Enti Pubblici e degli Istituti Didattici hanno ciascuno un solo livello di prezzo che riflette il prezzo più</w:t>
      </w:r>
      <w:r w:rsidR="005328A3">
        <w:t> </w:t>
      </w:r>
      <w:r>
        <w:t>vantaggioso che Microsoft può offrire a tali tipologie di Società tramite il Contratto MPSA.</w:t>
      </w:r>
      <w:r w:rsidR="00D60EEB">
        <w:t xml:space="preserve"> </w:t>
      </w:r>
      <w:r>
        <w:t>Per gli Enti Pubblici equivale al livello di</w:t>
      </w:r>
      <w:r w:rsidR="005328A3">
        <w:t> </w:t>
      </w:r>
      <w:r>
        <w:t>prezzo commerciale D.</w:t>
      </w:r>
    </w:p>
    <w:p w14:paraId="20A50E73" w14:textId="77777777" w:rsidR="00CE4C53" w:rsidRPr="001165AA" w:rsidRDefault="0020545D" w:rsidP="00A80953">
      <w:pPr>
        <w:pStyle w:val="Thirdheading"/>
      </w:pPr>
      <w:r>
        <w:rPr>
          <w:b/>
        </w:rPr>
        <w:t>Punti</w:t>
      </w:r>
    </w:p>
    <w:p w14:paraId="77280ADF" w14:textId="5B52A89F" w:rsidR="00CE4C53" w:rsidRPr="001165AA" w:rsidRDefault="0020545D" w:rsidP="00CE4C53">
      <w:pPr>
        <w:pStyle w:val="BodyText"/>
      </w:pPr>
      <w:r>
        <w:t>Microsoft classifica i Prodotti in tre Pool distinti</w:t>
      </w:r>
      <w:r>
        <w:rPr>
          <w:szCs w:val="22"/>
        </w:rPr>
        <w:t xml:space="preserve"> con livelli di prezzo diversi</w:t>
      </w:r>
      <w:r>
        <w:t>: Applicazioni, Sistemi e Server.</w:t>
      </w:r>
      <w:r w:rsidR="00D60EEB">
        <w:t xml:space="preserve"> </w:t>
      </w:r>
      <w:r>
        <w:t>Il livello di prezzo per ciascun Pool di Prodotti si basa sui punti guadagnati a fronte degli acquisti effettuati in quei Pool.</w:t>
      </w:r>
      <w:r w:rsidR="00D60EEB">
        <w:t xml:space="preserve"> </w:t>
      </w:r>
      <w:r>
        <w:t xml:space="preserve">I punti sono calcolati su tutti gli Account per gli Acquisti dello stesso tipo, </w:t>
      </w:r>
      <w:r>
        <w:rPr>
          <w:i/>
        </w:rPr>
        <w:t>ad esempio</w:t>
      </w:r>
      <w:r>
        <w:t xml:space="preserve"> Commerciali. </w:t>
      </w:r>
    </w:p>
    <w:p w14:paraId="5635F696" w14:textId="7CB093FE" w:rsidR="00CE4C53" w:rsidRPr="001165AA" w:rsidRDefault="00CE4C53" w:rsidP="00A80953">
      <w:pPr>
        <w:pStyle w:val="BodyText"/>
        <w:numPr>
          <w:ilvl w:val="0"/>
          <w:numId w:val="16"/>
        </w:numPr>
        <w:spacing w:after="0"/>
      </w:pPr>
      <w:r>
        <w:t>Applicazioni.</w:t>
      </w:r>
      <w:r w:rsidR="00D60EEB">
        <w:t xml:space="preserve"> </w:t>
      </w:r>
      <w:r>
        <w:t xml:space="preserve">Esempi di Prodotti applicativi includono Microsoft Office Professional, il client Microsoft Lync e Office 365. </w:t>
      </w:r>
    </w:p>
    <w:p w14:paraId="6F41AFC8" w14:textId="7E7334E1" w:rsidR="00372F76" w:rsidRPr="001165AA" w:rsidRDefault="00CE4C53" w:rsidP="00A80953">
      <w:pPr>
        <w:pStyle w:val="BodyText"/>
        <w:numPr>
          <w:ilvl w:val="0"/>
          <w:numId w:val="16"/>
        </w:numPr>
        <w:spacing w:after="0"/>
      </w:pPr>
      <w:r>
        <w:t>Sistemi.</w:t>
      </w:r>
      <w:r w:rsidR="00D60EEB">
        <w:t xml:space="preserve"> </w:t>
      </w:r>
      <w:r>
        <w:t>Un esempio di Prodotto per un sistema è costituito da un aggiornamento del sistema operativo Windows, ad esempio Windows Enterprise.</w:t>
      </w:r>
    </w:p>
    <w:p w14:paraId="46017CF3" w14:textId="09D838FF" w:rsidR="00461D21" w:rsidRPr="001165AA" w:rsidRDefault="00CE4C53" w:rsidP="00A80953">
      <w:pPr>
        <w:pStyle w:val="BodyText"/>
        <w:numPr>
          <w:ilvl w:val="0"/>
          <w:numId w:val="16"/>
        </w:numPr>
        <w:spacing w:after="0"/>
      </w:pPr>
      <w:r>
        <w:t>Server.</w:t>
      </w:r>
      <w:r w:rsidR="00D60EEB">
        <w:t xml:space="preserve"> </w:t>
      </w:r>
      <w:r>
        <w:t>Esempi di Prodotti server includono Windows Server, Microsoft Exchange Server, il Software del database di Microsoft SQL Server, Intune e le Licenze CAL associate.</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Esempi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Applicazioni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Sistemi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Aggiornamento a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Per ulteriori informazioni, la società potrà consultare le Condizioni per l’Utilizzo dei Prodotti all’indirizzo </w:t>
      </w:r>
      <w:hyperlink r:id="rId21" w:history="1">
        <w:r>
          <w:rPr>
            <w:rStyle w:val="Hyperlink"/>
          </w:rPr>
          <w:t>http://www.microsoft.com/licensing/contracts</w:t>
        </w:r>
      </w:hyperlink>
      <w:r>
        <w:rPr>
          <w:bCs/>
        </w:rPr>
        <w:t xml:space="preserve"> oppure contattare il Partner o il professionista delle vendite Microsoft.</w:t>
      </w:r>
    </w:p>
    <w:bookmarkEnd w:id="13"/>
    <w:p w14:paraId="05817D9E" w14:textId="35BEB6B1" w:rsidR="008E77D5" w:rsidRPr="001165AA" w:rsidRDefault="008E77D5" w:rsidP="00CC6A48">
      <w:pPr>
        <w:pStyle w:val="Thirdheading"/>
      </w:pPr>
      <w:r>
        <w:rPr>
          <w:b/>
        </w:rPr>
        <w:t>Modifiche del livello di prezzo</w:t>
      </w:r>
    </w:p>
    <w:p w14:paraId="53BCC1C8" w14:textId="2DAF8418" w:rsidR="00E30CB7" w:rsidRPr="001165AA" w:rsidRDefault="00E30CB7" w:rsidP="00E30CB7">
      <w:pPr>
        <w:pStyle w:val="BodyText"/>
      </w:pPr>
      <w:r>
        <w:t>La società conseguirà il livello di prezzo successivo per un Pool di Prodotti non appena l’organizzazione raggiungerà la quantità di punti</w:t>
      </w:r>
      <w:r w:rsidR="005328A3">
        <w:t> </w:t>
      </w:r>
      <w:r>
        <w:t>minima annuale corrispondente.</w:t>
      </w:r>
      <w:r w:rsidR="00D60EEB">
        <w:t xml:space="preserve"> </w:t>
      </w:r>
      <w:r>
        <w:t>Per l’ordine che qualifica la società per il successivo livello di prezzo (ad esempio, dal livello A</w:t>
      </w:r>
      <w:r w:rsidR="005328A3">
        <w:t> </w:t>
      </w:r>
      <w:r>
        <w:t>al</w:t>
      </w:r>
      <w:r w:rsidR="005328A3">
        <w:t> </w:t>
      </w:r>
      <w:r>
        <w:t>livello</w:t>
      </w:r>
      <w:r w:rsidR="005328A3">
        <w:t> </w:t>
      </w:r>
      <w:r>
        <w:t>B) verrà adottato il prezzo del nuovo livello.</w:t>
      </w:r>
      <w:r w:rsidR="00D60EEB">
        <w:t xml:space="preserve"> </w:t>
      </w:r>
      <w:r>
        <w:t>I livelli di prezzo per ciascun Pool di Prodotti vengono rivisti ogni anno nel mese</w:t>
      </w:r>
      <w:r w:rsidR="005328A3">
        <w:t> </w:t>
      </w:r>
      <w:r>
        <w:t>di</w:t>
      </w:r>
      <w:r w:rsidR="005328A3">
        <w:t> </w:t>
      </w:r>
      <w:r>
        <w:t>ricorrenza della conformità al contratto che viene stabilito a decorrere dal mese in cui è attivato il Contratto MPSA.</w:t>
      </w:r>
      <w:r w:rsidR="00D60EEB">
        <w:t xml:space="preserve"> </w:t>
      </w:r>
      <w:r>
        <w:t>I punti guadagnati in un determinato anno che sono in eccesso rispetto al livello di prezzo corrente, ma al di sotto del livello di prezzo successivo, verranno riportati all’anno successivo e serviranno al raggiungimento dei punti necessari per la conformità di tale anno.</w:t>
      </w:r>
    </w:p>
    <w:p w14:paraId="0B62F604" w14:textId="6D8EAF81" w:rsidR="000720F7" w:rsidRPr="001165AA" w:rsidRDefault="00BB2634" w:rsidP="000720F7">
      <w:pPr>
        <w:pStyle w:val="BodyText"/>
      </w:pPr>
      <w:r>
        <w:t>Qualora nel mese di ricorrenza della conformità al contratto i punti accumulati siano inferiori alla quantità di punti minima annuale prevista per un Pool di Prodotti, l’anno successivo il livello di prezzo dell’organizzazione passerà a quello inferiore (</w:t>
      </w:r>
      <w:r>
        <w:rPr>
          <w:i/>
        </w:rPr>
        <w:t>ad esempio</w:t>
      </w:r>
      <w:r>
        <w:t>, dal Livello C al Livello B) per quel Pool di Prodotti e nessun punto verrà riportato all’anno successivo.</w:t>
      </w:r>
      <w:r w:rsidR="00D60EEB">
        <w:t xml:space="preserve"> </w:t>
      </w:r>
      <w:r>
        <w:t>Il livello di prezzo può essere ridotto al massimo di un livello ogni anno.</w:t>
      </w:r>
      <w:r w:rsidR="00D60EEB">
        <w:t xml:space="preserve"> </w:t>
      </w:r>
      <w:r>
        <w:t xml:space="preserve">Qualora la società non sia in grado di soddisfare i requisiti minimi per qualificarsi per ordinare i Prodotti di un Pool di Prodotti, non potrà effettuare ordini relativi ai Prodotti di quel Pool fino a quando non sarà stato effettuato un ordine che soddisfi i requisiti minimi per la qualifica. </w:t>
      </w:r>
    </w:p>
    <w:p w14:paraId="6E84C18E" w14:textId="7EEA2F7E" w:rsidR="005E1FDC" w:rsidRPr="001165AA" w:rsidRDefault="00A708FB" w:rsidP="000720F7">
      <w:pPr>
        <w:pStyle w:val="BodyText"/>
      </w:pPr>
      <w:r>
        <w:lastRenderedPageBreak/>
        <w:t>Qualora la società abbia un contratto qualificante attivo associato al Contratto MPSA con un livello di prezzo per il Pool di Prodotti più</w:t>
      </w:r>
      <w:r w:rsidR="005328A3">
        <w:t> </w:t>
      </w:r>
      <w:r>
        <w:t>favorevole rispetto al corrispondente Pool di Prodotti del Contratto MPSA, il livello di prezzo più vantaggioso per il Pool di Prodotti verrà utilizzato per gli ordini del Contratto MPSA.</w:t>
      </w:r>
    </w:p>
    <w:p w14:paraId="76025713" w14:textId="77777777" w:rsidR="00245EA6" w:rsidRPr="001165AA" w:rsidRDefault="000323FD" w:rsidP="00CC6A48">
      <w:pPr>
        <w:pStyle w:val="Thirdheading"/>
      </w:pPr>
      <w:r>
        <w:rPr>
          <w:b/>
        </w:rPr>
        <w:t>Procedure per gli Ordini</w:t>
      </w:r>
    </w:p>
    <w:p w14:paraId="1AC9F3E3" w14:textId="4929DF26" w:rsidR="009D1152" w:rsidRPr="001165AA" w:rsidRDefault="00203D81" w:rsidP="00E10622">
      <w:pPr>
        <w:pStyle w:val="BodyText"/>
      </w:pPr>
      <w:r>
        <w:t>La società potrà effettuare ordini di Prodotti ai sensi del Contratto MPSA tramite il Licensing Solution Partner o il professionista delle vendite Microsoft scelto.</w:t>
      </w:r>
      <w:r w:rsidR="00D60EEB">
        <w:t xml:space="preserve"> </w:t>
      </w:r>
      <w:r>
        <w:t>Il prezzo e le condizioni di pagamento applicabili a tutti gli ordini eseguiti attraverso un Partner verranno stabiliti mediante un apposito contratto tra la società e il Partner.</w:t>
      </w:r>
      <w:r w:rsidR="00D60EEB">
        <w:t xml:space="preserve"> </w:t>
      </w:r>
      <w:r>
        <w:t>All’atto della presentazione degli ordini, la società dovrà specificare tutti i paesi in cui l’organizzazione utilizzerà i Prodotti.</w:t>
      </w:r>
    </w:p>
    <w:p w14:paraId="1696708D" w14:textId="618837EC" w:rsidR="004840AE" w:rsidRPr="001165AA" w:rsidRDefault="008E740A" w:rsidP="00E10622">
      <w:pPr>
        <w:pStyle w:val="BodyText"/>
      </w:pPr>
      <w:r>
        <w:t>In occasione di ogni ordine relativo alla copertura Software Assurance o a licenze di sottoscrizione Software, la società potrà scegliere se</w:t>
      </w:r>
      <w:r w:rsidR="005328A3">
        <w:t> </w:t>
      </w:r>
      <w:r>
        <w:t>il periodo di validità di tali licenze debba scadere il giorno prima della terza ricorrenza dell’Account per gli Acquisti oppure l’ultimo giorno di 36 mesi solari completi.</w:t>
      </w:r>
      <w:r w:rsidR="00D60EEB">
        <w:t xml:space="preserve"> </w:t>
      </w:r>
      <w:r>
        <w:t xml:space="preserve">La società potrà pagare tali licenze </w:t>
      </w:r>
      <w:r w:rsidR="00D60EEB">
        <w:t>“</w:t>
      </w:r>
      <w:r>
        <w:t>Subscription</w:t>
      </w:r>
      <w:r w:rsidR="00D60EEB">
        <w:t>”</w:t>
      </w:r>
      <w:r>
        <w:t xml:space="preserve"> (1) in toto al momento dell’ordine oppure (2) in rate annuali anticipate fatturate alla ricorrenza dell’Account per gli Acquisti o a quella dell’ordine.</w:t>
      </w:r>
    </w:p>
    <w:p w14:paraId="06E80410" w14:textId="65100D70" w:rsidR="00E04AD6" w:rsidRPr="001165AA" w:rsidRDefault="001A4514" w:rsidP="00E10622">
      <w:pPr>
        <w:pStyle w:val="BodyText"/>
      </w:pPr>
      <w:r>
        <w:t>Un ordine relativo a un nuovo periodo o a un periodo di rinnovo dei Servizi Online o di sottoscrizioni di Pacchetti potrà scadere (1) il giorno prima della successiva, della seconda o della terza ricorrenza dell’Account per gli Acquisti o (2) l’ultimo giorno di 12, 24 o 36 mesi solari completi, a seconda del periodo selezionato nell’ordine.</w:t>
      </w:r>
      <w:r w:rsidR="00D60EEB">
        <w:t xml:space="preserve"> </w:t>
      </w:r>
      <w:r>
        <w:t>Gli ordini aggiuntivi relativi a una sottoscrizione di tale Prodotto durante il periodo di validità si allineeranno automaticamente alla stessa data di scadenza.</w:t>
      </w:r>
      <w:r w:rsidR="00D60EEB">
        <w:t xml:space="preserve"> </w:t>
      </w:r>
      <w:r>
        <w:t>Microsoft potrebbe rendere disponibili solo alcune opzioni per la durata iniziale o il rinnovo del periodo di validità di una sottoscrizione, in base al Prodotto selezionato.</w:t>
      </w:r>
    </w:p>
    <w:p w14:paraId="31EA8E50" w14:textId="536EE286" w:rsidR="00E10622" w:rsidRPr="001165AA" w:rsidRDefault="001A4514" w:rsidP="00E10622">
      <w:pPr>
        <w:pStyle w:val="BodyText"/>
      </w:pPr>
      <w:r>
        <w:t>La fatturazione dei Servizi Online o delle sottoscrizioni dei Pacchetti potrà essere effettuata (1) per intero al momento dell’ordine oppure</w:t>
      </w:r>
      <w:r w:rsidR="005328A3">
        <w:t> </w:t>
      </w:r>
      <w:r>
        <w:t>(2) in rate annuali anticipate in occasione della ricorrenza dell’Account per gli Acquisti o di quella dell’ordine.</w:t>
      </w:r>
      <w:r w:rsidR="00D60EEB">
        <w:t xml:space="preserve"> </w:t>
      </w:r>
      <w:r>
        <w:t>I prezzi degli ordini aggiuntivi di una sottoscrizione saranno identici all’ordine iniziale della sottoscrizione, salvo disponibilità di una promozione più favorevole al momento dell’ordine.</w:t>
      </w:r>
      <w:r w:rsidR="00D60EEB">
        <w:t xml:space="preserve"> </w:t>
      </w:r>
      <w:r>
        <w:t>Qualora il periodo di validità della sottoscrizione sia maggiore di un anno, agli ordini aggiuntivi verrà applicato il prezzo migliore tra quelli in essere al momento dell’ordine aggiuntivo o il prezzo dell’ordine iniziale, a seconda di quale sia più favorevole.</w:t>
      </w:r>
      <w:r w:rsidR="00D60EEB">
        <w:t xml:space="preserve"> </w:t>
      </w:r>
      <w:r>
        <w:t xml:space="preserve">I prezzi vengono ridefiniti quando il periodo di validità della sottoscrizione viene rinnovato. </w:t>
      </w:r>
    </w:p>
    <w:p w14:paraId="46DEAF93" w14:textId="75C435F9" w:rsidR="00770503" w:rsidRPr="001165AA" w:rsidRDefault="00FA2ABF" w:rsidP="00E10622">
      <w:pPr>
        <w:pStyle w:val="BodyText"/>
      </w:pPr>
      <w:r>
        <w:t>In aggiunta alle opzioni specificate sopra, la società potrà ordinare alcuni Servizi Online con una sottoscrizione a breve termine.</w:t>
      </w:r>
      <w:r w:rsidR="00D60EEB">
        <w:t xml:space="preserve"> </w:t>
      </w:r>
      <w:r>
        <w:t>Le sottoscrizioni a breve termine possono durare tra uno e undici mesi senza allineamento automatico alle sottoscrizioni esistenti per lo stesso Prodotto.</w:t>
      </w:r>
      <w:r w:rsidR="00D60EEB">
        <w:t xml:space="preserve"> </w:t>
      </w:r>
      <w:r>
        <w:t>I prezzi degli ordini relativi a sottoscrizioni a breve termine sono diversi da quelli delle altre opzioni con periodo di validità e vengono fissati al momento dell’ordine.</w:t>
      </w:r>
    </w:p>
    <w:p w14:paraId="6C746BD2" w14:textId="52450916" w:rsidR="00E64636" w:rsidRPr="001165AA" w:rsidRDefault="00E64636" w:rsidP="00E64636">
      <w:pPr>
        <w:pStyle w:val="BodyText"/>
      </w:pPr>
      <w:r>
        <w:t>Qualora la società acquisti i Servizi Microsoft Azure tramite il Contratto MPSA, riceverà una fattura posticipata in base all’utilizzo dei servizi in quel periodo di fatturazione.</w:t>
      </w:r>
      <w:r w:rsidR="00D60EEB">
        <w:t xml:space="preserve"> </w:t>
      </w:r>
      <w:r>
        <w:t>Il periodo di fatturazione per i Servizi Microsoft Azure è trimestrale, allineato alla ricorrenza dell’Account per gli Acquisti, quando è stata stipulata la sottoscrizione dei Servizi Microsoft Azure.</w:t>
      </w:r>
    </w:p>
    <w:p w14:paraId="598812A0" w14:textId="00DB0D49" w:rsidR="00E770FC" w:rsidRPr="001165AA" w:rsidRDefault="00E770FC" w:rsidP="00D11874">
      <w:pPr>
        <w:pStyle w:val="BodyText"/>
      </w:pPr>
      <w:r>
        <w:t>La società potrà anche eseguire la transizione tra tipi di licenze coperte da Software Assurance o tipi di licenze “Subscription” nel Contratto MPSA ordinando Licenze Step-Up o passando da una licenza per dispositivo a una licenza per utente oppure da una licenza per utente a una licenza per dispositivo.</w:t>
      </w:r>
      <w:r w:rsidR="00D60EEB">
        <w:t xml:space="preserve"> </w:t>
      </w:r>
      <w:r>
        <w:t>Alcune di tali transizioni potranno essere effettuate al rinnovo o durante il periodo di validità della sottoscrizione della società oppure del periodo di copertura Software Assurance, ad esempio le Licenze Step-Up, mentre altre transizioni potranno essere effettuate solo al rinnovo, ad esempio il passaggio dal modello di licenza per dispositivo a quello per utente.</w:t>
      </w:r>
      <w:r w:rsidR="00D60EEB">
        <w:t xml:space="preserve"> </w:t>
      </w:r>
      <w:r>
        <w:t>Per ulteriori informazioni sulle opzioni relative alle transizioni, la società dovrà contattare il Partner o il professionista delle vendite Microsoft.</w:t>
      </w:r>
    </w:p>
    <w:p w14:paraId="0E6252FB" w14:textId="501BF112" w:rsidR="00D11874" w:rsidRPr="001165AA" w:rsidRDefault="00EF3BBE" w:rsidP="00D11874">
      <w:pPr>
        <w:pStyle w:val="BodyText"/>
      </w:pPr>
      <w:r>
        <w:t xml:space="preserve">Altre opzioni per la fatturazione e l’allineamento degli ordini potranno essere rese disponibili in futuro tramite il Contratto MPSA. </w:t>
      </w:r>
    </w:p>
    <w:p w14:paraId="6D161856" w14:textId="23BEE004" w:rsidR="00A90CD0" w:rsidRPr="001165AA" w:rsidRDefault="00A90CD0" w:rsidP="00D11874">
      <w:pPr>
        <w:pStyle w:val="BodyText"/>
      </w:pPr>
      <w:r>
        <w:t>Successivamente alla data di accettazione della registrazione da parte di Microsoft dell’Account per gli Acquisti, la società potrà utilizzare qualsiasi Prodotto come se l’avesse ottenuto in licenza ai sensi del Contratto MPSA, purché inoltri un ordine di un numero di licenze sufficiente a consentire l’utilizzo del Prodotto da parte della società nello stesso mese solare in cui viene usato per la prima volta.</w:t>
      </w:r>
      <w:r w:rsidR="00D60EEB">
        <w:t xml:space="preserve"> </w:t>
      </w:r>
      <w:r>
        <w:t>Nel caso di quantità aggiuntive di un Prodotto con licenza, la società dovrà presentare un ordine nel mese in cui tali quantità vengono utilizzate per la prima volta.</w:t>
      </w:r>
      <w:r w:rsidR="00D60EEB">
        <w:t xml:space="preserve"> </w:t>
      </w:r>
      <w:r>
        <w:t>Per le sottoscrizioni dei Servizi Online che richiedono un ordine di riconciliazione, la società può trovare i report relativi a tali quantità tramite il Microsoft Business Center o con l’ausilio del Partner o del professionista delle vendite Microsoft.</w:t>
      </w:r>
      <w:r w:rsidR="00D60EEB">
        <w:t xml:space="preserve"> </w:t>
      </w:r>
    </w:p>
    <w:p w14:paraId="03B07B14" w14:textId="0C20A168" w:rsidR="0037779D" w:rsidRPr="001165AA" w:rsidRDefault="00D84DF6" w:rsidP="00D11874">
      <w:pPr>
        <w:pStyle w:val="BodyText"/>
      </w:pPr>
      <w:r>
        <w:t>Microsoft potrà cambiare i Prodotti disponibili ai sensi del Contratto MPSA e potrà rifiutare di accettare un ordine, qualora tale rifiuto sia giustificato da ragionevoli motivi commerciali.</w:t>
      </w:r>
    </w:p>
    <w:p w14:paraId="246E6E08" w14:textId="08DAC67A" w:rsidR="0037779D" w:rsidRPr="001165AA" w:rsidRDefault="00D84DF6" w:rsidP="002123CF">
      <w:pPr>
        <w:pStyle w:val="BodyText"/>
      </w:pPr>
      <w:r>
        <w:lastRenderedPageBreak/>
        <w:t xml:space="preserve">Informazioni riguardanti ordini ricevuti ed elaborati da Microsoft sono disponibili presso il Partner o il Microsoft Business Center all’indirizzo </w:t>
      </w:r>
      <w:hyperlink r:id="rId22" w:history="1">
        <w:r>
          <w:rPr>
            <w:rStyle w:val="Hyperlink"/>
          </w:rPr>
          <w:t>https://licensing.microsoft.com/customer</w:t>
        </w:r>
      </w:hyperlink>
      <w:r w:rsidRPr="006B51E9">
        <w:rPr>
          <w:color w:val="auto"/>
        </w:rPr>
        <w:t>.</w:t>
      </w:r>
      <w:r w:rsidR="00D60EEB">
        <w:t xml:space="preserve"> </w:t>
      </w:r>
      <w:r>
        <w:t>Una volta registrato, al contatto dell’Account per gli Acquisti verrà consentito l’accesso al Microsoft Business Center e l’account designato dell’Amministratore del Contratto potrà accedere alle informazioni presenti in tutti gli Account per gli Acquisti.</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4598"/>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Articolo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4599"/>
      <w:r>
        <w:rPr>
          <w:rFonts w:asciiTheme="majorHAnsi" w:eastAsiaTheme="majorEastAsia" w:hAnsiTheme="majorHAnsi" w:cstheme="majorBidi"/>
          <w:bCs/>
          <w:color w:val="8064A2" w:themeColor="accent4"/>
          <w:sz w:val="28"/>
          <w:szCs w:val="26"/>
        </w:rPr>
        <w:t>Creazione di copie di Prodotti e diritti di re-imaging</w:t>
      </w:r>
      <w:bookmarkEnd w:id="49"/>
      <w:bookmarkEnd w:id="50"/>
      <w:bookmarkEnd w:id="51"/>
    </w:p>
    <w:p w14:paraId="79584FC7" w14:textId="4153317A" w:rsidR="00D23B42" w:rsidRPr="001165AA" w:rsidRDefault="00D23B42" w:rsidP="00D23B42">
      <w:pPr>
        <w:spacing w:before="120" w:line="240" w:lineRule="auto"/>
      </w:pPr>
      <w:r>
        <w:rPr>
          <w:rFonts w:eastAsia="Times New Roman" w:cs="Times New Roman"/>
          <w:color w:val="505050"/>
          <w:szCs w:val="20"/>
        </w:rPr>
        <w:t>Gli Account per gli Acquisti</w:t>
      </w:r>
      <w:r>
        <w:t xml:space="preserve"> </w:t>
      </w:r>
      <w:r>
        <w:rPr>
          <w:rFonts w:eastAsia="Times New Roman" w:cs="Times New Roman"/>
          <w:color w:val="505050"/>
          <w:szCs w:val="20"/>
        </w:rPr>
        <w:t>registrati potranno effettuare il numero di copie dei Prodotti di cui hanno necessità per distribuirle all’interno della società.</w:t>
      </w:r>
      <w:r w:rsidR="00D60EEB">
        <w:rPr>
          <w:rFonts w:eastAsia="Times New Roman" w:cs="Times New Roman"/>
          <w:color w:val="505050"/>
          <w:szCs w:val="20"/>
        </w:rPr>
        <w:t xml:space="preserve"> </w:t>
      </w:r>
      <w:r>
        <w:rPr>
          <w:rFonts w:eastAsia="Times New Roman" w:cs="Times New Roman"/>
          <w:color w:val="505050"/>
          <w:szCs w:val="20"/>
        </w:rPr>
        <w:t>Le copie dovranno essere autentiche ed integrali (incluse le informazioni sul copyright e i marchi) ed effettuate da copie principali ottenute da una fonte di rete approvata da Microsoft.</w:t>
      </w:r>
      <w:r w:rsidR="00D60EEB">
        <w:rPr>
          <w:rFonts w:eastAsia="Times New Roman" w:cs="Times New Roman"/>
          <w:color w:val="505050"/>
          <w:szCs w:val="20"/>
        </w:rPr>
        <w:t xml:space="preserve"> </w:t>
      </w:r>
      <w:r>
        <w:rPr>
          <w:rFonts w:eastAsia="Times New Roman" w:cs="Times New Roman"/>
          <w:color w:val="505050"/>
          <w:szCs w:val="20"/>
        </w:rPr>
        <w:t>Gli Account per gli Acquisti potranno ricorrere a un terzo per effettuare tali copie; tuttavia la società e i propri account rimangono responsabili delle azioni di tale terzo.</w:t>
      </w:r>
      <w:r w:rsidR="00D60EEB">
        <w:t xml:space="preserve"> </w:t>
      </w:r>
    </w:p>
    <w:p w14:paraId="4BF978AF" w14:textId="05C56CF4" w:rsidR="00D23B42" w:rsidRPr="001165AA" w:rsidRDefault="00D23B42" w:rsidP="00D23B42">
      <w:pPr>
        <w:spacing w:before="120" w:line="240" w:lineRule="auto"/>
      </w:pPr>
      <w:r>
        <w:rPr>
          <w:rFonts w:eastAsia="Times New Roman" w:cs="Times New Roman"/>
          <w:color w:val="505050"/>
          <w:szCs w:val="20"/>
        </w:rPr>
        <w:t>In alcuni casi il re-imaging è consentito utilizzando i supporti di memorizzazione del Prodotto.</w:t>
      </w:r>
      <w:r w:rsidR="00D60EEB">
        <w:rPr>
          <w:rFonts w:eastAsia="Times New Roman" w:cs="Times New Roman"/>
          <w:color w:val="505050"/>
          <w:szCs w:val="20"/>
        </w:rPr>
        <w:t xml:space="preserve"> </w:t>
      </w:r>
      <w:r>
        <w:rPr>
          <w:rFonts w:eastAsia="Times New Roman" w:cs="Times New Roman"/>
          <w:color w:val="505050"/>
          <w:szCs w:val="20"/>
        </w:rPr>
        <w:t>Qualora un Prodotto sia stato ricevuto in</w:t>
      </w:r>
      <w:r w:rsidR="005328A3">
        <w:rPr>
          <w:rFonts w:eastAsia="Times New Roman" w:cs="Times New Roman"/>
          <w:color w:val="505050"/>
          <w:szCs w:val="20"/>
        </w:rPr>
        <w:t> </w:t>
      </w:r>
      <w:r>
        <w:rPr>
          <w:rFonts w:eastAsia="Times New Roman" w:cs="Times New Roman"/>
          <w:color w:val="505050"/>
          <w:szCs w:val="20"/>
        </w:rPr>
        <w:t>licenza (1) da un Original Equipment Manufacturer (OEM), (2) come “Full Packaged Product” o “FPP” attraverso un rivenditore oppure (3)</w:t>
      </w:r>
      <w:r w:rsidR="005328A3">
        <w:rPr>
          <w:rFonts w:eastAsia="Times New Roman" w:cs="Times New Roman"/>
          <w:color w:val="505050"/>
          <w:szCs w:val="20"/>
        </w:rPr>
        <w:t> </w:t>
      </w:r>
      <w:r>
        <w:rPr>
          <w:rFonts w:eastAsia="Times New Roman" w:cs="Times New Roman"/>
          <w:color w:val="505050"/>
          <w:szCs w:val="20"/>
        </w:rPr>
        <w:t>ai sensi di un altro programma Microsoft, i supporti di memorizzazione forniti ai sensi del Contratto MPSA potranno essere a livello generale impiegati per creare immagini da utilizzare in sostituzione delle copie ricevute tramite tale fonte distinta.</w:t>
      </w:r>
      <w:r w:rsidR="00D60EEB">
        <w:rPr>
          <w:rFonts w:eastAsia="Times New Roman" w:cs="Times New Roman"/>
          <w:color w:val="505050"/>
          <w:szCs w:val="20"/>
        </w:rPr>
        <w:t xml:space="preserve"> </w:t>
      </w:r>
      <w:r>
        <w:rPr>
          <w:rFonts w:eastAsia="Times New Roman" w:cs="Times New Roman"/>
          <w:color w:val="505050"/>
          <w:szCs w:val="20"/>
        </w:rPr>
        <w:t>Il presente diritto è subordinato a quanto segue:</w:t>
      </w:r>
    </w:p>
    <w:p w14:paraId="3C97A0EC" w14:textId="77777777" w:rsidR="00D23B42" w:rsidRPr="001165AA" w:rsidRDefault="00D23B42" w:rsidP="00D23B42">
      <w:pPr>
        <w:pStyle w:val="BodyText"/>
        <w:numPr>
          <w:ilvl w:val="0"/>
          <w:numId w:val="16"/>
        </w:numPr>
        <w:spacing w:after="0"/>
      </w:pPr>
      <w:r>
        <w:t>Avere acquistato licenze specifiche da tale fonte distinta per ogni Prodotto di cui è stato effettuato il re-imaging.</w:t>
      </w:r>
    </w:p>
    <w:p w14:paraId="2005654A" w14:textId="77777777" w:rsidR="00D23B42" w:rsidRPr="001165AA" w:rsidRDefault="00D23B42" w:rsidP="00D23B42">
      <w:pPr>
        <w:pStyle w:val="BodyText"/>
        <w:numPr>
          <w:ilvl w:val="0"/>
          <w:numId w:val="16"/>
        </w:numPr>
        <w:spacing w:after="0"/>
      </w:pPr>
      <w:r>
        <w:t>il Prodotto, la lingua, la versione e i componenti delle copie dovranno essere identici al Prodotto, alla lingua, alla versione e a tutti i componenti delle copie che sostituiscono e il numero delle copie o delle istanze del Prodotto di cui è stato effettuato il re-imaging resterà uguale.</w:t>
      </w:r>
    </w:p>
    <w:p w14:paraId="0A0B7C69" w14:textId="3ED72F45" w:rsidR="00D23B42" w:rsidRPr="001165AA" w:rsidRDefault="00D23B42" w:rsidP="00D23B42">
      <w:pPr>
        <w:pStyle w:val="BodyText"/>
        <w:numPr>
          <w:ilvl w:val="0"/>
          <w:numId w:val="16"/>
        </w:numPr>
        <w:spacing w:after="0"/>
      </w:pPr>
      <w:r>
        <w:t>Fatta eccezione per le copie di un sistema operativo e le copie di Prodotti ottenuti in licenza in base a un altro programma Microsoft, il tipo di Prodotto (</w:t>
      </w:r>
      <w:r>
        <w:rPr>
          <w:i/>
        </w:rPr>
        <w:t>ad esempio</w:t>
      </w:r>
      <w:r>
        <w:t xml:space="preserve"> la licenza di aggiornamento o la licenza completa) di cui è stato effettuato il re-imaging dovrà essere uguale al tipo di Prodotto ottenuto in licenza da tale fonte distinta.</w:t>
      </w:r>
    </w:p>
    <w:p w14:paraId="75B08848" w14:textId="2276119B" w:rsidR="00D23B42" w:rsidRPr="001165AA" w:rsidRDefault="00D23B42" w:rsidP="00D23B42">
      <w:pPr>
        <w:pStyle w:val="BodyText"/>
        <w:numPr>
          <w:ilvl w:val="0"/>
          <w:numId w:val="16"/>
        </w:numPr>
        <w:spacing w:after="0"/>
      </w:pPr>
      <w:r>
        <w:t>L’Account per gli Acquisti dovrà attenersi alle procedure o ai requisiti specifici dei Prodotti per il re-imaging indicati nelle Condizioni per l’Utilizzo dei Prodotti.</w:t>
      </w:r>
    </w:p>
    <w:p w14:paraId="10691E95" w14:textId="28B8B17A" w:rsidR="00D23B42" w:rsidRPr="001165AA" w:rsidRDefault="00D23B42" w:rsidP="00D23B42">
      <w:pPr>
        <w:pStyle w:val="BodyText"/>
        <w:numPr>
          <w:ilvl w:val="0"/>
          <w:numId w:val="16"/>
        </w:numPr>
        <w:spacing w:after="0"/>
      </w:pPr>
      <w:r>
        <w:t>I Prodotti di cui è stato effettuato il re-imaging rimangono soggetti alle condizioni e ai diritti di utilizzo della licenza acquistata tramite la fonte distinta.</w:t>
      </w:r>
      <w:r w:rsidR="00D60EEB">
        <w:t xml:space="preserve"> </w:t>
      </w:r>
    </w:p>
    <w:p w14:paraId="2BC6E750" w14:textId="75A011C4" w:rsidR="00D23B42" w:rsidRPr="001165AA" w:rsidRDefault="00D23B42" w:rsidP="00D23B42">
      <w:pPr>
        <w:pStyle w:val="Thirdheading"/>
      </w:pPr>
      <w:r>
        <w:rPr>
          <w:b/>
        </w:rPr>
        <w:t>Creazione di copie per formazione, valutazione e backup</w:t>
      </w:r>
      <w:r w:rsidR="00D60EEB">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Per tutti i Prodotti, ad esclusione dei Servizi Online, ciascun Account per gli Acquisti potrà (1) utilizzare fino a 20 copie gratuite di un Prodotto ottenuto in licenza in un’aula didattica dedicata all’interno dei propri locali allo scopo di fornire corsi di formazione su quel particolare Prodotto, (2) utilizzare fino a 10 copie gratuite di un Prodotto per un periodo di valutazione di 60 giorni e (3) utilizzare una copia gratuita di un Prodotto ottenuto in licenza ai fini di backup o di archivio per ognuna delle sue sedi.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4600"/>
      <w:r>
        <w:rPr>
          <w:rFonts w:asciiTheme="majorHAnsi" w:eastAsiaTheme="majorEastAsia" w:hAnsiTheme="majorHAnsi" w:cstheme="majorBidi"/>
          <w:bCs/>
          <w:color w:val="8064A2" w:themeColor="accent4"/>
          <w:sz w:val="28"/>
          <w:szCs w:val="26"/>
        </w:rPr>
        <w:t>Procedura per il Trasferimento di Licenze</w:t>
      </w:r>
      <w:bookmarkEnd w:id="52"/>
      <w:bookmarkEnd w:id="53"/>
      <w:bookmarkEnd w:id="54"/>
    </w:p>
    <w:p w14:paraId="2067A699" w14:textId="7A0EC0F0" w:rsidR="0053246B" w:rsidRPr="001165AA" w:rsidRDefault="00D23B42" w:rsidP="00D23B42">
      <w:pPr>
        <w:pStyle w:val="BodyText"/>
      </w:pPr>
      <w:r>
        <w:t xml:space="preserve">La società dovrà comunicare a Microsoft il trasferimento di una licenza completando il relativo modulo che può essere scaricato all’indirizzo </w:t>
      </w:r>
      <w:hyperlink r:id="rId23" w:history="1">
        <w:r>
          <w:rPr>
            <w:rStyle w:val="Hyperlink"/>
          </w:rPr>
          <w:t>http://www.microsoft.com/licensing/contracts</w:t>
        </w:r>
      </w:hyperlink>
      <w:r>
        <w:t xml:space="preserve"> e inviandolo compilato a Microsoft prima del trasferimento della licenza.</w:t>
      </w:r>
      <w:r w:rsidR="00D60EEB">
        <w:t xml:space="preserve"> </w:t>
      </w:r>
      <w:r>
        <w:t>Nessun trasferimento di licenza sarà valido se la società non fornirà al cessionario, e il cessionario non accetterà per iscritto, i Diritti di Utilizzo del Prodotto applicabili, le limitazioni relative all’utilizzo, le limitazioni di responsabilità (incluse le disposizioni attinenti alle esclusioni e alla garanzia) e le limitazioni relative al trasferimento previste nel presente Articolo.</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4601"/>
      <w:r>
        <w:rPr>
          <w:rFonts w:asciiTheme="majorHAnsi" w:eastAsiaTheme="majorEastAsia" w:hAnsiTheme="majorHAnsi" w:cstheme="majorBidi"/>
          <w:bCs/>
          <w:color w:val="8064A2" w:themeColor="accent4"/>
          <w:sz w:val="28"/>
          <w:szCs w:val="26"/>
        </w:rPr>
        <w:t xml:space="preserve">Procedura per la Verifica relativa all’Utilizzo dei Prodotti e </w:t>
      </w:r>
      <w:r>
        <w:rPr>
          <w:rFonts w:asciiTheme="majorHAnsi" w:eastAsiaTheme="majorEastAsia" w:hAnsiTheme="majorHAnsi"/>
          <w:color w:val="8064A2" w:themeColor="accent4"/>
          <w:sz w:val="28"/>
        </w:rPr>
        <w:t>Limitazioni</w:t>
      </w:r>
      <w:bookmarkEnd w:id="55"/>
      <w:r>
        <w:rPr>
          <w:rFonts w:asciiTheme="majorHAnsi" w:eastAsiaTheme="majorEastAsia" w:hAnsiTheme="majorHAnsi"/>
          <w:color w:val="8064A2" w:themeColor="accent4"/>
          <w:sz w:val="28"/>
        </w:rPr>
        <w:t xml:space="preserve"> </w:t>
      </w:r>
    </w:p>
    <w:p w14:paraId="26061F69" w14:textId="4D2C0C8E" w:rsidR="00D23B42" w:rsidRPr="001165AA" w:rsidRDefault="00577E2B" w:rsidP="00754E04">
      <w:pPr>
        <w:pStyle w:val="BodyText"/>
      </w:pPr>
      <w:r>
        <w:t>Microsoft comunicherà alla società con un preavviso di almeno 30 giorni la propria intenzione di verificare la conformità alle condizioni della licenza per quanto riguarda i Prodotti che la società stessa e le sue Consociate utilizzano o distribuiscono.</w:t>
      </w:r>
      <w:r w:rsidR="00D60EEB">
        <w:t xml:space="preserve"> </w:t>
      </w:r>
      <w:r>
        <w:t>Microsoft si avvarrà di un revisore indipendente, soggetto all’obbligazione di riservatezza.</w:t>
      </w:r>
      <w:r w:rsidR="00D60EEB">
        <w:t xml:space="preserve"> </w:t>
      </w:r>
      <w:r>
        <w:t>Le eventuali informazioni raccolte durante la procedura di self-audit verranno usate unicamente allo scopo di verificare l’utilizzo conforme dei Prodotti.</w:t>
      </w:r>
      <w:r w:rsidR="00D60EEB">
        <w:t xml:space="preserve"> </w:t>
      </w:r>
      <w:r>
        <w:t xml:space="preserve">Tale verifica verrà eseguita durante il normale orario di lavoro e in modo da non interferire irragionevolmente con lo svolgimento dell’attività della società.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4602"/>
      <w:bookmarkStart w:id="57" w:name="_Toc403380325"/>
      <w:bookmarkStart w:id="58" w:name="_Toc403985043"/>
      <w:r>
        <w:rPr>
          <w:rFonts w:asciiTheme="majorHAnsi" w:eastAsiaTheme="majorEastAsia" w:hAnsiTheme="majorHAnsi" w:cstheme="majorBidi"/>
          <w:bCs/>
          <w:color w:val="8064A2" w:themeColor="accent4"/>
          <w:sz w:val="28"/>
          <w:szCs w:val="26"/>
        </w:rPr>
        <w:lastRenderedPageBreak/>
        <w:t>Dismissione</w:t>
      </w:r>
      <w:bookmarkEnd w:id="56"/>
    </w:p>
    <w:p w14:paraId="49773C0E" w14:textId="45A30E47" w:rsidR="003C0DC6" w:rsidRPr="001165AA" w:rsidRDefault="003C0DC6" w:rsidP="00754E04">
      <w:pPr>
        <w:pStyle w:val="BodyText"/>
      </w:pPr>
      <w:r>
        <w:t>Nel caso in cui la società intenda trasferire più del dieci per cento delle proprie licenze in relazione a una procedura di dismissione di una Consociata, di una divisione operativa o di una delle divisioni operative della Consociata, Microsoft coopererà in buona fede per consentire tale trasferimento.</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4603"/>
      <w:r w:rsidRPr="005328A3">
        <w:rPr>
          <w:rFonts w:asciiTheme="majorHAnsi" w:eastAsiaTheme="majorEastAsia" w:hAnsiTheme="majorHAnsi" w:cstheme="majorBidi"/>
          <w:bCs/>
          <w:color w:val="8064A2" w:themeColor="accent4"/>
          <w:sz w:val="28"/>
          <w:szCs w:val="26"/>
        </w:rPr>
        <w:t>Calamità Naturali</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In caso di “calamità naturali”, Microsoft potrà fornire assistenza o diritti aggiuntivi pubblicandoli in quel momento specifico sul sito </w:t>
      </w:r>
      <w:hyperlink r:id="rId24" w:history="1">
        <w:r>
          <w:rPr>
            <w:rStyle w:val="Hyperlink"/>
          </w:rPr>
          <w:t>http://www.microsoft.com</w:t>
        </w:r>
      </w:hyperlink>
      <w:r w:rsidRPr="006B51E9">
        <w:rPr>
          <w:color w:val="auto"/>
        </w:rPr>
        <w:t>.</w:t>
      </w:r>
    </w:p>
    <w:p w14:paraId="541E496D" w14:textId="559D9BCB" w:rsidR="00D23B42" w:rsidRPr="001165AA" w:rsidRDefault="00D23B42" w:rsidP="00CC6A48">
      <w:pPr>
        <w:pStyle w:val="Hdg1noborder"/>
      </w:pPr>
      <w:bookmarkStart w:id="60" w:name="_Toc403380326"/>
      <w:bookmarkStart w:id="61" w:name="_Toc403985044"/>
      <w:bookmarkStart w:id="62" w:name="_Toc457854604"/>
      <w:r>
        <w:t xml:space="preserve">Articolo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4605"/>
      <w:r>
        <w:rPr>
          <w:rFonts w:asciiTheme="majorHAnsi" w:eastAsiaTheme="majorEastAsia" w:hAnsiTheme="majorHAnsi" w:cstheme="majorBidi"/>
          <w:color w:val="8064A2" w:themeColor="accent4"/>
          <w:sz w:val="28"/>
          <w:szCs w:val="26"/>
        </w:rPr>
        <w:t>Modifiche apportate al Manuale delle Licenze negli ultimi 12 mesi</w:t>
      </w:r>
      <w:bookmarkEnd w:id="63"/>
      <w:bookmarkEnd w:id="64"/>
      <w:bookmarkEnd w:id="65"/>
    </w:p>
    <w:p w14:paraId="001EC066" w14:textId="163F82C4" w:rsidR="00884731" w:rsidRPr="001165AA" w:rsidRDefault="008B5155" w:rsidP="00884731">
      <w:pPr>
        <w:pStyle w:val="BodyText"/>
        <w:numPr>
          <w:ilvl w:val="0"/>
          <w:numId w:val="16"/>
        </w:numPr>
        <w:spacing w:after="0"/>
      </w:pPr>
      <w:r>
        <w:t>Agosto 2016: aggiornamento per indicare la rimozione di contenuto relativo a Software Assurance dal Manuale delle Licenze, la disponibilità del Microsoft Business Center (in precedenza noto come Volume Licensing Center) per tutte le società, la possibilità di acquistare Licenze Step-Up e altre transizioni ai sensi del Contratto MPSA e testi più chiari sulla base dei commenti delle società.</w:t>
      </w:r>
      <w:r w:rsidR="00D60EEB">
        <w:t xml:space="preserve"> </w:t>
      </w:r>
      <w:r>
        <w:t>Le condizioni che disciplinano la copertura Software Assurance acquistata dalla società ai sensi del Contratto MPSA sono indicate nelle Condizioni per l’Utilizzo dei Prodotti.</w:t>
      </w:r>
    </w:p>
    <w:p w14:paraId="39F904CA" w14:textId="534CD9F0" w:rsidR="00D6443C" w:rsidRPr="001165AA" w:rsidRDefault="00D6443C" w:rsidP="00F83C1F">
      <w:pPr>
        <w:pStyle w:val="BodyText"/>
        <w:numPr>
          <w:ilvl w:val="0"/>
          <w:numId w:val="16"/>
        </w:numPr>
        <w:spacing w:after="0"/>
      </w:pPr>
      <w:r>
        <w:t>Marzo 2016: aggiornamento per indicare la disponibilità del nuovo portale clienti in alcune sedi (“Microsoft Business Center”), il supporto annuale per le sottoscrizioni, l’aggiunta dell’opzione con sottoscrizione a breve termine per alcuni Prodotti e testi più chiari sulla base dei commenti delle società.</w:t>
      </w:r>
    </w:p>
    <w:p w14:paraId="402A1F99" w14:textId="12F509BD" w:rsidR="00686E90" w:rsidRPr="001165AA" w:rsidRDefault="00686E90" w:rsidP="00F83C1F">
      <w:pPr>
        <w:pStyle w:val="BodyText"/>
        <w:numPr>
          <w:ilvl w:val="0"/>
          <w:numId w:val="16"/>
        </w:numPr>
        <w:spacing w:after="0"/>
      </w:pPr>
      <w:r>
        <w:t>Agosto 2015: aggiornamento per indicare le opzioni di acquisto aggiuntive dei Servizi Azure, dei Servizi Online e dei Pacchetti e</w:t>
      </w:r>
      <w:r w:rsidR="005328A3">
        <w:t> </w:t>
      </w:r>
      <w:r>
        <w:t>per</w:t>
      </w:r>
      <w:r w:rsidR="005328A3">
        <w:t> </w:t>
      </w:r>
      <w:r>
        <w:t>fare riferimento al documento Condizioni per l’Utilizzo dei Prodotti e allinearsi ad esso.</w:t>
      </w:r>
      <w:r w:rsidR="00D60EEB">
        <w:t xml:space="preserve"> </w:t>
      </w:r>
      <w:r>
        <w:t xml:space="preserve">Con decorrenza 1° luglio 2015 le Condizioni per l’Utilizzo dei Prodotti hanno sostituito sia la Lista dei Prodotti che i Diritti di Utilizzo del Prodotto (Product Use Rights o “PUR”).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4606"/>
      <w:r>
        <w:lastRenderedPageBreak/>
        <w:t>Appendice</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4607"/>
      <w:bookmarkStart w:id="71" w:name="_Toc403380329"/>
      <w:r>
        <w:rPr>
          <w:rFonts w:asciiTheme="majorHAnsi" w:eastAsiaTheme="majorEastAsia" w:hAnsiTheme="majorHAnsi" w:cstheme="majorBidi"/>
          <w:bCs/>
          <w:color w:val="8064A2" w:themeColor="accent4"/>
          <w:sz w:val="28"/>
          <w:szCs w:val="26"/>
        </w:rPr>
        <w:t>Definizione di</w:t>
      </w:r>
      <w:r>
        <w:rPr>
          <w:rFonts w:asciiTheme="majorHAnsi" w:eastAsiaTheme="majorEastAsia" w:hAnsiTheme="majorHAnsi" w:cstheme="majorBidi"/>
          <w:color w:val="8064A2" w:themeColor="accent4"/>
          <w:sz w:val="28"/>
          <w:szCs w:val="26"/>
        </w:rPr>
        <w:t>Regioni</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0F84BF4C" w:rsidR="0074401C" w:rsidRPr="001165AA" w:rsidRDefault="0074401C" w:rsidP="00D7507A">
      <w:pPr>
        <w:pStyle w:val="BodyText"/>
      </w:pPr>
      <w:r>
        <w:t>L’elenco che segue presenta i paesi</w:t>
      </w:r>
      <w:r>
        <w:rPr>
          <w:color w:val="1F497D"/>
        </w:rPr>
        <w:t xml:space="preserve">, le </w:t>
      </w:r>
      <w:r>
        <w:t>regioni o i territori</w:t>
      </w:r>
      <w:r>
        <w:rPr>
          <w:color w:val="FF0000"/>
        </w:rPr>
        <w:t xml:space="preserve"> </w:t>
      </w:r>
      <w:r>
        <w:t>che rientrano nella definizione che Microsoft dà dell’Area EMEA (Europa, Medio Oriente e Africa), dei quali potranno esservi riferimenti in alcune Condizioni del Paese per i Tipi di Account per gli Acquisti.</w:t>
      </w:r>
      <w:r w:rsidR="00D60EEB">
        <w:t xml:space="preserve"> </w:t>
      </w:r>
      <w:r>
        <w:t>Il Contratto MPSA potrebbe non essere disponibile in tutti i paesi.</w:t>
      </w:r>
    </w:p>
    <w:p w14:paraId="3A80FA13" w14:textId="37A99DEB" w:rsidR="003B5822" w:rsidRPr="001165AA" w:rsidRDefault="00632BEC" w:rsidP="003B5822">
      <w:pPr>
        <w:pStyle w:val="BodyText"/>
      </w:pPr>
      <w:r>
        <w:rPr>
          <w:sz w:val="14"/>
        </w:rPr>
        <w:t>Afghanistan, Albania, Algeria, Andorra, Angola, Arabia Saudita, Armenia, Austria, Azerbaigian, Bahrein, Belarus, Belgio, Benin, Bosnia ed Erzegovina, Botswana, Bulgaria, Burkina Faso, Burundi, Camerun, Capo Verde, Ciad, Cipro, Comore, Congo, Congo (RDC), Côte d’Ivoire (Costa d’Avorio), Croazia, Danimarca, Egitto, Emirati Arabi Uniti, Eritrea, Estonia, Etiopia, Finlandia, Francia, Gabon, Gambia, Georgia, Germania, Ghana, Gibuti, Giordania, Grecia, Guinea, Guinea-Bissau, Guinea Equatoriale, Iraq, Irlanda, Islanda, Israele, Italia, Kazakhstan, Kenya, Kirghizistan, Kuwait, Lettonia, Libano, Libia, Liechtenstein, Lituania, Lussemburgo, Macedonia, Madagascar, Malawi, Mali, Malta, Marocco, Mauritania, Mauritius, Moldova, Monaco, Mongolia, Montenegro, Mozambico, Namibia, Niger, Nigeria, Norvegia, Nuova Caledonia, Oman, Paesi Bassi, Pakistan, Polinesia Francese, Polonia, Portogallo, Qatar, Regno Unito, Repubblica Ceca, Repubblica Centrafricana, Romania, Ruanda, Russia, San Marino, Santa Sede (Città del Vaticano), Senegal, Serbia, Seychelles, Sierra Leone, Siria, Slovacchia, Slovenia, Somalia, Spagna, Sudafrica, Sudan del Sud, Svezia, Svizzera, Tagikistan, Tanzania, Togo, Tunisia, Turchia, Turkmenistan, Ucraina, Uganda, Ungheria, Uzbekistan, Yemen, Zambia e Zimbabwe</w:t>
      </w:r>
      <w:r w:rsidRPr="008F56E9">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0963CF" w14:textId="77777777" w:rsidR="00157ED6" w:rsidRDefault="00157ED6" w:rsidP="00B85670">
      <w:pPr>
        <w:spacing w:line="240" w:lineRule="auto"/>
      </w:pPr>
      <w:r>
        <w:separator/>
      </w:r>
    </w:p>
  </w:endnote>
  <w:endnote w:type="continuationSeparator" w:id="0">
    <w:p w14:paraId="7EA2DC70" w14:textId="77777777" w:rsidR="00157ED6" w:rsidRDefault="00157ED6" w:rsidP="00B85670">
      <w:pPr>
        <w:spacing w:line="240" w:lineRule="auto"/>
      </w:pPr>
      <w:r>
        <w:continuationSeparator/>
      </w:r>
    </w:p>
  </w:endnote>
  <w:endnote w:type="continuationNotice" w:id="1">
    <w:p w14:paraId="2BFBE308" w14:textId="77777777" w:rsidR="00157ED6" w:rsidRDefault="00157ED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428D4" w14:textId="77777777" w:rsidR="00391830" w:rsidRDefault="003918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A9A9D" w14:textId="77777777" w:rsidR="00391830" w:rsidRDefault="0039183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389F8258" w:rsidR="0092123D" w:rsidRPr="006B51E9" w:rsidRDefault="0092123D" w:rsidP="00BD5A0B">
    <w:pPr>
      <w:pStyle w:val="Footer"/>
      <w:tabs>
        <w:tab w:val="clear" w:pos="4680"/>
        <w:tab w:val="clear" w:pos="9360"/>
        <w:tab w:val="right" w:pos="10800"/>
      </w:tabs>
      <w:rPr>
        <w:sz w:val="16"/>
        <w:szCs w:val="16"/>
        <w:lang w:val="en-US" w:eastAsia="en-US" w:bidi="ar-SA"/>
      </w:rPr>
    </w:pPr>
    <w:r w:rsidRPr="006B51E9">
      <w:rPr>
        <w:sz w:val="16"/>
        <w:szCs w:val="16"/>
        <w:lang w:val="en-US" w:eastAsia="en-US" w:bidi="ar-SA"/>
      </w:rPr>
      <w:t>© 2016 Microsoft Corporation.</w:t>
    </w:r>
    <w:r w:rsidR="00D60EEB" w:rsidRPr="006B51E9">
      <w:rPr>
        <w:sz w:val="16"/>
        <w:szCs w:val="16"/>
        <w:lang w:val="en-US" w:eastAsia="en-US" w:bidi="ar-SA"/>
      </w:rPr>
      <w:t xml:space="preserve"> </w:t>
    </w:r>
    <w:r w:rsidRPr="006B51E9">
      <w:rPr>
        <w:sz w:val="16"/>
        <w:szCs w:val="16"/>
        <w:lang w:val="en-US" w:eastAsia="en-US" w:bidi="ar-SA"/>
      </w:rPr>
      <w:t>All rights reserved.</w:t>
    </w:r>
  </w:p>
  <w:p w14:paraId="3AE7A789" w14:textId="547A47EA" w:rsidR="0092123D" w:rsidRPr="00F90F7D" w:rsidRDefault="0092123D" w:rsidP="00BD5A0B">
    <w:pPr>
      <w:pStyle w:val="Footer"/>
      <w:tabs>
        <w:tab w:val="clear" w:pos="4680"/>
        <w:tab w:val="clear" w:pos="9360"/>
        <w:tab w:val="right" w:pos="10800"/>
      </w:tabs>
      <w:rPr>
        <w:rStyle w:val="LogoportDoNotTranslate"/>
      </w:rPr>
    </w:pPr>
    <w:r w:rsidRPr="006B51E9">
      <w:rPr>
        <w:sz w:val="16"/>
        <w:szCs w:val="16"/>
        <w:lang w:val="en-US" w:eastAsia="en-US" w:bidi="ar-SA"/>
      </w:rPr>
      <w:t>Microsoft is a registered trademark of Microsoft Corporation in the United States and/or other countries</w:t>
    </w:r>
    <w:r>
      <w:rPr>
        <w:rStyle w:val="LogoportDoNotTranslate"/>
      </w:rPr>
      <w:tab/>
    </w:r>
    <w:r w:rsidRPr="006B51E9">
      <w:rPr>
        <w:szCs w:val="18"/>
        <w:lang w:val="en-US" w:eastAsia="en-US" w:bidi="ar-SA"/>
      </w:rPr>
      <w:fldChar w:fldCharType="begin"/>
    </w:r>
    <w:r w:rsidRPr="006B51E9">
      <w:rPr>
        <w:szCs w:val="18"/>
        <w:lang w:val="en-US" w:eastAsia="en-US" w:bidi="ar-SA"/>
      </w:rPr>
      <w:instrText xml:space="preserve"> PAGE   \* MERGEFORMAT </w:instrText>
    </w:r>
    <w:r w:rsidRPr="006B51E9">
      <w:rPr>
        <w:szCs w:val="18"/>
        <w:lang w:val="en-US" w:eastAsia="en-US" w:bidi="ar-SA"/>
      </w:rPr>
      <w:fldChar w:fldCharType="separate"/>
    </w:r>
    <w:r w:rsidR="00391830">
      <w:rPr>
        <w:noProof/>
        <w:szCs w:val="18"/>
        <w:lang w:val="en-US" w:eastAsia="en-US" w:bidi="ar-SA"/>
      </w:rPr>
      <w:t>1</w:t>
    </w:r>
    <w:r w:rsidRPr="006B51E9">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31A775" w14:textId="77777777" w:rsidR="00157ED6" w:rsidRDefault="00157ED6" w:rsidP="00B85670">
      <w:pPr>
        <w:spacing w:line="240" w:lineRule="auto"/>
      </w:pPr>
      <w:r>
        <w:separator/>
      </w:r>
    </w:p>
  </w:footnote>
  <w:footnote w:type="continuationSeparator" w:id="0">
    <w:p w14:paraId="2369B578" w14:textId="77777777" w:rsidR="00157ED6" w:rsidRDefault="00157ED6" w:rsidP="00B85670">
      <w:pPr>
        <w:spacing w:line="240" w:lineRule="auto"/>
      </w:pPr>
      <w:r>
        <w:continuationSeparator/>
      </w:r>
    </w:p>
  </w:footnote>
  <w:footnote w:type="continuationNotice" w:id="1">
    <w:p w14:paraId="6AC8C66D" w14:textId="77777777" w:rsidR="00157ED6" w:rsidRDefault="00157ED6">
      <w:pPr>
        <w:spacing w:line="240" w:lineRule="auto"/>
      </w:pPr>
    </w:p>
  </w:footnote>
  <w:footnote w:id="2">
    <w:p w14:paraId="41C4B05C" w14:textId="2C0F83EA" w:rsidR="005328A3" w:rsidRDefault="005328A3" w:rsidP="005328A3">
      <w:pPr>
        <w:pStyle w:val="FootnoteText"/>
      </w:pPr>
      <w:r w:rsidRPr="007B5219">
        <w:rPr>
          <w:rStyle w:val="FootnoteReference"/>
          <w:sz w:val="18"/>
        </w:rPr>
        <w:footnoteRef/>
      </w:r>
      <w:r>
        <w:rPr>
          <w:sz w:val="14"/>
        </w:rPr>
        <w:t xml:space="preserve"> </w:t>
      </w:r>
      <w:r w:rsidRPr="005328A3">
        <w:rPr>
          <w:sz w:val="14"/>
        </w:rPr>
        <w:t>A seconda dei casi è supportata la firma fisica dei contratti creati in formato elettronico.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0D455" w14:textId="77777777" w:rsidR="00391830" w:rsidRDefault="003918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009E"/>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3637"/>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57ED6"/>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1D11"/>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4F1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5C6C"/>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1830"/>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9E2"/>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28A3"/>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2A8"/>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AEC"/>
    <w:rsid w:val="00647F2A"/>
    <w:rsid w:val="00654F72"/>
    <w:rsid w:val="00655364"/>
    <w:rsid w:val="006554ED"/>
    <w:rsid w:val="00655B9B"/>
    <w:rsid w:val="00655D9D"/>
    <w:rsid w:val="00657E50"/>
    <w:rsid w:val="006613A0"/>
    <w:rsid w:val="006621BE"/>
    <w:rsid w:val="00662854"/>
    <w:rsid w:val="006641C7"/>
    <w:rsid w:val="00665DAF"/>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51E9"/>
    <w:rsid w:val="006B6188"/>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59F"/>
    <w:rsid w:val="008C5BB2"/>
    <w:rsid w:val="008C6031"/>
    <w:rsid w:val="008D2A85"/>
    <w:rsid w:val="008D3758"/>
    <w:rsid w:val="008D7532"/>
    <w:rsid w:val="008E28FF"/>
    <w:rsid w:val="008E2DBF"/>
    <w:rsid w:val="008E6310"/>
    <w:rsid w:val="008E64F6"/>
    <w:rsid w:val="008E740A"/>
    <w:rsid w:val="008E77D5"/>
    <w:rsid w:val="008F151D"/>
    <w:rsid w:val="008F1D3F"/>
    <w:rsid w:val="008F281D"/>
    <w:rsid w:val="008F4EC3"/>
    <w:rsid w:val="008F502B"/>
    <w:rsid w:val="008F56E9"/>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05D8"/>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090B"/>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E6D35"/>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0AEF"/>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2BF"/>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0D1D"/>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0EEB"/>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ZA9DEc8tAECWu7O1oolOZ7r8JB8=" w:salt="h4NcRNrgeOCTMDj2ohiqL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it-IT" w:eastAsia="it-IT" w:bidi="it-IT"/>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A07FF2-E066-4EC4-AC0B-3AEB606E8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4147</Words>
  <Characters>23639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2016-08-05T17:20:00Z</dcterms:created>
  <dcterms:modified xsi:type="dcterms:W3CDTF">2016-08-05T17:20:00Z</dcterms:modified>
  <cp:contentStatus/>
</cp:coreProperties>
</file>