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19B7" w:rsidRPr="00483B32" w:rsidRDefault="00A919B7" w:rsidP="00A919B7">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16551469" wp14:editId="58FCB917">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 xml:space="preserve">Microsoft lielapjoma licencēšana </w:t>
      </w:r>
    </w:p>
    <w:p w:rsidR="00A919B7" w:rsidRPr="00483B32" w:rsidRDefault="00A919B7" w:rsidP="00A919B7">
      <w:pPr>
        <w:pStyle w:val="DocTitle"/>
      </w:pPr>
      <w:r>
        <w:t>Līguma Microsoft Business and Services Agreement licencēšanas rokasgrāmata</w:t>
      </w:r>
    </w:p>
    <w:p w:rsidR="00A919B7" w:rsidRPr="000104AF" w:rsidRDefault="00A919B7" w:rsidP="00A919B7">
      <w:pPr>
        <w:pStyle w:val="DocTitle"/>
        <w:spacing w:line="240" w:lineRule="auto"/>
        <w:ind w:left="2434"/>
        <w:rPr>
          <w:sz w:val="18"/>
          <w:szCs w:val="18"/>
        </w:rPr>
      </w:pPr>
    </w:p>
    <w:p w:rsidR="00A919B7" w:rsidRPr="00483B32" w:rsidRDefault="00A919B7" w:rsidP="00A919B7">
      <w:pPr>
        <w:pStyle w:val="DocTitle"/>
        <w:spacing w:line="240" w:lineRule="auto"/>
        <w:ind w:left="2434"/>
      </w:pPr>
      <w:r>
        <w:t>2015. gada augusts</w:t>
      </w:r>
    </w:p>
    <w:p w:rsidR="00A919B7" w:rsidRPr="00483B32" w:rsidRDefault="00A919B7" w:rsidP="00A919B7"/>
    <w:p w:rsidR="00A919B7" w:rsidRPr="00483B32" w:rsidRDefault="00A919B7" w:rsidP="00A919B7"/>
    <w:p w:rsidR="00A919B7" w:rsidRPr="00483B32" w:rsidRDefault="00A919B7" w:rsidP="00A919B7">
      <w:r>
        <w:rPr>
          <w:noProof/>
          <w:lang w:val="en-US" w:eastAsia="en-US" w:bidi="ar-SA"/>
        </w:rPr>
        <w:drawing>
          <wp:anchor distT="0" distB="0" distL="114300" distR="114300" simplePos="0" relativeHeight="251659264" behindDoc="1" locked="1" layoutInCell="0" allowOverlap="1" wp14:anchorId="725582FD" wp14:editId="558F29BB">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A919B7" w:rsidRPr="00483B32" w:rsidRDefault="00A919B7" w:rsidP="00A919B7">
      <w:pPr>
        <w:pStyle w:val="DocTitlewhite"/>
      </w:pPr>
    </w:p>
    <w:p w:rsidR="00A919B7" w:rsidRPr="00483B32" w:rsidRDefault="00A919B7" w:rsidP="00A919B7"/>
    <w:p w:rsidR="00A919B7" w:rsidRPr="00483B32" w:rsidRDefault="00A919B7" w:rsidP="00A919B7"/>
    <w:p w:rsidR="00A919B7" w:rsidRPr="00483B32" w:rsidRDefault="00A919B7" w:rsidP="00A919B7"/>
    <w:p w:rsidR="00A919B7" w:rsidRPr="00483B32" w:rsidRDefault="00A919B7" w:rsidP="00A919B7">
      <w:pPr>
        <w:pStyle w:val="DocTitle"/>
      </w:pPr>
    </w:p>
    <w:p w:rsidR="00A919B7" w:rsidRPr="00483B32" w:rsidRDefault="00A919B7" w:rsidP="00A919B7"/>
    <w:p w:rsidR="00A919B7" w:rsidRDefault="00A919B7" w:rsidP="00A919B7">
      <w:pPr>
        <w:pStyle w:val="BodyText"/>
        <w:sectPr w:rsidR="00A919B7"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A919B7" w:rsidRPr="00483B32" w:rsidRDefault="00A919B7" w:rsidP="00A919B7">
      <w:pPr>
        <w:pStyle w:val="BodyText"/>
      </w:pPr>
      <w:r>
        <w:rPr>
          <w:rFonts w:ascii="Segoe UI Light" w:hAnsi="Segoe UI Light"/>
          <w:color w:val="68217A"/>
          <w:sz w:val="36"/>
        </w:rPr>
        <w:lastRenderedPageBreak/>
        <w:t>Satura rādītājs</w:t>
      </w:r>
    </w:p>
    <w:p w:rsidR="00A919B7" w:rsidRDefault="00A919B7" w:rsidP="00A919B7">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279656" w:history="1">
        <w:r w:rsidRPr="008330D4">
          <w:rPr>
            <w:rStyle w:val="Hyperlink"/>
          </w:rPr>
          <w:t>Dokumenta mērķis un resursi</w:t>
        </w:r>
        <w:r>
          <w:rPr>
            <w:webHidden/>
          </w:rPr>
          <w:tab/>
        </w:r>
        <w:r>
          <w:rPr>
            <w:webHidden/>
          </w:rPr>
          <w:fldChar w:fldCharType="begin"/>
        </w:r>
        <w:r>
          <w:rPr>
            <w:webHidden/>
          </w:rPr>
          <w:instrText xml:space="preserve"> PAGEREF _Toc428279656 \h </w:instrText>
        </w:r>
        <w:r>
          <w:rPr>
            <w:webHidden/>
          </w:rPr>
        </w:r>
        <w:r>
          <w:rPr>
            <w:webHidden/>
          </w:rPr>
          <w:fldChar w:fldCharType="separate"/>
        </w:r>
        <w:r>
          <w:rPr>
            <w:webHidden/>
          </w:rPr>
          <w:t>2</w:t>
        </w:r>
        <w:r>
          <w:rPr>
            <w:webHidden/>
          </w:rPr>
          <w:fldChar w:fldCharType="end"/>
        </w:r>
      </w:hyperlink>
    </w:p>
    <w:p w:rsidR="00A919B7" w:rsidRDefault="00A919B7" w:rsidP="00A919B7">
      <w:pPr>
        <w:pStyle w:val="TOC1"/>
        <w:rPr>
          <w:rFonts w:asciiTheme="minorHAnsi" w:eastAsiaTheme="minorEastAsia" w:hAnsiTheme="minorHAnsi"/>
          <w:color w:val="auto"/>
          <w:sz w:val="22"/>
          <w:lang w:val="en-US" w:eastAsia="en-US" w:bidi="ar-SA"/>
        </w:rPr>
      </w:pPr>
      <w:hyperlink w:anchor="_Toc428279657" w:history="1">
        <w:r w:rsidRPr="008330D4">
          <w:rPr>
            <w:rStyle w:val="Hyperlink"/>
          </w:rPr>
          <w:t>1. sadaļa</w:t>
        </w:r>
        <w:r>
          <w:rPr>
            <w:webHidden/>
          </w:rPr>
          <w:tab/>
        </w:r>
        <w:r>
          <w:rPr>
            <w:webHidden/>
          </w:rPr>
          <w:fldChar w:fldCharType="begin"/>
        </w:r>
        <w:r>
          <w:rPr>
            <w:webHidden/>
          </w:rPr>
          <w:instrText xml:space="preserve"> PAGEREF _Toc428279657 \h </w:instrText>
        </w:r>
        <w:r>
          <w:rPr>
            <w:webHidden/>
          </w:rPr>
        </w:r>
        <w:r>
          <w:rPr>
            <w:webHidden/>
          </w:rPr>
          <w:fldChar w:fldCharType="separate"/>
        </w:r>
        <w:r>
          <w:rPr>
            <w:webHidden/>
          </w:rPr>
          <w:t>3</w:t>
        </w:r>
        <w:r>
          <w:rPr>
            <w:webHidden/>
          </w:rPr>
          <w:fldChar w:fldCharType="end"/>
        </w:r>
      </w:hyperlink>
    </w:p>
    <w:p w:rsidR="00A919B7" w:rsidRDefault="00A919B7" w:rsidP="00A919B7">
      <w:pPr>
        <w:pStyle w:val="TOC1"/>
        <w:rPr>
          <w:rFonts w:asciiTheme="minorHAnsi" w:eastAsiaTheme="minorEastAsia" w:hAnsiTheme="minorHAnsi"/>
          <w:color w:val="auto"/>
          <w:sz w:val="22"/>
          <w:lang w:val="en-US" w:eastAsia="en-US" w:bidi="ar-SA"/>
        </w:rPr>
      </w:pPr>
      <w:hyperlink w:anchor="_Toc428279658" w:history="1">
        <w:r w:rsidRPr="008330D4">
          <w:rPr>
            <w:rStyle w:val="Hyperlink"/>
            <w:rFonts w:asciiTheme="majorHAnsi" w:eastAsiaTheme="majorEastAsia" w:hAnsiTheme="majorHAnsi" w:cstheme="majorBidi"/>
            <w:bCs/>
          </w:rPr>
          <w:t>Līguma Microsoft Products and Services Agreement darbība</w:t>
        </w:r>
        <w:r>
          <w:rPr>
            <w:webHidden/>
          </w:rPr>
          <w:tab/>
        </w:r>
        <w:r>
          <w:rPr>
            <w:webHidden/>
          </w:rPr>
          <w:fldChar w:fldCharType="begin"/>
        </w:r>
        <w:r>
          <w:rPr>
            <w:webHidden/>
          </w:rPr>
          <w:instrText xml:space="preserve"> PAGEREF _Toc428279658 \h </w:instrText>
        </w:r>
        <w:r>
          <w:rPr>
            <w:webHidden/>
          </w:rPr>
        </w:r>
        <w:r>
          <w:rPr>
            <w:webHidden/>
          </w:rPr>
          <w:fldChar w:fldCharType="separate"/>
        </w:r>
        <w:r>
          <w:rPr>
            <w:webHidden/>
          </w:rPr>
          <w:t>3</w:t>
        </w:r>
        <w:r>
          <w:rPr>
            <w:webHidden/>
          </w:rPr>
          <w:fldChar w:fldCharType="end"/>
        </w:r>
      </w:hyperlink>
    </w:p>
    <w:p w:rsidR="00A919B7" w:rsidRDefault="00A919B7" w:rsidP="00A919B7">
      <w:pPr>
        <w:pStyle w:val="TOC1"/>
        <w:rPr>
          <w:rFonts w:asciiTheme="minorHAnsi" w:eastAsiaTheme="minorEastAsia" w:hAnsiTheme="minorHAnsi"/>
          <w:color w:val="auto"/>
          <w:sz w:val="22"/>
          <w:lang w:val="en-US" w:eastAsia="en-US" w:bidi="ar-SA"/>
        </w:rPr>
      </w:pPr>
      <w:hyperlink w:anchor="_Toc428279659" w:history="1">
        <w:r w:rsidRPr="008330D4">
          <w:rPr>
            <w:rStyle w:val="Hyperlink"/>
            <w:rFonts w:asciiTheme="majorHAnsi" w:eastAsiaTheme="majorEastAsia" w:hAnsiTheme="majorHAnsi" w:cstheme="majorBidi"/>
            <w:bCs/>
          </w:rPr>
          <w:t>Līguma struktūra</w:t>
        </w:r>
        <w:r>
          <w:rPr>
            <w:webHidden/>
          </w:rPr>
          <w:tab/>
        </w:r>
        <w:r>
          <w:rPr>
            <w:webHidden/>
          </w:rPr>
          <w:fldChar w:fldCharType="begin"/>
        </w:r>
        <w:r>
          <w:rPr>
            <w:webHidden/>
          </w:rPr>
          <w:instrText xml:space="preserve"> PAGEREF _Toc428279659 \h </w:instrText>
        </w:r>
        <w:r>
          <w:rPr>
            <w:webHidden/>
          </w:rPr>
        </w:r>
        <w:r>
          <w:rPr>
            <w:webHidden/>
          </w:rPr>
          <w:fldChar w:fldCharType="separate"/>
        </w:r>
        <w:r>
          <w:rPr>
            <w:webHidden/>
          </w:rPr>
          <w:t>4</w:t>
        </w:r>
        <w:r>
          <w:rPr>
            <w:webHidden/>
          </w:rPr>
          <w:fldChar w:fldCharType="end"/>
        </w:r>
      </w:hyperlink>
    </w:p>
    <w:p w:rsidR="00A919B7" w:rsidRDefault="00A919B7" w:rsidP="00A919B7">
      <w:pPr>
        <w:pStyle w:val="TOC1"/>
        <w:rPr>
          <w:rFonts w:asciiTheme="minorHAnsi" w:eastAsiaTheme="minorEastAsia" w:hAnsiTheme="minorHAnsi"/>
          <w:color w:val="auto"/>
          <w:sz w:val="22"/>
          <w:lang w:val="en-US" w:eastAsia="en-US" w:bidi="ar-SA"/>
        </w:rPr>
      </w:pPr>
      <w:hyperlink w:anchor="_Toc428279660" w:history="1">
        <w:r w:rsidRPr="008330D4">
          <w:rPr>
            <w:rStyle w:val="Hyperlink"/>
            <w:rFonts w:asciiTheme="majorHAnsi" w:eastAsiaTheme="majorEastAsia" w:hAnsiTheme="majorHAnsi" w:cstheme="majorBidi"/>
            <w:bCs/>
          </w:rPr>
          <w:t>Iegādes darījumi</w:t>
        </w:r>
        <w:r>
          <w:rPr>
            <w:webHidden/>
          </w:rPr>
          <w:tab/>
        </w:r>
        <w:r>
          <w:rPr>
            <w:webHidden/>
          </w:rPr>
          <w:fldChar w:fldCharType="begin"/>
        </w:r>
        <w:r>
          <w:rPr>
            <w:webHidden/>
          </w:rPr>
          <w:instrText xml:space="preserve"> PAGEREF _Toc428279660 \h </w:instrText>
        </w:r>
        <w:r>
          <w:rPr>
            <w:webHidden/>
          </w:rPr>
        </w:r>
        <w:r>
          <w:rPr>
            <w:webHidden/>
          </w:rPr>
          <w:fldChar w:fldCharType="separate"/>
        </w:r>
        <w:r>
          <w:rPr>
            <w:webHidden/>
          </w:rPr>
          <w:t>4</w:t>
        </w:r>
        <w:r>
          <w:rPr>
            <w:webHidden/>
          </w:rPr>
          <w:fldChar w:fldCharType="end"/>
        </w:r>
      </w:hyperlink>
    </w:p>
    <w:p w:rsidR="00A919B7" w:rsidRDefault="00A919B7" w:rsidP="00A919B7">
      <w:pPr>
        <w:pStyle w:val="TOC1"/>
        <w:rPr>
          <w:rFonts w:asciiTheme="minorHAnsi" w:eastAsiaTheme="minorEastAsia" w:hAnsiTheme="minorHAnsi"/>
          <w:color w:val="auto"/>
          <w:sz w:val="22"/>
          <w:lang w:val="en-US" w:eastAsia="en-US" w:bidi="ar-SA"/>
        </w:rPr>
      </w:pPr>
      <w:hyperlink w:anchor="_Toc428279661" w:history="1">
        <w:r w:rsidRPr="008330D4">
          <w:rPr>
            <w:rStyle w:val="Hyperlink"/>
          </w:rPr>
          <w:t>2. sadaļa</w:t>
        </w:r>
        <w:r>
          <w:rPr>
            <w:webHidden/>
          </w:rPr>
          <w:tab/>
        </w:r>
        <w:r>
          <w:rPr>
            <w:webHidden/>
          </w:rPr>
          <w:fldChar w:fldCharType="begin"/>
        </w:r>
        <w:r>
          <w:rPr>
            <w:webHidden/>
          </w:rPr>
          <w:instrText xml:space="preserve"> PAGEREF _Toc428279661 \h </w:instrText>
        </w:r>
        <w:r>
          <w:rPr>
            <w:webHidden/>
          </w:rPr>
        </w:r>
        <w:r>
          <w:rPr>
            <w:webHidden/>
          </w:rPr>
          <w:fldChar w:fldCharType="separate"/>
        </w:r>
        <w:r>
          <w:rPr>
            <w:webHidden/>
          </w:rPr>
          <w:t>6</w:t>
        </w:r>
        <w:r>
          <w:rPr>
            <w:webHidden/>
          </w:rPr>
          <w:fldChar w:fldCharType="end"/>
        </w:r>
      </w:hyperlink>
    </w:p>
    <w:p w:rsidR="00A919B7" w:rsidRDefault="00A919B7" w:rsidP="00A919B7">
      <w:pPr>
        <w:pStyle w:val="TOC1"/>
        <w:rPr>
          <w:rFonts w:asciiTheme="minorHAnsi" w:eastAsiaTheme="minorEastAsia" w:hAnsiTheme="minorHAnsi"/>
          <w:color w:val="auto"/>
          <w:sz w:val="22"/>
          <w:lang w:val="en-US" w:eastAsia="en-US" w:bidi="ar-SA"/>
        </w:rPr>
      </w:pPr>
      <w:hyperlink w:anchor="_Toc428279662" w:history="1">
        <w:r w:rsidRPr="008330D4">
          <w:rPr>
            <w:rStyle w:val="Hyperlink"/>
            <w:rFonts w:asciiTheme="majorHAnsi" w:eastAsiaTheme="majorEastAsia" w:hAnsiTheme="majorHAnsi" w:cstheme="majorBidi"/>
            <w:bCs/>
          </w:rPr>
          <w:t>Tiešsaistes pakalpojumu priekšrocības</w:t>
        </w:r>
        <w:r>
          <w:rPr>
            <w:webHidden/>
          </w:rPr>
          <w:tab/>
        </w:r>
        <w:r>
          <w:rPr>
            <w:webHidden/>
          </w:rPr>
          <w:fldChar w:fldCharType="begin"/>
        </w:r>
        <w:r>
          <w:rPr>
            <w:webHidden/>
          </w:rPr>
          <w:instrText xml:space="preserve"> PAGEREF _Toc428279662 \h </w:instrText>
        </w:r>
        <w:r>
          <w:rPr>
            <w:webHidden/>
          </w:rPr>
        </w:r>
        <w:r>
          <w:rPr>
            <w:webHidden/>
          </w:rPr>
          <w:fldChar w:fldCharType="separate"/>
        </w:r>
        <w:r>
          <w:rPr>
            <w:webHidden/>
          </w:rPr>
          <w:t>6</w:t>
        </w:r>
        <w:r>
          <w:rPr>
            <w:webHidden/>
          </w:rPr>
          <w:fldChar w:fldCharType="end"/>
        </w:r>
      </w:hyperlink>
    </w:p>
    <w:p w:rsidR="00A919B7" w:rsidRDefault="00A919B7" w:rsidP="00A919B7">
      <w:pPr>
        <w:pStyle w:val="TOC1"/>
        <w:rPr>
          <w:rFonts w:asciiTheme="minorHAnsi" w:eastAsiaTheme="minorEastAsia" w:hAnsiTheme="minorHAnsi"/>
          <w:color w:val="auto"/>
          <w:sz w:val="22"/>
          <w:lang w:val="en-US" w:eastAsia="en-US" w:bidi="ar-SA"/>
        </w:rPr>
      </w:pPr>
      <w:hyperlink w:anchor="_Toc428279663" w:history="1">
        <w:r w:rsidRPr="008330D4">
          <w:rPr>
            <w:rStyle w:val="Hyperlink"/>
            <w:rFonts w:asciiTheme="majorHAnsi" w:eastAsiaTheme="majorEastAsia" w:hAnsiTheme="majorHAnsi" w:cstheme="majorBidi"/>
            <w:bCs/>
          </w:rPr>
          <w:t>Software Assurance un priekšrocības</w:t>
        </w:r>
        <w:r>
          <w:rPr>
            <w:webHidden/>
          </w:rPr>
          <w:tab/>
        </w:r>
        <w:r>
          <w:rPr>
            <w:webHidden/>
          </w:rPr>
          <w:fldChar w:fldCharType="begin"/>
        </w:r>
        <w:r>
          <w:rPr>
            <w:webHidden/>
          </w:rPr>
          <w:instrText xml:space="preserve"> PAGEREF _Toc428279663 \h </w:instrText>
        </w:r>
        <w:r>
          <w:rPr>
            <w:webHidden/>
          </w:rPr>
        </w:r>
        <w:r>
          <w:rPr>
            <w:webHidden/>
          </w:rPr>
          <w:fldChar w:fldCharType="separate"/>
        </w:r>
        <w:r>
          <w:rPr>
            <w:webHidden/>
          </w:rPr>
          <w:t>6</w:t>
        </w:r>
        <w:r>
          <w:rPr>
            <w:webHidden/>
          </w:rPr>
          <w:fldChar w:fldCharType="end"/>
        </w:r>
      </w:hyperlink>
    </w:p>
    <w:p w:rsidR="00A919B7" w:rsidRDefault="00A919B7" w:rsidP="00A919B7">
      <w:pPr>
        <w:pStyle w:val="TOC1"/>
        <w:rPr>
          <w:rFonts w:asciiTheme="minorHAnsi" w:eastAsiaTheme="minorEastAsia" w:hAnsiTheme="minorHAnsi"/>
          <w:color w:val="auto"/>
          <w:sz w:val="22"/>
          <w:lang w:val="en-US" w:eastAsia="en-US" w:bidi="ar-SA"/>
        </w:rPr>
      </w:pPr>
      <w:hyperlink w:anchor="_Toc428279664" w:history="1">
        <w:r w:rsidRPr="008330D4">
          <w:rPr>
            <w:rStyle w:val="Hyperlink"/>
            <w:rFonts w:asciiTheme="majorHAnsi" w:eastAsiaTheme="majorEastAsia" w:hAnsiTheme="majorHAnsi" w:cstheme="majorBidi"/>
            <w:bCs/>
          </w:rPr>
          <w:t>MPSA Software Assurance priekšrocību pieejamība</w:t>
        </w:r>
        <w:r>
          <w:rPr>
            <w:webHidden/>
          </w:rPr>
          <w:tab/>
        </w:r>
        <w:r>
          <w:rPr>
            <w:webHidden/>
          </w:rPr>
          <w:fldChar w:fldCharType="begin"/>
        </w:r>
        <w:r>
          <w:rPr>
            <w:webHidden/>
          </w:rPr>
          <w:instrText xml:space="preserve"> PAGEREF _Toc428279664 \h </w:instrText>
        </w:r>
        <w:r>
          <w:rPr>
            <w:webHidden/>
          </w:rPr>
        </w:r>
        <w:r>
          <w:rPr>
            <w:webHidden/>
          </w:rPr>
          <w:fldChar w:fldCharType="separate"/>
        </w:r>
        <w:r>
          <w:rPr>
            <w:webHidden/>
          </w:rPr>
          <w:t>7</w:t>
        </w:r>
        <w:r>
          <w:rPr>
            <w:webHidden/>
          </w:rPr>
          <w:fldChar w:fldCharType="end"/>
        </w:r>
      </w:hyperlink>
    </w:p>
    <w:p w:rsidR="00A919B7" w:rsidRDefault="00A919B7" w:rsidP="00A919B7">
      <w:pPr>
        <w:pStyle w:val="TOC1"/>
        <w:rPr>
          <w:rFonts w:asciiTheme="minorHAnsi" w:eastAsiaTheme="minorEastAsia" w:hAnsiTheme="minorHAnsi"/>
          <w:color w:val="auto"/>
          <w:sz w:val="22"/>
          <w:lang w:val="en-US" w:eastAsia="en-US" w:bidi="ar-SA"/>
        </w:rPr>
      </w:pPr>
      <w:hyperlink w:anchor="_Toc428279665" w:history="1">
        <w:r w:rsidRPr="008330D4">
          <w:rPr>
            <w:rStyle w:val="Hyperlink"/>
            <w:rFonts w:asciiTheme="majorHAnsi" w:eastAsiaTheme="majorEastAsia" w:hAnsiTheme="majorHAnsi" w:cstheme="majorBidi"/>
            <w:bCs/>
          </w:rPr>
          <w:t>Punktu nodrošinātās priekšrocības</w:t>
        </w:r>
        <w:r>
          <w:rPr>
            <w:webHidden/>
          </w:rPr>
          <w:tab/>
        </w:r>
        <w:r>
          <w:rPr>
            <w:webHidden/>
          </w:rPr>
          <w:fldChar w:fldCharType="begin"/>
        </w:r>
        <w:r>
          <w:rPr>
            <w:webHidden/>
          </w:rPr>
          <w:instrText xml:space="preserve"> PAGEREF _Toc428279665 \h </w:instrText>
        </w:r>
        <w:r>
          <w:rPr>
            <w:webHidden/>
          </w:rPr>
        </w:r>
        <w:r>
          <w:rPr>
            <w:webHidden/>
          </w:rPr>
          <w:fldChar w:fldCharType="separate"/>
        </w:r>
        <w:r>
          <w:rPr>
            <w:webHidden/>
          </w:rPr>
          <w:t>8</w:t>
        </w:r>
        <w:r>
          <w:rPr>
            <w:webHidden/>
          </w:rPr>
          <w:fldChar w:fldCharType="end"/>
        </w:r>
      </w:hyperlink>
    </w:p>
    <w:p w:rsidR="00A919B7" w:rsidRDefault="00A919B7" w:rsidP="00A919B7">
      <w:pPr>
        <w:pStyle w:val="TOC2"/>
        <w:rPr>
          <w:rFonts w:asciiTheme="minorHAnsi" w:eastAsiaTheme="minorEastAsia" w:hAnsiTheme="minorHAnsi" w:cstheme="minorBidi"/>
          <w:color w:val="auto"/>
          <w:sz w:val="22"/>
          <w:szCs w:val="22"/>
          <w:lang w:val="en-US" w:eastAsia="en-US" w:bidi="ar-SA"/>
        </w:rPr>
      </w:pPr>
      <w:hyperlink w:anchor="_Toc428279666" w:history="1">
        <w:r w:rsidRPr="008330D4">
          <w:rPr>
            <w:rStyle w:val="Hyperlink"/>
          </w:rPr>
          <w:t>Plānošanas pakalpojumi</w:t>
        </w:r>
        <w:r>
          <w:rPr>
            <w:webHidden/>
          </w:rPr>
          <w:tab/>
        </w:r>
        <w:r>
          <w:rPr>
            <w:webHidden/>
          </w:rPr>
          <w:fldChar w:fldCharType="begin"/>
        </w:r>
        <w:r>
          <w:rPr>
            <w:webHidden/>
          </w:rPr>
          <w:instrText xml:space="preserve"> PAGEREF _Toc428279666 \h </w:instrText>
        </w:r>
        <w:r>
          <w:rPr>
            <w:webHidden/>
          </w:rPr>
        </w:r>
        <w:r>
          <w:rPr>
            <w:webHidden/>
          </w:rPr>
          <w:fldChar w:fldCharType="separate"/>
        </w:r>
        <w:r>
          <w:rPr>
            <w:webHidden/>
          </w:rPr>
          <w:t>8</w:t>
        </w:r>
        <w:r>
          <w:rPr>
            <w:webHidden/>
          </w:rPr>
          <w:fldChar w:fldCharType="end"/>
        </w:r>
      </w:hyperlink>
    </w:p>
    <w:p w:rsidR="00A919B7" w:rsidRDefault="00A919B7" w:rsidP="00A919B7">
      <w:pPr>
        <w:pStyle w:val="TOC2"/>
        <w:rPr>
          <w:rFonts w:asciiTheme="minorHAnsi" w:eastAsiaTheme="minorEastAsia" w:hAnsiTheme="minorHAnsi" w:cstheme="minorBidi"/>
          <w:color w:val="auto"/>
          <w:sz w:val="22"/>
          <w:szCs w:val="22"/>
          <w:lang w:val="en-US" w:eastAsia="en-US" w:bidi="ar-SA"/>
        </w:rPr>
      </w:pPr>
      <w:hyperlink w:anchor="_Toc428279667" w:history="1">
        <w:r w:rsidRPr="008330D4">
          <w:rPr>
            <w:rStyle w:val="Hyperlink"/>
          </w:rPr>
          <w:t>Apmācības kuponi</w:t>
        </w:r>
        <w:r>
          <w:rPr>
            <w:webHidden/>
          </w:rPr>
          <w:tab/>
        </w:r>
        <w:r>
          <w:rPr>
            <w:webHidden/>
          </w:rPr>
          <w:fldChar w:fldCharType="begin"/>
        </w:r>
        <w:r>
          <w:rPr>
            <w:webHidden/>
          </w:rPr>
          <w:instrText xml:space="preserve"> PAGEREF _Toc428279667 \h </w:instrText>
        </w:r>
        <w:r>
          <w:rPr>
            <w:webHidden/>
          </w:rPr>
        </w:r>
        <w:r>
          <w:rPr>
            <w:webHidden/>
          </w:rPr>
          <w:fldChar w:fldCharType="separate"/>
        </w:r>
        <w:r>
          <w:rPr>
            <w:webHidden/>
          </w:rPr>
          <w:t>9</w:t>
        </w:r>
        <w:r>
          <w:rPr>
            <w:webHidden/>
          </w:rPr>
          <w:fldChar w:fldCharType="end"/>
        </w:r>
      </w:hyperlink>
    </w:p>
    <w:p w:rsidR="00A919B7" w:rsidRDefault="00A919B7" w:rsidP="00A919B7">
      <w:pPr>
        <w:pStyle w:val="TOC2"/>
        <w:rPr>
          <w:rFonts w:asciiTheme="minorHAnsi" w:eastAsiaTheme="minorEastAsia" w:hAnsiTheme="minorHAnsi" w:cstheme="minorBidi"/>
          <w:color w:val="auto"/>
          <w:sz w:val="22"/>
          <w:szCs w:val="22"/>
          <w:lang w:val="en-US" w:eastAsia="en-US" w:bidi="ar-SA"/>
        </w:rPr>
      </w:pPr>
      <w:hyperlink w:anchor="_Toc428279668" w:history="1">
        <w:r w:rsidRPr="008330D4">
          <w:rPr>
            <w:rStyle w:val="Hyperlink"/>
          </w:rPr>
          <w:t>24x7 problēmu risināšanas atbalsts</w:t>
        </w:r>
        <w:r>
          <w:rPr>
            <w:webHidden/>
          </w:rPr>
          <w:tab/>
        </w:r>
        <w:r>
          <w:rPr>
            <w:webHidden/>
          </w:rPr>
          <w:fldChar w:fldCharType="begin"/>
        </w:r>
        <w:r>
          <w:rPr>
            <w:webHidden/>
          </w:rPr>
          <w:instrText xml:space="preserve"> PAGEREF _Toc428279668 \h </w:instrText>
        </w:r>
        <w:r>
          <w:rPr>
            <w:webHidden/>
          </w:rPr>
        </w:r>
        <w:r>
          <w:rPr>
            <w:webHidden/>
          </w:rPr>
          <w:fldChar w:fldCharType="separate"/>
        </w:r>
        <w:r>
          <w:rPr>
            <w:webHidden/>
          </w:rPr>
          <w:t>11</w:t>
        </w:r>
        <w:r>
          <w:rPr>
            <w:webHidden/>
          </w:rPr>
          <w:fldChar w:fldCharType="end"/>
        </w:r>
      </w:hyperlink>
    </w:p>
    <w:p w:rsidR="00A919B7" w:rsidRDefault="00A919B7" w:rsidP="00A919B7">
      <w:pPr>
        <w:pStyle w:val="TOC1"/>
        <w:rPr>
          <w:rFonts w:asciiTheme="minorHAnsi" w:eastAsiaTheme="minorEastAsia" w:hAnsiTheme="minorHAnsi"/>
          <w:color w:val="auto"/>
          <w:sz w:val="22"/>
          <w:lang w:val="en-US" w:eastAsia="en-US" w:bidi="ar-SA"/>
        </w:rPr>
      </w:pPr>
      <w:hyperlink w:anchor="_Toc428279669" w:history="1">
        <w:r w:rsidRPr="008330D4">
          <w:rPr>
            <w:rStyle w:val="Hyperlink"/>
            <w:rFonts w:asciiTheme="majorHAnsi" w:eastAsiaTheme="majorEastAsia" w:hAnsiTheme="majorHAnsi" w:cstheme="majorBidi"/>
            <w:bCs/>
          </w:rPr>
          <w:t>Kvalificēto produktu priekšrocības</w:t>
        </w:r>
        <w:r>
          <w:rPr>
            <w:webHidden/>
          </w:rPr>
          <w:tab/>
        </w:r>
        <w:r>
          <w:rPr>
            <w:webHidden/>
          </w:rPr>
          <w:fldChar w:fldCharType="begin"/>
        </w:r>
        <w:r>
          <w:rPr>
            <w:webHidden/>
          </w:rPr>
          <w:instrText xml:space="preserve"> PAGEREF _Toc428279669 \h </w:instrText>
        </w:r>
        <w:r>
          <w:rPr>
            <w:webHidden/>
          </w:rPr>
        </w:r>
        <w:r>
          <w:rPr>
            <w:webHidden/>
          </w:rPr>
          <w:fldChar w:fldCharType="separate"/>
        </w:r>
        <w:r>
          <w:rPr>
            <w:webHidden/>
          </w:rPr>
          <w:t>13</w:t>
        </w:r>
        <w:r>
          <w:rPr>
            <w:webHidden/>
          </w:rPr>
          <w:fldChar w:fldCharType="end"/>
        </w:r>
      </w:hyperlink>
    </w:p>
    <w:p w:rsidR="00A919B7" w:rsidRDefault="00A919B7" w:rsidP="00A919B7">
      <w:pPr>
        <w:pStyle w:val="TOC2"/>
        <w:rPr>
          <w:rFonts w:asciiTheme="minorHAnsi" w:eastAsiaTheme="minorEastAsia" w:hAnsiTheme="minorHAnsi" w:cstheme="minorBidi"/>
          <w:color w:val="auto"/>
          <w:sz w:val="22"/>
          <w:szCs w:val="22"/>
          <w:lang w:val="en-US" w:eastAsia="en-US" w:bidi="ar-SA"/>
        </w:rPr>
      </w:pPr>
      <w:hyperlink w:anchor="_Toc428279670" w:history="1">
        <w:r w:rsidRPr="008330D4">
          <w:rPr>
            <w:rStyle w:val="Hyperlink"/>
          </w:rPr>
          <w:t>Jaunas versijas tiesības</w:t>
        </w:r>
        <w:r>
          <w:rPr>
            <w:webHidden/>
          </w:rPr>
          <w:tab/>
        </w:r>
        <w:r>
          <w:rPr>
            <w:webHidden/>
          </w:rPr>
          <w:fldChar w:fldCharType="begin"/>
        </w:r>
        <w:r>
          <w:rPr>
            <w:webHidden/>
          </w:rPr>
          <w:instrText xml:space="preserve"> PAGEREF _Toc428279670 \h </w:instrText>
        </w:r>
        <w:r>
          <w:rPr>
            <w:webHidden/>
          </w:rPr>
        </w:r>
        <w:r>
          <w:rPr>
            <w:webHidden/>
          </w:rPr>
          <w:fldChar w:fldCharType="separate"/>
        </w:r>
        <w:r>
          <w:rPr>
            <w:webHidden/>
          </w:rPr>
          <w:t>13</w:t>
        </w:r>
        <w:r>
          <w:rPr>
            <w:webHidden/>
          </w:rPr>
          <w:fldChar w:fldCharType="end"/>
        </w:r>
      </w:hyperlink>
    </w:p>
    <w:p w:rsidR="00A919B7" w:rsidRDefault="00A919B7" w:rsidP="00A919B7">
      <w:pPr>
        <w:pStyle w:val="TOC2"/>
        <w:rPr>
          <w:rFonts w:asciiTheme="minorHAnsi" w:eastAsiaTheme="minorEastAsia" w:hAnsiTheme="minorHAnsi" w:cstheme="minorBidi"/>
          <w:color w:val="auto"/>
          <w:sz w:val="22"/>
          <w:szCs w:val="22"/>
          <w:lang w:val="en-US" w:eastAsia="en-US" w:bidi="ar-SA"/>
        </w:rPr>
      </w:pPr>
      <w:hyperlink w:anchor="_Toc428279671" w:history="1">
        <w:r w:rsidRPr="008330D4">
          <w:rPr>
            <w:rStyle w:val="Hyperlink"/>
          </w:rPr>
          <w:t>Office Multi Language Pack</w:t>
        </w:r>
        <w:r>
          <w:rPr>
            <w:webHidden/>
          </w:rPr>
          <w:tab/>
        </w:r>
        <w:r>
          <w:rPr>
            <w:webHidden/>
          </w:rPr>
          <w:fldChar w:fldCharType="begin"/>
        </w:r>
        <w:r>
          <w:rPr>
            <w:webHidden/>
          </w:rPr>
          <w:instrText xml:space="preserve"> PAGEREF _Toc428279671 \h </w:instrText>
        </w:r>
        <w:r>
          <w:rPr>
            <w:webHidden/>
          </w:rPr>
        </w:r>
        <w:r>
          <w:rPr>
            <w:webHidden/>
          </w:rPr>
          <w:fldChar w:fldCharType="separate"/>
        </w:r>
        <w:r>
          <w:rPr>
            <w:webHidden/>
          </w:rPr>
          <w:t>13</w:t>
        </w:r>
        <w:r>
          <w:rPr>
            <w:webHidden/>
          </w:rPr>
          <w:fldChar w:fldCharType="end"/>
        </w:r>
      </w:hyperlink>
    </w:p>
    <w:p w:rsidR="00A919B7" w:rsidRDefault="00A919B7" w:rsidP="00A919B7">
      <w:pPr>
        <w:pStyle w:val="TOC2"/>
        <w:rPr>
          <w:rFonts w:asciiTheme="minorHAnsi" w:eastAsiaTheme="minorEastAsia" w:hAnsiTheme="minorHAnsi" w:cstheme="minorBidi"/>
          <w:color w:val="auto"/>
          <w:sz w:val="22"/>
          <w:szCs w:val="22"/>
          <w:lang w:val="en-US" w:eastAsia="en-US" w:bidi="ar-SA"/>
        </w:rPr>
      </w:pPr>
      <w:hyperlink w:anchor="_Toc428279672" w:history="1">
        <w:r w:rsidRPr="008330D4">
          <w:rPr>
            <w:rStyle w:val="Hyperlink"/>
          </w:rPr>
          <w:t>E-Learning</w:t>
        </w:r>
        <w:r>
          <w:rPr>
            <w:webHidden/>
          </w:rPr>
          <w:tab/>
        </w:r>
        <w:r>
          <w:rPr>
            <w:webHidden/>
          </w:rPr>
          <w:fldChar w:fldCharType="begin"/>
        </w:r>
        <w:r>
          <w:rPr>
            <w:webHidden/>
          </w:rPr>
          <w:instrText xml:space="preserve"> PAGEREF _Toc428279672 \h </w:instrText>
        </w:r>
        <w:r>
          <w:rPr>
            <w:webHidden/>
          </w:rPr>
        </w:r>
        <w:r>
          <w:rPr>
            <w:webHidden/>
          </w:rPr>
          <w:fldChar w:fldCharType="separate"/>
        </w:r>
        <w:r>
          <w:rPr>
            <w:webHidden/>
          </w:rPr>
          <w:t>14</w:t>
        </w:r>
        <w:r>
          <w:rPr>
            <w:webHidden/>
          </w:rPr>
          <w:fldChar w:fldCharType="end"/>
        </w:r>
      </w:hyperlink>
    </w:p>
    <w:p w:rsidR="00A919B7" w:rsidRDefault="00A919B7" w:rsidP="00A919B7">
      <w:pPr>
        <w:pStyle w:val="TOC2"/>
        <w:rPr>
          <w:rFonts w:asciiTheme="minorHAnsi" w:eastAsiaTheme="minorEastAsia" w:hAnsiTheme="minorHAnsi" w:cstheme="minorBidi"/>
          <w:color w:val="auto"/>
          <w:sz w:val="22"/>
          <w:szCs w:val="22"/>
          <w:lang w:val="en-US" w:eastAsia="en-US" w:bidi="ar-SA"/>
        </w:rPr>
      </w:pPr>
      <w:hyperlink w:anchor="_Toc428279673" w:history="1">
        <w:r w:rsidRPr="008330D4">
          <w:rPr>
            <w:rStyle w:val="Hyperlink"/>
          </w:rPr>
          <w:t>Programma lietošanai mājās</w:t>
        </w:r>
        <w:r>
          <w:rPr>
            <w:webHidden/>
          </w:rPr>
          <w:tab/>
        </w:r>
        <w:r>
          <w:rPr>
            <w:webHidden/>
          </w:rPr>
          <w:fldChar w:fldCharType="begin"/>
        </w:r>
        <w:r>
          <w:rPr>
            <w:webHidden/>
          </w:rPr>
          <w:instrText xml:space="preserve"> PAGEREF _Toc428279673 \h </w:instrText>
        </w:r>
        <w:r>
          <w:rPr>
            <w:webHidden/>
          </w:rPr>
        </w:r>
        <w:r>
          <w:rPr>
            <w:webHidden/>
          </w:rPr>
          <w:fldChar w:fldCharType="separate"/>
        </w:r>
        <w:r>
          <w:rPr>
            <w:webHidden/>
          </w:rPr>
          <w:t>14</w:t>
        </w:r>
        <w:r>
          <w:rPr>
            <w:webHidden/>
          </w:rPr>
          <w:fldChar w:fldCharType="end"/>
        </w:r>
      </w:hyperlink>
    </w:p>
    <w:p w:rsidR="00A919B7" w:rsidRDefault="00A919B7" w:rsidP="00A919B7">
      <w:pPr>
        <w:pStyle w:val="TOC2"/>
        <w:rPr>
          <w:rFonts w:asciiTheme="minorHAnsi" w:eastAsiaTheme="minorEastAsia" w:hAnsiTheme="minorHAnsi" w:cstheme="minorBidi"/>
          <w:color w:val="auto"/>
          <w:sz w:val="22"/>
          <w:szCs w:val="22"/>
          <w:lang w:val="en-US" w:eastAsia="en-US" w:bidi="ar-SA"/>
        </w:rPr>
      </w:pPr>
      <w:hyperlink w:anchor="_Toc428279674" w:history="1">
        <w:r w:rsidRPr="008330D4">
          <w:rPr>
            <w:rStyle w:val="Hyperlink"/>
          </w:rPr>
          <w:t>Avota koda licencēšanas programma uzņēmumiem</w:t>
        </w:r>
        <w:r>
          <w:rPr>
            <w:webHidden/>
          </w:rPr>
          <w:tab/>
        </w:r>
        <w:r>
          <w:rPr>
            <w:webHidden/>
          </w:rPr>
          <w:fldChar w:fldCharType="begin"/>
        </w:r>
        <w:r>
          <w:rPr>
            <w:webHidden/>
          </w:rPr>
          <w:instrText xml:space="preserve"> PAGEREF _Toc428279674 \h </w:instrText>
        </w:r>
        <w:r>
          <w:rPr>
            <w:webHidden/>
          </w:rPr>
        </w:r>
        <w:r>
          <w:rPr>
            <w:webHidden/>
          </w:rPr>
          <w:fldChar w:fldCharType="separate"/>
        </w:r>
        <w:r>
          <w:rPr>
            <w:webHidden/>
          </w:rPr>
          <w:t>15</w:t>
        </w:r>
        <w:r>
          <w:rPr>
            <w:webHidden/>
          </w:rPr>
          <w:fldChar w:fldCharType="end"/>
        </w:r>
      </w:hyperlink>
    </w:p>
    <w:p w:rsidR="00A919B7" w:rsidRDefault="00A919B7" w:rsidP="00A919B7">
      <w:pPr>
        <w:pStyle w:val="TOC2"/>
        <w:rPr>
          <w:rFonts w:asciiTheme="minorHAnsi" w:eastAsiaTheme="minorEastAsia" w:hAnsiTheme="minorHAnsi" w:cstheme="minorBidi"/>
          <w:color w:val="auto"/>
          <w:sz w:val="22"/>
          <w:szCs w:val="22"/>
          <w:lang w:val="en-US" w:eastAsia="en-US" w:bidi="ar-SA"/>
        </w:rPr>
      </w:pPr>
      <w:hyperlink w:anchor="_Toc428279675" w:history="1">
        <w:r w:rsidRPr="008330D4">
          <w:rPr>
            <w:rStyle w:val="Hyperlink"/>
          </w:rPr>
          <w:t>Dublējums atkopšanai ārkārtas gadījumos</w:t>
        </w:r>
        <w:r>
          <w:rPr>
            <w:webHidden/>
          </w:rPr>
          <w:tab/>
        </w:r>
        <w:r>
          <w:rPr>
            <w:webHidden/>
          </w:rPr>
          <w:fldChar w:fldCharType="begin"/>
        </w:r>
        <w:r>
          <w:rPr>
            <w:webHidden/>
          </w:rPr>
          <w:instrText xml:space="preserve"> PAGEREF _Toc428279675 \h </w:instrText>
        </w:r>
        <w:r>
          <w:rPr>
            <w:webHidden/>
          </w:rPr>
        </w:r>
        <w:r>
          <w:rPr>
            <w:webHidden/>
          </w:rPr>
          <w:fldChar w:fldCharType="separate"/>
        </w:r>
        <w:r>
          <w:rPr>
            <w:webHidden/>
          </w:rPr>
          <w:t>15</w:t>
        </w:r>
        <w:r>
          <w:rPr>
            <w:webHidden/>
          </w:rPr>
          <w:fldChar w:fldCharType="end"/>
        </w:r>
      </w:hyperlink>
    </w:p>
    <w:p w:rsidR="00A919B7" w:rsidRDefault="00A919B7" w:rsidP="00A919B7">
      <w:pPr>
        <w:pStyle w:val="TOC2"/>
        <w:rPr>
          <w:rFonts w:asciiTheme="minorHAnsi" w:eastAsiaTheme="minorEastAsia" w:hAnsiTheme="minorHAnsi" w:cstheme="minorBidi"/>
          <w:color w:val="auto"/>
          <w:sz w:val="22"/>
          <w:szCs w:val="22"/>
          <w:lang w:val="en-US" w:eastAsia="en-US" w:bidi="ar-SA"/>
        </w:rPr>
      </w:pPr>
      <w:hyperlink w:anchor="_Toc428279676" w:history="1">
        <w:r w:rsidRPr="008330D4">
          <w:rPr>
            <w:rStyle w:val="Hyperlink"/>
          </w:rPr>
          <w:t>Licences mobilitāte, izmantojot Software Assurance</w:t>
        </w:r>
        <w:r>
          <w:rPr>
            <w:webHidden/>
          </w:rPr>
          <w:tab/>
        </w:r>
        <w:r>
          <w:rPr>
            <w:webHidden/>
          </w:rPr>
          <w:fldChar w:fldCharType="begin"/>
        </w:r>
        <w:r>
          <w:rPr>
            <w:webHidden/>
          </w:rPr>
          <w:instrText xml:space="preserve"> PAGEREF _Toc428279676 \h </w:instrText>
        </w:r>
        <w:r>
          <w:rPr>
            <w:webHidden/>
          </w:rPr>
        </w:r>
        <w:r>
          <w:rPr>
            <w:webHidden/>
          </w:rPr>
          <w:fldChar w:fldCharType="separate"/>
        </w:r>
        <w:r>
          <w:rPr>
            <w:webHidden/>
          </w:rPr>
          <w:t>15</w:t>
        </w:r>
        <w:r>
          <w:rPr>
            <w:webHidden/>
          </w:rPr>
          <w:fldChar w:fldCharType="end"/>
        </w:r>
      </w:hyperlink>
    </w:p>
    <w:p w:rsidR="00A919B7" w:rsidRDefault="00A919B7" w:rsidP="00A919B7">
      <w:pPr>
        <w:pStyle w:val="TOC2"/>
        <w:rPr>
          <w:rFonts w:asciiTheme="minorHAnsi" w:eastAsiaTheme="minorEastAsia" w:hAnsiTheme="minorHAnsi" w:cstheme="minorBidi"/>
          <w:color w:val="auto"/>
          <w:sz w:val="22"/>
          <w:szCs w:val="22"/>
          <w:lang w:val="en-US" w:eastAsia="en-US" w:bidi="ar-SA"/>
        </w:rPr>
      </w:pPr>
      <w:hyperlink w:anchor="_Toc428279677" w:history="1">
        <w:r w:rsidRPr="008330D4">
          <w:rPr>
            <w:rStyle w:val="Hyperlink"/>
          </w:rPr>
          <w:t>Paplašinātais labojumfailu atbalsts</w:t>
        </w:r>
        <w:r>
          <w:rPr>
            <w:webHidden/>
          </w:rPr>
          <w:tab/>
        </w:r>
        <w:r>
          <w:rPr>
            <w:webHidden/>
          </w:rPr>
          <w:fldChar w:fldCharType="begin"/>
        </w:r>
        <w:r>
          <w:rPr>
            <w:webHidden/>
          </w:rPr>
          <w:instrText xml:space="preserve"> PAGEREF _Toc428279677 \h </w:instrText>
        </w:r>
        <w:r>
          <w:rPr>
            <w:webHidden/>
          </w:rPr>
        </w:r>
        <w:r>
          <w:rPr>
            <w:webHidden/>
          </w:rPr>
          <w:fldChar w:fldCharType="separate"/>
        </w:r>
        <w:r>
          <w:rPr>
            <w:webHidden/>
          </w:rPr>
          <w:t>16</w:t>
        </w:r>
        <w:r>
          <w:rPr>
            <w:webHidden/>
          </w:rPr>
          <w:fldChar w:fldCharType="end"/>
        </w:r>
      </w:hyperlink>
    </w:p>
    <w:p w:rsidR="00A919B7" w:rsidRDefault="00A919B7" w:rsidP="00A919B7">
      <w:pPr>
        <w:pStyle w:val="TOC1"/>
        <w:rPr>
          <w:rFonts w:asciiTheme="minorHAnsi" w:eastAsiaTheme="minorEastAsia" w:hAnsiTheme="minorHAnsi"/>
          <w:color w:val="auto"/>
          <w:sz w:val="22"/>
          <w:lang w:val="en-US" w:eastAsia="en-US" w:bidi="ar-SA"/>
        </w:rPr>
      </w:pPr>
      <w:hyperlink w:anchor="_Toc428279678" w:history="1">
        <w:r w:rsidRPr="008330D4">
          <w:rPr>
            <w:rStyle w:val="Hyperlink"/>
          </w:rPr>
          <w:t>3. sadaļa</w:t>
        </w:r>
        <w:r>
          <w:rPr>
            <w:webHidden/>
          </w:rPr>
          <w:tab/>
        </w:r>
        <w:r>
          <w:rPr>
            <w:webHidden/>
          </w:rPr>
          <w:fldChar w:fldCharType="begin"/>
        </w:r>
        <w:r>
          <w:rPr>
            <w:webHidden/>
          </w:rPr>
          <w:instrText xml:space="preserve"> PAGEREF _Toc428279678 \h </w:instrText>
        </w:r>
        <w:r>
          <w:rPr>
            <w:webHidden/>
          </w:rPr>
        </w:r>
        <w:r>
          <w:rPr>
            <w:webHidden/>
          </w:rPr>
          <w:fldChar w:fldCharType="separate"/>
        </w:r>
        <w:r>
          <w:rPr>
            <w:webHidden/>
          </w:rPr>
          <w:t>16</w:t>
        </w:r>
        <w:r>
          <w:rPr>
            <w:webHidden/>
          </w:rPr>
          <w:fldChar w:fldCharType="end"/>
        </w:r>
      </w:hyperlink>
    </w:p>
    <w:p w:rsidR="00A919B7" w:rsidRDefault="00A919B7" w:rsidP="00A919B7">
      <w:pPr>
        <w:pStyle w:val="TOC1"/>
        <w:rPr>
          <w:rFonts w:asciiTheme="minorHAnsi" w:eastAsiaTheme="minorEastAsia" w:hAnsiTheme="minorHAnsi"/>
          <w:color w:val="auto"/>
          <w:sz w:val="22"/>
          <w:lang w:val="en-US" w:eastAsia="en-US" w:bidi="ar-SA"/>
        </w:rPr>
      </w:pPr>
      <w:hyperlink w:anchor="_Toc428279679" w:history="1">
        <w:r w:rsidRPr="008330D4">
          <w:rPr>
            <w:rStyle w:val="Hyperlink"/>
            <w:rFonts w:asciiTheme="majorHAnsi" w:eastAsiaTheme="majorEastAsia" w:hAnsiTheme="majorHAnsi" w:cstheme="majorBidi"/>
            <w:bCs/>
          </w:rPr>
          <w:t>Produktu kopiju izveide un tiesības veidot sistēmas kopijas</w:t>
        </w:r>
        <w:r>
          <w:rPr>
            <w:webHidden/>
          </w:rPr>
          <w:tab/>
        </w:r>
        <w:r>
          <w:rPr>
            <w:webHidden/>
          </w:rPr>
          <w:fldChar w:fldCharType="begin"/>
        </w:r>
        <w:r>
          <w:rPr>
            <w:webHidden/>
          </w:rPr>
          <w:instrText xml:space="preserve"> PAGEREF _Toc428279679 \h </w:instrText>
        </w:r>
        <w:r>
          <w:rPr>
            <w:webHidden/>
          </w:rPr>
        </w:r>
        <w:r>
          <w:rPr>
            <w:webHidden/>
          </w:rPr>
          <w:fldChar w:fldCharType="separate"/>
        </w:r>
        <w:r>
          <w:rPr>
            <w:webHidden/>
          </w:rPr>
          <w:t>16</w:t>
        </w:r>
        <w:r>
          <w:rPr>
            <w:webHidden/>
          </w:rPr>
          <w:fldChar w:fldCharType="end"/>
        </w:r>
      </w:hyperlink>
    </w:p>
    <w:p w:rsidR="00A919B7" w:rsidRDefault="00A919B7" w:rsidP="00A919B7">
      <w:pPr>
        <w:pStyle w:val="TOC1"/>
        <w:rPr>
          <w:rFonts w:asciiTheme="minorHAnsi" w:eastAsiaTheme="minorEastAsia" w:hAnsiTheme="minorHAnsi"/>
          <w:color w:val="auto"/>
          <w:sz w:val="22"/>
          <w:lang w:val="en-US" w:eastAsia="en-US" w:bidi="ar-SA"/>
        </w:rPr>
      </w:pPr>
      <w:hyperlink w:anchor="_Toc428279680" w:history="1">
        <w:r w:rsidRPr="008330D4">
          <w:rPr>
            <w:rStyle w:val="Hyperlink"/>
            <w:rFonts w:asciiTheme="majorHAnsi" w:eastAsiaTheme="majorEastAsia" w:hAnsiTheme="majorHAnsi" w:cstheme="majorBidi"/>
            <w:bCs/>
          </w:rPr>
          <w:t>Licenču nodošanas process</w:t>
        </w:r>
        <w:r>
          <w:rPr>
            <w:webHidden/>
          </w:rPr>
          <w:tab/>
        </w:r>
        <w:r>
          <w:rPr>
            <w:webHidden/>
          </w:rPr>
          <w:fldChar w:fldCharType="begin"/>
        </w:r>
        <w:r>
          <w:rPr>
            <w:webHidden/>
          </w:rPr>
          <w:instrText xml:space="preserve"> PAGEREF _Toc428279680 \h </w:instrText>
        </w:r>
        <w:r>
          <w:rPr>
            <w:webHidden/>
          </w:rPr>
        </w:r>
        <w:r>
          <w:rPr>
            <w:webHidden/>
          </w:rPr>
          <w:fldChar w:fldCharType="separate"/>
        </w:r>
        <w:r>
          <w:rPr>
            <w:webHidden/>
          </w:rPr>
          <w:t>17</w:t>
        </w:r>
        <w:r>
          <w:rPr>
            <w:webHidden/>
          </w:rPr>
          <w:fldChar w:fldCharType="end"/>
        </w:r>
      </w:hyperlink>
    </w:p>
    <w:p w:rsidR="00A919B7" w:rsidRDefault="00A919B7" w:rsidP="00A919B7">
      <w:pPr>
        <w:pStyle w:val="TOC1"/>
        <w:rPr>
          <w:rFonts w:asciiTheme="minorHAnsi" w:eastAsiaTheme="minorEastAsia" w:hAnsiTheme="minorHAnsi"/>
          <w:color w:val="auto"/>
          <w:sz w:val="22"/>
          <w:lang w:val="en-US" w:eastAsia="en-US" w:bidi="ar-SA"/>
        </w:rPr>
      </w:pPr>
      <w:hyperlink w:anchor="_Toc428279681" w:history="1">
        <w:r w:rsidRPr="008330D4">
          <w:rPr>
            <w:rStyle w:val="Hyperlink"/>
            <w:rFonts w:asciiTheme="majorHAnsi" w:eastAsiaTheme="majorEastAsia" w:hAnsiTheme="majorHAnsi" w:cstheme="majorBidi"/>
            <w:bCs/>
          </w:rPr>
          <w:t xml:space="preserve">Atbilstības procesa pārbaude un </w:t>
        </w:r>
        <w:r w:rsidRPr="008330D4">
          <w:rPr>
            <w:rStyle w:val="Hyperlink"/>
            <w:rFonts w:asciiTheme="majorHAnsi" w:eastAsiaTheme="majorEastAsia" w:hAnsiTheme="majorHAnsi"/>
          </w:rPr>
          <w:t>ierobežojumi</w:t>
        </w:r>
        <w:r>
          <w:rPr>
            <w:webHidden/>
          </w:rPr>
          <w:tab/>
        </w:r>
        <w:r>
          <w:rPr>
            <w:webHidden/>
          </w:rPr>
          <w:fldChar w:fldCharType="begin"/>
        </w:r>
        <w:r>
          <w:rPr>
            <w:webHidden/>
          </w:rPr>
          <w:instrText xml:space="preserve"> PAGEREF _Toc428279681 \h </w:instrText>
        </w:r>
        <w:r>
          <w:rPr>
            <w:webHidden/>
          </w:rPr>
        </w:r>
        <w:r>
          <w:rPr>
            <w:webHidden/>
          </w:rPr>
          <w:fldChar w:fldCharType="separate"/>
        </w:r>
        <w:r>
          <w:rPr>
            <w:webHidden/>
          </w:rPr>
          <w:t>17</w:t>
        </w:r>
        <w:r>
          <w:rPr>
            <w:webHidden/>
          </w:rPr>
          <w:fldChar w:fldCharType="end"/>
        </w:r>
      </w:hyperlink>
    </w:p>
    <w:p w:rsidR="00A919B7" w:rsidRDefault="00A919B7" w:rsidP="00A919B7">
      <w:pPr>
        <w:pStyle w:val="TOC1"/>
        <w:rPr>
          <w:rFonts w:asciiTheme="minorHAnsi" w:eastAsiaTheme="minorEastAsia" w:hAnsiTheme="minorHAnsi"/>
          <w:color w:val="auto"/>
          <w:sz w:val="22"/>
          <w:lang w:val="en-US" w:eastAsia="en-US" w:bidi="ar-SA"/>
        </w:rPr>
      </w:pPr>
      <w:hyperlink w:anchor="_Toc428279682" w:history="1">
        <w:r w:rsidRPr="008330D4">
          <w:rPr>
            <w:rStyle w:val="Hyperlink"/>
            <w:rFonts w:asciiTheme="majorHAnsi" w:eastAsiaTheme="majorEastAsia" w:hAnsiTheme="majorHAnsi" w:cstheme="majorBidi"/>
            <w:bCs/>
          </w:rPr>
          <w:t>Atsavināšana</w:t>
        </w:r>
        <w:r>
          <w:rPr>
            <w:webHidden/>
          </w:rPr>
          <w:tab/>
        </w:r>
        <w:r>
          <w:rPr>
            <w:webHidden/>
          </w:rPr>
          <w:fldChar w:fldCharType="begin"/>
        </w:r>
        <w:r>
          <w:rPr>
            <w:webHidden/>
          </w:rPr>
          <w:instrText xml:space="preserve"> PAGEREF _Toc428279682 \h </w:instrText>
        </w:r>
        <w:r>
          <w:rPr>
            <w:webHidden/>
          </w:rPr>
        </w:r>
        <w:r>
          <w:rPr>
            <w:webHidden/>
          </w:rPr>
          <w:fldChar w:fldCharType="separate"/>
        </w:r>
        <w:r>
          <w:rPr>
            <w:webHidden/>
          </w:rPr>
          <w:t>17</w:t>
        </w:r>
        <w:r>
          <w:rPr>
            <w:webHidden/>
          </w:rPr>
          <w:fldChar w:fldCharType="end"/>
        </w:r>
      </w:hyperlink>
    </w:p>
    <w:p w:rsidR="00A919B7" w:rsidRDefault="00A919B7" w:rsidP="00A919B7">
      <w:pPr>
        <w:pStyle w:val="TOC1"/>
        <w:rPr>
          <w:rFonts w:asciiTheme="minorHAnsi" w:eastAsiaTheme="minorEastAsia" w:hAnsiTheme="minorHAnsi"/>
          <w:color w:val="auto"/>
          <w:sz w:val="22"/>
          <w:lang w:val="en-US" w:eastAsia="en-US" w:bidi="ar-SA"/>
        </w:rPr>
      </w:pPr>
      <w:hyperlink w:anchor="_Toc428279683" w:history="1">
        <w:r w:rsidRPr="008330D4">
          <w:rPr>
            <w:rStyle w:val="Hyperlink"/>
            <w:rFonts w:asciiTheme="majorHAnsi" w:eastAsiaTheme="majorEastAsia" w:hAnsiTheme="majorHAnsi" w:cstheme="majorBidi"/>
            <w:bCs/>
          </w:rPr>
          <w:t>Dabas katastrofa</w:t>
        </w:r>
        <w:r>
          <w:rPr>
            <w:webHidden/>
          </w:rPr>
          <w:tab/>
        </w:r>
        <w:r>
          <w:rPr>
            <w:webHidden/>
          </w:rPr>
          <w:fldChar w:fldCharType="begin"/>
        </w:r>
        <w:r>
          <w:rPr>
            <w:webHidden/>
          </w:rPr>
          <w:instrText xml:space="preserve"> PAGEREF _Toc428279683 \h </w:instrText>
        </w:r>
        <w:r>
          <w:rPr>
            <w:webHidden/>
          </w:rPr>
        </w:r>
        <w:r>
          <w:rPr>
            <w:webHidden/>
          </w:rPr>
          <w:fldChar w:fldCharType="separate"/>
        </w:r>
        <w:r>
          <w:rPr>
            <w:webHidden/>
          </w:rPr>
          <w:t>17</w:t>
        </w:r>
        <w:r>
          <w:rPr>
            <w:webHidden/>
          </w:rPr>
          <w:fldChar w:fldCharType="end"/>
        </w:r>
      </w:hyperlink>
    </w:p>
    <w:p w:rsidR="00A919B7" w:rsidRDefault="00A919B7" w:rsidP="00A919B7">
      <w:pPr>
        <w:pStyle w:val="TOC1"/>
        <w:rPr>
          <w:rFonts w:asciiTheme="minorHAnsi" w:eastAsiaTheme="minorEastAsia" w:hAnsiTheme="minorHAnsi"/>
          <w:color w:val="auto"/>
          <w:sz w:val="22"/>
          <w:lang w:val="en-US" w:eastAsia="en-US" w:bidi="ar-SA"/>
        </w:rPr>
      </w:pPr>
      <w:hyperlink w:anchor="_Toc428279684" w:history="1">
        <w:r w:rsidRPr="008330D4">
          <w:rPr>
            <w:rStyle w:val="Hyperlink"/>
          </w:rPr>
          <w:t>4. sadaļa</w:t>
        </w:r>
        <w:r>
          <w:rPr>
            <w:webHidden/>
          </w:rPr>
          <w:tab/>
        </w:r>
        <w:r>
          <w:rPr>
            <w:webHidden/>
          </w:rPr>
          <w:fldChar w:fldCharType="begin"/>
        </w:r>
        <w:r>
          <w:rPr>
            <w:webHidden/>
          </w:rPr>
          <w:instrText xml:space="preserve"> PAGEREF _Toc428279684 \h </w:instrText>
        </w:r>
        <w:r>
          <w:rPr>
            <w:webHidden/>
          </w:rPr>
        </w:r>
        <w:r>
          <w:rPr>
            <w:webHidden/>
          </w:rPr>
          <w:fldChar w:fldCharType="separate"/>
        </w:r>
        <w:r>
          <w:rPr>
            <w:webHidden/>
          </w:rPr>
          <w:t>17</w:t>
        </w:r>
        <w:r>
          <w:rPr>
            <w:webHidden/>
          </w:rPr>
          <w:fldChar w:fldCharType="end"/>
        </w:r>
      </w:hyperlink>
    </w:p>
    <w:p w:rsidR="00A919B7" w:rsidRDefault="00A919B7" w:rsidP="00A919B7">
      <w:pPr>
        <w:pStyle w:val="TOC1"/>
        <w:rPr>
          <w:rFonts w:asciiTheme="minorHAnsi" w:eastAsiaTheme="minorEastAsia" w:hAnsiTheme="minorHAnsi"/>
          <w:color w:val="auto"/>
          <w:sz w:val="22"/>
          <w:lang w:val="en-US" w:eastAsia="en-US" w:bidi="ar-SA"/>
        </w:rPr>
      </w:pPr>
      <w:hyperlink w:anchor="_Toc428279685" w:history="1">
        <w:r w:rsidRPr="008330D4">
          <w:rPr>
            <w:rStyle w:val="Hyperlink"/>
            <w:rFonts w:asciiTheme="majorHAnsi" w:eastAsiaTheme="majorEastAsia" w:hAnsiTheme="majorHAnsi" w:cstheme="majorBidi"/>
          </w:rPr>
          <w:t>Pēdējo 12 mēnešu laikā veiktās izmaiņas licencēšanas rokasgrāmatā</w:t>
        </w:r>
        <w:r>
          <w:rPr>
            <w:webHidden/>
          </w:rPr>
          <w:tab/>
        </w:r>
        <w:r>
          <w:rPr>
            <w:webHidden/>
          </w:rPr>
          <w:fldChar w:fldCharType="begin"/>
        </w:r>
        <w:r>
          <w:rPr>
            <w:webHidden/>
          </w:rPr>
          <w:instrText xml:space="preserve"> PAGEREF _Toc428279685 \h </w:instrText>
        </w:r>
        <w:r>
          <w:rPr>
            <w:webHidden/>
          </w:rPr>
        </w:r>
        <w:r>
          <w:rPr>
            <w:webHidden/>
          </w:rPr>
          <w:fldChar w:fldCharType="separate"/>
        </w:r>
        <w:r>
          <w:rPr>
            <w:webHidden/>
          </w:rPr>
          <w:t>17</w:t>
        </w:r>
        <w:r>
          <w:rPr>
            <w:webHidden/>
          </w:rPr>
          <w:fldChar w:fldCharType="end"/>
        </w:r>
      </w:hyperlink>
    </w:p>
    <w:p w:rsidR="00A919B7" w:rsidRDefault="00A919B7" w:rsidP="00A919B7">
      <w:pPr>
        <w:pStyle w:val="TOC1"/>
        <w:rPr>
          <w:rFonts w:asciiTheme="minorHAnsi" w:eastAsiaTheme="minorEastAsia" w:hAnsiTheme="minorHAnsi"/>
          <w:color w:val="auto"/>
          <w:sz w:val="22"/>
          <w:lang w:val="en-US" w:eastAsia="en-US" w:bidi="ar-SA"/>
        </w:rPr>
      </w:pPr>
      <w:hyperlink w:anchor="_Toc428279686" w:history="1">
        <w:r w:rsidRPr="008330D4">
          <w:rPr>
            <w:rStyle w:val="Hyperlink"/>
          </w:rPr>
          <w:t>Pielikums</w:t>
        </w:r>
        <w:r>
          <w:rPr>
            <w:webHidden/>
          </w:rPr>
          <w:tab/>
        </w:r>
        <w:r>
          <w:rPr>
            <w:webHidden/>
          </w:rPr>
          <w:fldChar w:fldCharType="begin"/>
        </w:r>
        <w:r>
          <w:rPr>
            <w:webHidden/>
          </w:rPr>
          <w:instrText xml:space="preserve"> PAGEREF _Toc428279686 \h </w:instrText>
        </w:r>
        <w:r>
          <w:rPr>
            <w:webHidden/>
          </w:rPr>
        </w:r>
        <w:r>
          <w:rPr>
            <w:webHidden/>
          </w:rPr>
          <w:fldChar w:fldCharType="separate"/>
        </w:r>
        <w:r>
          <w:rPr>
            <w:webHidden/>
          </w:rPr>
          <w:t>17</w:t>
        </w:r>
        <w:r>
          <w:rPr>
            <w:webHidden/>
          </w:rPr>
          <w:fldChar w:fldCharType="end"/>
        </w:r>
      </w:hyperlink>
    </w:p>
    <w:p w:rsidR="00A919B7" w:rsidRDefault="00A919B7" w:rsidP="00A919B7">
      <w:pPr>
        <w:pStyle w:val="TOC1"/>
        <w:rPr>
          <w:rFonts w:asciiTheme="minorHAnsi" w:eastAsiaTheme="minorEastAsia" w:hAnsiTheme="minorHAnsi"/>
          <w:color w:val="auto"/>
          <w:sz w:val="22"/>
          <w:lang w:val="en-US" w:eastAsia="en-US" w:bidi="ar-SA"/>
        </w:rPr>
      </w:pPr>
      <w:hyperlink w:anchor="_Toc428279687" w:history="1">
        <w:r w:rsidRPr="008330D4">
          <w:rPr>
            <w:rStyle w:val="Hyperlink"/>
            <w:rFonts w:asciiTheme="majorHAnsi" w:eastAsiaTheme="majorEastAsia" w:hAnsiTheme="majorHAnsi" w:cstheme="majorBidi"/>
            <w:bCs/>
          </w:rPr>
          <w:t>Reģionu definīcija</w:t>
        </w:r>
        <w:r>
          <w:rPr>
            <w:webHidden/>
          </w:rPr>
          <w:tab/>
        </w:r>
        <w:r>
          <w:rPr>
            <w:webHidden/>
          </w:rPr>
          <w:fldChar w:fldCharType="begin"/>
        </w:r>
        <w:r>
          <w:rPr>
            <w:webHidden/>
          </w:rPr>
          <w:instrText xml:space="preserve"> PAGEREF _Toc428279687 \h </w:instrText>
        </w:r>
        <w:r>
          <w:rPr>
            <w:webHidden/>
          </w:rPr>
        </w:r>
        <w:r>
          <w:rPr>
            <w:webHidden/>
          </w:rPr>
          <w:fldChar w:fldCharType="separate"/>
        </w:r>
        <w:r>
          <w:rPr>
            <w:webHidden/>
          </w:rPr>
          <w:t>17</w:t>
        </w:r>
        <w:r>
          <w:rPr>
            <w:webHidden/>
          </w:rPr>
          <w:fldChar w:fldCharType="end"/>
        </w:r>
      </w:hyperlink>
    </w:p>
    <w:p w:rsidR="00A919B7" w:rsidRPr="00483B32" w:rsidRDefault="00A919B7" w:rsidP="00A919B7">
      <w:pPr>
        <w:pStyle w:val="BodyText"/>
      </w:pPr>
      <w:r>
        <w:fldChar w:fldCharType="end"/>
      </w:r>
    </w:p>
    <w:p w:rsidR="00A919B7" w:rsidRPr="00483B32" w:rsidRDefault="00A919B7" w:rsidP="00A919B7">
      <w:pPr>
        <w:pStyle w:val="Hdg1noborder"/>
      </w:pPr>
      <w:bookmarkStart w:id="1" w:name="_Toc403380293"/>
      <w:bookmarkStart w:id="2" w:name="_Toc403985011"/>
      <w:bookmarkStart w:id="3" w:name="_Toc428279656"/>
      <w:r>
        <w:lastRenderedPageBreak/>
        <w:t>Dokumenta mērķis un resursi</w:t>
      </w:r>
      <w:bookmarkEnd w:id="1"/>
      <w:bookmarkEnd w:id="2"/>
      <w:bookmarkEnd w:id="3"/>
    </w:p>
    <w:p w:rsidR="00A919B7" w:rsidRPr="00483B32" w:rsidRDefault="00A919B7" w:rsidP="00A919B7">
      <w:pPr>
        <w:pStyle w:val="BodyText"/>
      </w:pPr>
      <w:r>
        <w:t>Šajā licencēšanas rokasgrāmatā klientiem, kuriem ir līgums Microsoft Products and Services Agreement (MPSA), ir sniegta atbalsta informācija par konta struktūru, pasūtīšanas procesiem, cenām, Software Assurance un Software Assurance priekšrocībām un citiem nosacījumiem. Visiem terminiem, kas šajā licencēšanas rokasgrāmatā tiek lietoti ar lielo burtu, bet nav definēti, ir tāda pati nozīme kā līgumā MPSA.</w:t>
      </w:r>
    </w:p>
    <w:p w:rsidR="00A919B7" w:rsidRPr="00483B32" w:rsidRDefault="00A919B7" w:rsidP="00A919B7">
      <w:pPr>
        <w:pStyle w:val="BodyText"/>
      </w:pPr>
      <w:r>
        <w:t xml:space="preserve">Līguma MPSA vispārīgs pārskats ir atrodams licencēšanas norādījumos vietnē </w:t>
      </w:r>
      <w:hyperlink r:id="rId11" w:history="1">
        <w:r>
          <w:rPr>
            <w:rStyle w:val="Hyperlink"/>
          </w:rPr>
          <w:t>http://www.microsoft.com/licensing/mpsa/</w:t>
        </w:r>
      </w:hyperlink>
      <w:r w:rsidRPr="002A1A26">
        <w:rPr>
          <w:rStyle w:val="Hyperlink"/>
        </w:rPr>
        <w:t>.</w:t>
      </w:r>
      <w:r>
        <w:rPr>
          <w:rStyle w:val="Hyperlink"/>
        </w:rPr>
        <w:t xml:space="preserve"> </w:t>
      </w:r>
    </w:p>
    <w:p w:rsidR="00A919B7" w:rsidRPr="00483B32" w:rsidRDefault="00A919B7" w:rsidP="00A919B7">
      <w:pPr>
        <w:pStyle w:val="BodyText"/>
      </w:pPr>
      <w:r>
        <w:t xml:space="preserve">Šī dokumenta jaunāko versiju, detalizētu informāciju par lietošanas noteikumiem un Produktu nosacījumiem skatiet vietnē </w:t>
      </w:r>
      <w:hyperlink r:id="rId12" w:history="1">
        <w:r>
          <w:rPr>
            <w:rStyle w:val="Hyperlink"/>
          </w:rPr>
          <w:t>http://www.microsoft.com/licensing/contracts</w:t>
        </w:r>
      </w:hyperlink>
      <w:r w:rsidRPr="002A1A26">
        <w:rPr>
          <w:rStyle w:val="Hyperlink"/>
        </w:rPr>
        <w:t>.</w:t>
      </w:r>
      <w:r>
        <w:t xml:space="preserve"> </w:t>
      </w:r>
    </w:p>
    <w:p w:rsidR="00A919B7" w:rsidRPr="00483B32" w:rsidRDefault="00A919B7" w:rsidP="00A919B7">
      <w:pPr>
        <w:spacing w:line="240" w:lineRule="auto"/>
      </w:pPr>
      <w:r>
        <w:br w:type="page"/>
      </w:r>
    </w:p>
    <w:p w:rsidR="00A919B7" w:rsidRPr="00483B32" w:rsidRDefault="00A919B7" w:rsidP="00A919B7">
      <w:pPr>
        <w:pStyle w:val="Hdg1noborder"/>
        <w:spacing w:before="120" w:after="0"/>
      </w:pPr>
      <w:bookmarkStart w:id="4" w:name="_Toc403380294"/>
      <w:bookmarkStart w:id="5" w:name="_Toc403985012"/>
      <w:bookmarkStart w:id="6" w:name="_Toc428279657"/>
      <w:r>
        <w:lastRenderedPageBreak/>
        <w:t>1. sadaļa</w:t>
      </w:r>
      <w:bookmarkEnd w:id="4"/>
      <w:bookmarkEnd w:id="5"/>
      <w:bookmarkEnd w:id="6"/>
    </w:p>
    <w:p w:rsidR="00A919B7" w:rsidRPr="00483B32" w:rsidRDefault="00A919B7" w:rsidP="00A919B7">
      <w:pPr>
        <w:pStyle w:val="Hdg1noborder"/>
        <w:spacing w:before="120" w:after="120" w:line="240" w:lineRule="auto"/>
        <w:rPr>
          <w:rFonts w:eastAsiaTheme="majorEastAsia"/>
        </w:rPr>
      </w:pPr>
      <w:bookmarkStart w:id="7" w:name="_Toc403380295"/>
      <w:bookmarkStart w:id="8" w:name="_Toc403985013"/>
      <w:bookmarkStart w:id="9" w:name="_Toc428279658"/>
      <w:r>
        <w:rPr>
          <w:rFonts w:asciiTheme="majorHAnsi" w:eastAsiaTheme="majorEastAsia" w:hAnsiTheme="majorHAnsi" w:cstheme="majorBidi"/>
          <w:bCs/>
          <w:color w:val="FFC000" w:themeColor="accent4"/>
          <w:sz w:val="28"/>
          <w:szCs w:val="26"/>
        </w:rPr>
        <w:t>Līguma Microsoft Products and Services Agreement darbība</w:t>
      </w:r>
      <w:bookmarkEnd w:id="7"/>
      <w:bookmarkEnd w:id="8"/>
      <w:bookmarkEnd w:id="9"/>
    </w:p>
    <w:p w:rsidR="00A919B7" w:rsidRPr="00483B32" w:rsidRDefault="00A919B7" w:rsidP="00A919B7">
      <w:pPr>
        <w:pStyle w:val="Thirdheading"/>
      </w:pPr>
      <w:r>
        <w:rPr>
          <w:b/>
        </w:rPr>
        <w:t>Konta struktūra</w:t>
      </w:r>
    </w:p>
    <w:p w:rsidR="00A919B7" w:rsidRPr="00483B32" w:rsidRDefault="00A919B7" w:rsidP="00A919B7">
      <w:pPr>
        <w:pStyle w:val="BodyText"/>
      </w:pPr>
      <w:r>
        <w:t>Līgums Microsoft Products and Services Agreement Iegādes kontos nodrošina iespēju Lielapjoma licencēšanas produktiem iestatīt vēlamo iegādes struktūru. Iegādes konts ir definēts kā jebkura vienība jūsu organizācijā, kurai vēlaties atļaut iegādāties gan Programmatūru, gan Tiešsaistes pakalpojumus. Jūsu Iegādes konti ir saistīti ar jūsu organizācijas līgumu MPSA ar Iegādes konta reģistrācijas veidlapā norādītās juridiskās personas starpniecību.</w:t>
      </w:r>
    </w:p>
    <w:p w:rsidR="00A919B7" w:rsidRPr="00483B32" w:rsidRDefault="00A919B7" w:rsidP="00A919B7">
      <w:pPr>
        <w:pStyle w:val="BodyText"/>
      </w:pPr>
      <w:r>
        <w:t xml:space="preserve">Dažādiem Klientu veidiem ir pieejami trīs Iegādes kontu veidi: Komercuzņēmums, Valsts iestāde un Izglītības iestāde. </w:t>
      </w:r>
    </w:p>
    <w:p w:rsidR="00A919B7" w:rsidRPr="00483B32" w:rsidRDefault="00A919B7" w:rsidP="00A919B7">
      <w:pPr>
        <w:pStyle w:val="BodyText"/>
      </w:pPr>
      <w:r>
        <w:t>Pielāgojamā Iegādes konta struktūra ļauj definēt un atkārtoti definēt organizācijas iegādes konfigurāciju atbilstoši sava uzņēmuma vajadzībām. Šos kontus var izveidot organizācijas līmenī, saistītā uzņēmuma līmenī, departamenta līmenī vai pat tikai personāla apakškopai.</w:t>
      </w:r>
    </w:p>
    <w:p w:rsidR="00A919B7" w:rsidRPr="00483B32" w:rsidRDefault="00A919B7" w:rsidP="00A919B7">
      <w:pPr>
        <w:pStyle w:val="BodyText"/>
      </w:pPr>
      <w:r>
        <w:t xml:space="preserve">Pirmā darbība: jāizlemj, kā organizācija iegādāsies Produktus. Šādi varēsit noteikt struktūru, kas ir izveidota jūsu Lielapjoma licencēšanas iegādes darījumiem. </w:t>
      </w:r>
    </w:p>
    <w:p w:rsidR="00A919B7" w:rsidRPr="00483B32" w:rsidRDefault="00A919B7" w:rsidP="00A919B7">
      <w:pPr>
        <w:pStyle w:val="BodyText"/>
      </w:pPr>
      <w:r>
        <w:t xml:space="preserve">Piemēram, ja vēlaties centrāli pārvaldīt pirkumus, varat reģistrēt vienu Iegādes kontu: </w:t>
      </w:r>
    </w:p>
    <w:tbl>
      <w:tblPr>
        <w:tblStyle w:val="MediumShading1-Accent4"/>
        <w:tblW w:w="0" w:type="auto"/>
        <w:tblInd w:w="108" w:type="dxa"/>
        <w:tblLook w:val="04A0" w:firstRow="1" w:lastRow="0" w:firstColumn="1" w:lastColumn="0" w:noHBand="0" w:noVBand="1"/>
      </w:tblPr>
      <w:tblGrid>
        <w:gridCol w:w="6750"/>
      </w:tblGrid>
      <w:tr w:rsidR="00A919B7"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A919B7" w:rsidRPr="004105EA" w:rsidRDefault="00A919B7" w:rsidP="0019337E">
            <w:pPr>
              <w:pStyle w:val="BodyText"/>
              <w:spacing w:after="0" w:line="240" w:lineRule="auto"/>
              <w:jc w:val="center"/>
              <w:rPr>
                <w:color w:val="FFFFFF" w:themeColor="background1"/>
                <w:sz w:val="16"/>
              </w:rPr>
            </w:pPr>
            <w:r>
              <w:rPr>
                <w:color w:val="FFFFFF" w:themeColor="background1"/>
                <w:sz w:val="16"/>
              </w:rPr>
              <w:t>IEGĀDES KONTS</w:t>
            </w:r>
          </w:p>
        </w:tc>
      </w:tr>
      <w:tr w:rsidR="00A919B7"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A919B7" w:rsidRPr="004105EA" w:rsidRDefault="00A919B7" w:rsidP="0019337E">
            <w:pPr>
              <w:pStyle w:val="BodyText"/>
              <w:spacing w:after="0" w:line="240" w:lineRule="auto"/>
              <w:jc w:val="center"/>
              <w:rPr>
                <w:color w:val="FFFFFF" w:themeColor="background1"/>
                <w:sz w:val="16"/>
              </w:rPr>
            </w:pPr>
            <w:r>
              <w:rPr>
                <w:color w:val="FFC000" w:themeColor="accent4"/>
                <w:sz w:val="16"/>
              </w:rPr>
              <w:t>MPSA</w:t>
            </w:r>
          </w:p>
        </w:tc>
      </w:tr>
    </w:tbl>
    <w:p w:rsidR="00A919B7" w:rsidRPr="00483B32" w:rsidRDefault="00A919B7" w:rsidP="00A919B7">
      <w:pPr>
        <w:pStyle w:val="BodyText"/>
        <w:spacing w:before="240"/>
      </w:pPr>
      <w:r>
        <w:t xml:space="preserve">Ja vēlaties izmantot vispārīgāku pieeju, varat arī reģistrēt vairākus Iegādes kontus un iegūt vairākus Iegādes kontu veidus vienā līgumā MPSA: </w:t>
      </w:r>
    </w:p>
    <w:tbl>
      <w:tblPr>
        <w:tblStyle w:val="MediumShading1-Accent4"/>
        <w:tblW w:w="0" w:type="auto"/>
        <w:tblInd w:w="108" w:type="dxa"/>
        <w:tblLook w:val="04A0" w:firstRow="1" w:lastRow="0" w:firstColumn="1" w:lastColumn="0" w:noHBand="0" w:noVBand="1"/>
      </w:tblPr>
      <w:tblGrid>
        <w:gridCol w:w="2250"/>
        <w:gridCol w:w="2250"/>
        <w:gridCol w:w="2250"/>
      </w:tblGrid>
      <w:tr w:rsidR="00A919B7"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A919B7" w:rsidRPr="00483B32" w:rsidRDefault="00A919B7" w:rsidP="0019337E">
            <w:pPr>
              <w:pStyle w:val="BodyText"/>
              <w:spacing w:after="0" w:line="240" w:lineRule="auto"/>
              <w:jc w:val="center"/>
            </w:pPr>
            <w:r>
              <w:rPr>
                <w:color w:val="FFFFFF" w:themeColor="background1"/>
                <w:sz w:val="16"/>
              </w:rPr>
              <w:t>1. IEGĀDES KONTS</w:t>
            </w:r>
          </w:p>
          <w:p w:rsidR="00A919B7" w:rsidRPr="004105EA" w:rsidRDefault="00A919B7" w:rsidP="0019337E">
            <w:pPr>
              <w:pStyle w:val="BodyText"/>
              <w:spacing w:after="0" w:line="240" w:lineRule="auto"/>
              <w:jc w:val="center"/>
              <w:rPr>
                <w:color w:val="FFFFFF" w:themeColor="background1"/>
                <w:sz w:val="16"/>
              </w:rPr>
            </w:pPr>
            <w:r>
              <w:rPr>
                <w:color w:val="FFFFFF" w:themeColor="background1"/>
                <w:sz w:val="16"/>
              </w:rPr>
              <w:t>Izglītības iestāde</w:t>
            </w:r>
          </w:p>
        </w:tc>
        <w:tc>
          <w:tcPr>
            <w:tcW w:w="2250" w:type="dxa"/>
            <w:vAlign w:val="center"/>
          </w:tcPr>
          <w:p w:rsidR="00A919B7" w:rsidRPr="00483B32" w:rsidRDefault="00A919B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IEGĀDES KONTS</w:t>
            </w:r>
          </w:p>
          <w:p w:rsidR="00A919B7" w:rsidRPr="004105EA" w:rsidRDefault="00A919B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Komercuzņēmums</w:t>
            </w:r>
          </w:p>
        </w:tc>
        <w:tc>
          <w:tcPr>
            <w:tcW w:w="2250" w:type="dxa"/>
            <w:vAlign w:val="center"/>
          </w:tcPr>
          <w:p w:rsidR="00A919B7" w:rsidRPr="00483B32" w:rsidRDefault="00A919B7"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IEGĀDES KONTS</w:t>
            </w:r>
          </w:p>
          <w:p w:rsidR="00A919B7" w:rsidRPr="004105EA" w:rsidRDefault="00A919B7"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Komercuzņēmums</w:t>
            </w:r>
          </w:p>
        </w:tc>
      </w:tr>
      <w:tr w:rsidR="00A919B7"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A919B7" w:rsidRPr="004105EA" w:rsidRDefault="00A919B7" w:rsidP="0019337E">
            <w:pPr>
              <w:pStyle w:val="BodyText"/>
              <w:spacing w:after="0" w:line="240" w:lineRule="auto"/>
              <w:jc w:val="center"/>
              <w:rPr>
                <w:color w:val="FFFFFF" w:themeColor="background1"/>
                <w:sz w:val="16"/>
              </w:rPr>
            </w:pPr>
            <w:r>
              <w:rPr>
                <w:color w:val="FFC000" w:themeColor="accent4"/>
                <w:sz w:val="16"/>
              </w:rPr>
              <w:t>MPSA</w:t>
            </w:r>
          </w:p>
        </w:tc>
      </w:tr>
    </w:tbl>
    <w:p w:rsidR="00A919B7" w:rsidRPr="00483B32" w:rsidRDefault="00A919B7" w:rsidP="00A919B7">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A919B7"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A919B7" w:rsidRPr="00483B32" w:rsidRDefault="00A919B7" w:rsidP="0019337E">
            <w:pPr>
              <w:pStyle w:val="BodyText"/>
              <w:spacing w:after="0" w:line="240" w:lineRule="auto"/>
              <w:jc w:val="center"/>
            </w:pPr>
            <w:r>
              <w:rPr>
                <w:color w:val="FFFFFF" w:themeColor="background1"/>
                <w:sz w:val="16"/>
              </w:rPr>
              <w:t>1. IEGĀDES KONTS</w:t>
            </w:r>
          </w:p>
          <w:p w:rsidR="00A919B7" w:rsidRPr="004105EA" w:rsidRDefault="00A919B7" w:rsidP="0019337E">
            <w:pPr>
              <w:pStyle w:val="BodyText"/>
              <w:spacing w:after="0" w:line="240" w:lineRule="auto"/>
              <w:jc w:val="center"/>
              <w:rPr>
                <w:color w:val="FFFFFF" w:themeColor="background1"/>
                <w:sz w:val="16"/>
              </w:rPr>
            </w:pPr>
            <w:r>
              <w:rPr>
                <w:color w:val="FFFFFF" w:themeColor="background1"/>
                <w:sz w:val="16"/>
              </w:rPr>
              <w:t>Komercuzņēmums</w:t>
            </w:r>
          </w:p>
        </w:tc>
        <w:tc>
          <w:tcPr>
            <w:tcW w:w="2250" w:type="dxa"/>
            <w:vAlign w:val="center"/>
          </w:tcPr>
          <w:p w:rsidR="00A919B7" w:rsidRPr="00483B32" w:rsidRDefault="00A919B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IEGĀDES KONTS</w:t>
            </w:r>
          </w:p>
          <w:p w:rsidR="00A919B7" w:rsidRPr="004105EA" w:rsidRDefault="00A919B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Komercuzņēmums</w:t>
            </w:r>
          </w:p>
        </w:tc>
        <w:tc>
          <w:tcPr>
            <w:tcW w:w="2250" w:type="dxa"/>
            <w:vAlign w:val="center"/>
          </w:tcPr>
          <w:p w:rsidR="00A919B7" w:rsidRPr="00483B32" w:rsidRDefault="00A919B7"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IEGĀDES KONTS</w:t>
            </w:r>
          </w:p>
          <w:p w:rsidR="00A919B7" w:rsidRPr="004105EA" w:rsidRDefault="00A919B7"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Komercuzņēmums</w:t>
            </w:r>
          </w:p>
        </w:tc>
      </w:tr>
      <w:tr w:rsidR="00A919B7"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A919B7" w:rsidRPr="004105EA" w:rsidRDefault="00A919B7" w:rsidP="0019337E">
            <w:pPr>
              <w:pStyle w:val="BodyText"/>
              <w:spacing w:after="0" w:line="240" w:lineRule="auto"/>
              <w:jc w:val="center"/>
              <w:rPr>
                <w:color w:val="FFFFFF" w:themeColor="background1"/>
                <w:sz w:val="16"/>
              </w:rPr>
            </w:pPr>
            <w:r>
              <w:rPr>
                <w:color w:val="FFC000" w:themeColor="accent4"/>
                <w:sz w:val="16"/>
              </w:rPr>
              <w:t>MPSA</w:t>
            </w:r>
          </w:p>
        </w:tc>
      </w:tr>
    </w:tbl>
    <w:p w:rsidR="00A919B7" w:rsidRPr="00483B32" w:rsidRDefault="00A919B7" w:rsidP="00A919B7">
      <w:pPr>
        <w:pStyle w:val="Thirdheading"/>
      </w:pPr>
    </w:p>
    <w:p w:rsidR="00A919B7" w:rsidRPr="00483B32" w:rsidRDefault="00A919B7" w:rsidP="00A919B7">
      <w:pPr>
        <w:pStyle w:val="Thirdheading"/>
      </w:pPr>
      <w:r>
        <w:rPr>
          <w:b/>
        </w:rPr>
        <w:t>Iegādes konta reģistrācijas mēnesis</w:t>
      </w:r>
    </w:p>
    <w:p w:rsidR="00A919B7" w:rsidRPr="00483B32" w:rsidRDefault="00A919B7" w:rsidP="00A919B7">
      <w:pPr>
        <w:pStyle w:val="BodyText"/>
      </w:pPr>
      <w:r>
        <w:t xml:space="preserve">Reģistrējot katru Iegādes kontu, tiek izvēlēts noteikts mēnesis, ar kuru saskaņot pirkumus, kuriem ir abonēšanas nosacījumi, lai nodrošinātu vienu un konsekventu atjaunošanas laiku. Piemēram, ja vienam no jūsu kontiem par reģistrācijas mēnesi tiek izvēlēts janvāris, visi Tiešsaistes pakalpojumu pirkumi, kas veikti šajā kontā, tiks saskaņoti ar šo mēnesi, un tādējādi katru gadu Tiešsaistes pakalpojumu atjaunošana tiks veikta janvārī. Šo izvēli savai organizācijai pēc nepieciešamības varat vēlāk mainīt Microsoft lielapjoma licencēšanas centrā (Microsoft Volume Licensing Center — MVLC). </w:t>
      </w:r>
    </w:p>
    <w:p w:rsidR="00A919B7" w:rsidRPr="00483B32" w:rsidRDefault="00A919B7" w:rsidP="00A919B7">
      <w:pPr>
        <w:pStyle w:val="BodyText"/>
      </w:pPr>
      <w:r>
        <w:t xml:space="preserve">Valsts un Izglītības iestāžu Iegādes kontiem var norādīt pirkumu beigu datumu. Ja šī opcija ir atlasīta, abonēšanas nosacījumi nebūs spēkā pēc šī datuma. Ja nepieciešams, šo datumu var pagarināt. </w:t>
      </w:r>
    </w:p>
    <w:p w:rsidR="00A919B7" w:rsidRPr="00483B32" w:rsidRDefault="00A919B7" w:rsidP="00A919B7">
      <w:pPr>
        <w:pStyle w:val="BodyText"/>
      </w:pPr>
    </w:p>
    <w:p w:rsidR="00A919B7" w:rsidRPr="00483B32" w:rsidRDefault="00A919B7" w:rsidP="00A919B7">
      <w:pPr>
        <w:pStyle w:val="Thirdheading"/>
      </w:pPr>
      <w:r>
        <w:rPr>
          <w:b/>
        </w:rPr>
        <w:t>Līguma administrators</w:t>
      </w:r>
    </w:p>
    <w:p w:rsidR="00A919B7" w:rsidRPr="00483B32" w:rsidRDefault="00A919B7" w:rsidP="00A919B7">
      <w:pPr>
        <w:pStyle w:val="BodyText"/>
      </w:pPr>
      <w:r>
        <w:t>Katram līgumam MPSA viens Iegādes konts tiek norādīts kā Līguma administrators. Šādi varat vienuviet pārskatīt visus organizācijas īpašumus un ērti pārvaldīt visus Iegādes kontus. Līguma administratora konts:</w:t>
      </w:r>
    </w:p>
    <w:p w:rsidR="00A919B7" w:rsidRPr="00483B32" w:rsidRDefault="00A919B7" w:rsidP="00A919B7">
      <w:pPr>
        <w:pStyle w:val="BodyText"/>
        <w:numPr>
          <w:ilvl w:val="0"/>
          <w:numId w:val="16"/>
        </w:numPr>
        <w:spacing w:after="0"/>
      </w:pPr>
      <w:r>
        <w:t>pilnīgs īpašumu skats visos Iegādes kontos;</w:t>
      </w:r>
    </w:p>
    <w:p w:rsidR="00A919B7" w:rsidRPr="00483B32" w:rsidRDefault="00A919B7" w:rsidP="00A919B7">
      <w:pPr>
        <w:pStyle w:val="BodyText"/>
        <w:numPr>
          <w:ilvl w:val="0"/>
          <w:numId w:val="16"/>
        </w:numPr>
        <w:spacing w:after="0"/>
      </w:pPr>
      <w:r>
        <w:t>paziņojums, ja Iegādes konts tiek saistīts ar jūsu līgumu MPSA;</w:t>
      </w:r>
    </w:p>
    <w:p w:rsidR="00A919B7" w:rsidRPr="00483B32" w:rsidRDefault="00A919B7" w:rsidP="00A919B7">
      <w:pPr>
        <w:pStyle w:val="BodyText"/>
        <w:numPr>
          <w:ilvl w:val="0"/>
          <w:numId w:val="16"/>
        </w:numPr>
        <w:spacing w:after="0"/>
      </w:pPr>
      <w:r>
        <w:lastRenderedPageBreak/>
        <w:t>tiesības izbeigt jebkura Iegādes konta saistību ar līgumu MPSA;</w:t>
      </w:r>
    </w:p>
    <w:p w:rsidR="00A919B7" w:rsidRPr="00483B32" w:rsidRDefault="00A919B7" w:rsidP="00A919B7">
      <w:pPr>
        <w:pStyle w:val="BodyText"/>
        <w:numPr>
          <w:ilvl w:val="0"/>
          <w:numId w:val="16"/>
        </w:numPr>
        <w:spacing w:after="0"/>
      </w:pPr>
      <w:r>
        <w:t>tiesības izbeigt līguma MPSA darbību;</w:t>
      </w:r>
    </w:p>
    <w:p w:rsidR="00A919B7" w:rsidRPr="00483B32" w:rsidRDefault="00A919B7" w:rsidP="00A919B7">
      <w:pPr>
        <w:pStyle w:val="BodyText"/>
        <w:numPr>
          <w:ilvl w:val="0"/>
          <w:numId w:val="16"/>
        </w:numPr>
        <w:spacing w:after="0"/>
      </w:pPr>
      <w:r>
        <w:t xml:space="preserve">nevar veikt pasūtījumus citiem Iegādes kontiem vai pārvaldīt to īpašumus; </w:t>
      </w:r>
    </w:p>
    <w:p w:rsidR="00A919B7" w:rsidRPr="00483B32" w:rsidRDefault="00A919B7" w:rsidP="00A919B7">
      <w:pPr>
        <w:pStyle w:val="BodyText"/>
        <w:numPr>
          <w:ilvl w:val="0"/>
          <w:numId w:val="16"/>
        </w:numPr>
        <w:spacing w:after="0"/>
      </w:pPr>
      <w:r>
        <w:t>Saistītā uzņēmuma definēšanai tiek izmantots Līguma administratora klients (juridiska persona).</w:t>
      </w:r>
    </w:p>
    <w:p w:rsidR="00A919B7" w:rsidRPr="00483B32" w:rsidRDefault="00A919B7" w:rsidP="00A919B7">
      <w:pPr>
        <w:pStyle w:val="Thirdheading"/>
        <w:spacing w:line="240" w:lineRule="auto"/>
      </w:pPr>
      <w:r>
        <w:rPr>
          <w:b/>
        </w:rPr>
        <w:t>Partneri</w:t>
      </w:r>
    </w:p>
    <w:p w:rsidR="00A919B7" w:rsidRPr="00483B32" w:rsidRDefault="00A919B7" w:rsidP="00A919B7">
      <w:pPr>
        <w:pStyle w:val="BodyText"/>
        <w:spacing w:after="0"/>
      </w:pPr>
      <w:r>
        <w:t>Iegādi saskaņā ar līgumu MPSA ir tiesības veikt, izmantojot licencēšanas risinājumu partneru (Licensing Solution Partners — LSP) pakalpojumus. Jums ir tiesības izvēlēties katram Iegādes kontam konkrētu LSP, kurš sadarbosies ar jums, lai reģistrētu Iegādes kontus un elektroniski izveidotu līgumu, parakstoties elektroniski</w:t>
      </w:r>
      <w:r>
        <w:rPr>
          <w:rStyle w:val="FootnoteReference"/>
        </w:rPr>
        <w:footnoteReference w:id="1"/>
      </w:r>
      <w:r>
        <w:t xml:space="preserve">. Lai veiktu iegādes darījumus, laika gaitā pēc nepieciešamības varat pievienot LSP savam(-iem) kontam(-iem). Papildinformāciju par partneru atrašanās vietām visā pasaulē, lūdzu, skatiet vietnē </w:t>
      </w:r>
      <w:hyperlink r:id="rId13" w:history="1">
        <w:r>
          <w:rPr>
            <w:rStyle w:val="Hyperlink"/>
          </w:rPr>
          <w:t>http://pinpoint.microsoft.com</w:t>
        </w:r>
      </w:hyperlink>
      <w:r w:rsidRPr="00B47437">
        <w:rPr>
          <w:rStyle w:val="Hyperlink"/>
        </w:rPr>
        <w:t>.</w:t>
      </w:r>
    </w:p>
    <w:p w:rsidR="00A919B7" w:rsidRPr="00483B32" w:rsidRDefault="00A919B7" w:rsidP="00A919B7">
      <w:pPr>
        <w:pStyle w:val="Hdg1noborder"/>
        <w:spacing w:before="240"/>
        <w:rPr>
          <w:rFonts w:eastAsiaTheme="majorEastAsia"/>
        </w:rPr>
      </w:pPr>
      <w:bookmarkStart w:id="10" w:name="_Toc403380296"/>
      <w:bookmarkStart w:id="11" w:name="_Toc403985014"/>
      <w:bookmarkStart w:id="12" w:name="_Toc428279659"/>
      <w:r>
        <w:rPr>
          <w:rFonts w:asciiTheme="majorHAnsi" w:eastAsiaTheme="majorEastAsia" w:hAnsiTheme="majorHAnsi" w:cstheme="majorBidi"/>
          <w:bCs/>
          <w:color w:val="FFC000" w:themeColor="accent4"/>
          <w:sz w:val="28"/>
          <w:szCs w:val="26"/>
        </w:rPr>
        <w:t>Līguma struktūra</w:t>
      </w:r>
      <w:bookmarkEnd w:id="10"/>
      <w:bookmarkEnd w:id="11"/>
      <w:bookmarkEnd w:id="12"/>
    </w:p>
    <w:p w:rsidR="00A919B7" w:rsidRPr="00483B32" w:rsidRDefault="00A919B7" w:rsidP="00A919B7">
      <w:pPr>
        <w:pStyle w:val="BodyText"/>
      </w:pPr>
      <w:r>
        <w:t xml:space="preserve">Lai pēc iespējas precīzāk atbilstu jūsu organizācijas struktūrai, līguma MPSA noteikumi un nosacījumi tiek veidoti, izmantojot tālāk norādītās sadaļas. </w:t>
      </w:r>
    </w:p>
    <w:p w:rsidR="00A919B7" w:rsidRPr="00483B32" w:rsidRDefault="00A919B7" w:rsidP="00A919B7">
      <w:pPr>
        <w:pStyle w:val="BodyText"/>
        <w:numPr>
          <w:ilvl w:val="0"/>
          <w:numId w:val="45"/>
        </w:numPr>
      </w:pPr>
      <w:r>
        <w:t>Vispārīgie noteikumi un nosacījumi — attiecas uz visiem Klientu veidiem visā pasaulē</w:t>
      </w:r>
    </w:p>
    <w:p w:rsidR="00A919B7" w:rsidRPr="00483B32" w:rsidRDefault="00A919B7" w:rsidP="00A919B7">
      <w:pPr>
        <w:pStyle w:val="BodyText"/>
        <w:numPr>
          <w:ilvl w:val="0"/>
          <w:numId w:val="45"/>
        </w:numPr>
      </w:pPr>
      <w:r>
        <w:t>Profesionālie pakalpojumi — noteikumi un nosacījumi Microsoft konsultāciju un atbalsta pakalpojumiem visā pasaulē</w:t>
      </w:r>
    </w:p>
    <w:p w:rsidR="00A919B7" w:rsidRPr="00483B32" w:rsidRDefault="00A919B7" w:rsidP="00A919B7">
      <w:pPr>
        <w:pStyle w:val="BodyText"/>
        <w:numPr>
          <w:ilvl w:val="0"/>
          <w:numId w:val="45"/>
        </w:numPr>
      </w:pPr>
      <w:r>
        <w:t>Nosacījumi par Iegādes konta veidu — reģistrējot Valsts vai Izglītības iestādes Iegādes kontu, tie sedz noteiktus noteikumus un nosacījumus par Klienta veidu</w:t>
      </w:r>
    </w:p>
    <w:p w:rsidR="00A919B7" w:rsidRPr="00483B32" w:rsidRDefault="00A919B7" w:rsidP="00A919B7">
      <w:pPr>
        <w:pStyle w:val="BodyText"/>
        <w:numPr>
          <w:ilvl w:val="0"/>
          <w:numId w:val="45"/>
        </w:numPr>
      </w:pPr>
      <w:r>
        <w:t xml:space="preserve">Valstij atbilstošie nosacījumi par Iegādes konta veidu — uz Valsts un Izglītības iestāžu klientiem noteiktās valstīs un reģionos attiecas papildu noteikumi un nosacījumi </w:t>
      </w:r>
    </w:p>
    <w:p w:rsidR="00A919B7" w:rsidRPr="00483B32" w:rsidRDefault="00A919B7" w:rsidP="00A919B7">
      <w:pPr>
        <w:pStyle w:val="BodyText"/>
      </w:pPr>
      <w:r>
        <w:t xml:space="preserve">Lai organizācijas varētu iegūt Valsts vai Izglītības iestādes Iegādes konta kvalifikāciju, tām ir jānodrošina atbilstība prasībām, kuras ir norādītas vietnē </w:t>
      </w:r>
      <w:hyperlink r:id="rId14" w:history="1">
        <w:r>
          <w:rPr>
            <w:rStyle w:val="Hyperlink"/>
          </w:rPr>
          <w:t>http://www.microsoftvolumelicensing.com/contracts</w:t>
        </w:r>
      </w:hyperlink>
      <w:r>
        <w:t>.</w:t>
      </w:r>
    </w:p>
    <w:p w:rsidR="00A919B7" w:rsidRPr="00483B32" w:rsidRDefault="00A919B7" w:rsidP="00A919B7">
      <w:pPr>
        <w:pStyle w:val="Hdg1noborder"/>
        <w:spacing w:before="240"/>
        <w:rPr>
          <w:rFonts w:eastAsiaTheme="majorEastAsia"/>
        </w:rPr>
      </w:pPr>
      <w:bookmarkStart w:id="13" w:name="_Toc403380297"/>
      <w:bookmarkStart w:id="14" w:name="_Toc403985015"/>
      <w:bookmarkStart w:id="15" w:name="_Toc428279660"/>
      <w:r>
        <w:rPr>
          <w:rFonts w:asciiTheme="majorHAnsi" w:eastAsiaTheme="majorEastAsia" w:hAnsiTheme="majorHAnsi" w:cstheme="majorBidi"/>
          <w:bCs/>
          <w:color w:val="FFC000" w:themeColor="accent4"/>
          <w:sz w:val="28"/>
          <w:szCs w:val="26"/>
        </w:rPr>
        <w:t>Iegādes darījumi</w:t>
      </w:r>
      <w:bookmarkEnd w:id="13"/>
      <w:bookmarkEnd w:id="14"/>
      <w:bookmarkEnd w:id="15"/>
    </w:p>
    <w:p w:rsidR="00A919B7" w:rsidRPr="00483B32" w:rsidRDefault="00A919B7" w:rsidP="00A919B7">
      <w:pPr>
        <w:pStyle w:val="Thirdheading"/>
      </w:pPr>
      <w:r>
        <w:rPr>
          <w:b/>
        </w:rPr>
        <w:t>Produkti</w:t>
      </w:r>
    </w:p>
    <w:p w:rsidR="00A919B7" w:rsidRPr="00483B32" w:rsidRDefault="00A919B7" w:rsidP="00A919B7">
      <w:pPr>
        <w:pStyle w:val="BodyText"/>
      </w:pPr>
      <w:r>
        <w:t xml:space="preserve">Saskaņā ar līgumu MPSA jūs varat pasūtīt Programmatūru un Tiešsaistes pakalpojumus. Pašlaik lielākā daļa Programmatūras, kas tiek pārdota arī Select Plus un Office 365, Intune, CRM Online un Yammer produktos, ir pieejama arī saskaņā ar līgumu MPSA. Pilnu sarakstu ar Produktiem, kas ir pieejami saskaņā ar MPSA līgumu, lūdzu, skatiet Produktu nosacījumos vietnē </w:t>
      </w:r>
      <w:hyperlink r:id="rId15" w:history="1">
        <w:r>
          <w:rPr>
            <w:rStyle w:val="Hyperlink"/>
          </w:rPr>
          <w:t>http://www.microsoft.com/licensing/contracts</w:t>
        </w:r>
      </w:hyperlink>
      <w:r>
        <w:t xml:space="preserve">. </w:t>
      </w:r>
    </w:p>
    <w:p w:rsidR="00A919B7" w:rsidRPr="00483B32" w:rsidRDefault="00A919B7" w:rsidP="00A919B7">
      <w:pPr>
        <w:pStyle w:val="Thirdheading"/>
      </w:pPr>
      <w:r>
        <w:rPr>
          <w:b/>
        </w:rPr>
        <w:t>Piekļuve lejupielādēm un konta informācijai</w:t>
      </w:r>
    </w:p>
    <w:p w:rsidR="00A919B7" w:rsidRPr="00483B32" w:rsidRDefault="00A919B7" w:rsidP="00A919B7">
      <w:pPr>
        <w:pStyle w:val="BodyText"/>
      </w:pPr>
      <w:r>
        <w:t>Microsoft lielapjoma licencēšanas centrs (Microsoft Volume Licensing Center — MVLC) ir portāls, kurā var lejupielādēt Programmatūru, piekļūt Produktu atslēgām, skatīt savu licenču un pakalpojumu portfeli un nodrošinātu Tiešsaistes pakalpojumus. MVLC varat piekļūt vietnē</w:t>
      </w:r>
      <w:r>
        <w:rPr>
          <w:color w:val="1F497D"/>
        </w:rPr>
        <w:t xml:space="preserve"> </w:t>
      </w:r>
      <w:hyperlink r:id="rId16" w:history="1">
        <w:r>
          <w:rPr>
            <w:rStyle w:val="Hyperlink"/>
          </w:rPr>
          <w:t>https://licensing.microsoft.com/customer/</w:t>
        </w:r>
      </w:hyperlink>
      <w:r>
        <w:rPr>
          <w:color w:val="1F497D"/>
        </w:rPr>
        <w:t>.</w:t>
      </w:r>
    </w:p>
    <w:p w:rsidR="00A919B7" w:rsidRPr="00483B32" w:rsidRDefault="00A919B7" w:rsidP="00A919B7">
      <w:pPr>
        <w:pStyle w:val="Thirdheading"/>
      </w:pPr>
      <w:r>
        <w:rPr>
          <w:b/>
        </w:rPr>
        <w:t>Cenu līmeņi</w:t>
      </w:r>
    </w:p>
    <w:p w:rsidR="00A919B7" w:rsidRPr="00483B32" w:rsidRDefault="00A919B7" w:rsidP="00A919B7">
      <w:pPr>
        <w:pStyle w:val="BodyText"/>
      </w:pPr>
      <w:r>
        <w:t>Lai kvalificētos produktu iegādei pūlā saskaņā ar MPSA, jums katru gadu ir jāsasniedz vismaz 500 punkti katrā attiecīgajā pūlā. Varat arī kvalificēties, iegādājoties vismaz 250 punktu Tiešsaistes pakalpojumiem attiecīgajā pūlā vai saistot aktīvu kvalificētu līgumu (reģistrācija Enrollment, reģistrācija Enterprise Subscription vai līgums Select Plus) ar līgumu MPSA. Lai Klientu, kurš noslēdza kvalificētu līgumu, saistītu ar līgumu MPSA, Jums ir jāsaņem apstiprinājums un ir jābūt saistītam ar šo Klientu. Varat arī izmantot Microsoft Azure pakalpojumus, kurus apmaksājāt, izmantojot Iegādes kontu, pat ja neesat sasniedzis minimālo nepieciešamo punktu skaitu.</w:t>
      </w:r>
    </w:p>
    <w:p w:rsidR="00A919B7" w:rsidRPr="00483B32" w:rsidRDefault="00A919B7" w:rsidP="00A919B7">
      <w:pPr>
        <w:pStyle w:val="BodyText"/>
      </w:pPr>
      <w:r>
        <w:t xml:space="preserve">Komerciālām organizācijām, kuras Iegādes kontus reģistrē saskaņā ar līgumu MPSA, ir pieejami četri tālāk definētie cenu līmeņi pēc Produktu pūliem. Komercuzņēmumu Iegādes kontu punkti katram cenu līmenim ir norādīti tālāk redzamajā tabulā. </w:t>
      </w:r>
    </w:p>
    <w:tbl>
      <w:tblPr>
        <w:tblStyle w:val="MediumShading1-Accent4"/>
        <w:tblW w:w="4126" w:type="pct"/>
        <w:tblInd w:w="108" w:type="dxa"/>
        <w:tblLook w:val="04A0" w:firstRow="1" w:lastRow="0" w:firstColumn="1" w:lastColumn="0" w:noHBand="0" w:noVBand="1"/>
      </w:tblPr>
      <w:tblGrid>
        <w:gridCol w:w="4500"/>
        <w:gridCol w:w="4590"/>
      </w:tblGrid>
      <w:tr w:rsidR="00A919B7"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A919B7" w:rsidRPr="00B50681" w:rsidRDefault="00A919B7" w:rsidP="0019337E">
            <w:pPr>
              <w:pStyle w:val="VLTableHeader"/>
              <w:spacing w:before="0" w:after="0"/>
              <w:jc w:val="center"/>
              <w:rPr>
                <w:b/>
              </w:rPr>
            </w:pPr>
            <w:r>
              <w:rPr>
                <w:b/>
              </w:rPr>
              <w:lastRenderedPageBreak/>
              <w:t>Cenu līmenis — Komercuzņēmums</w:t>
            </w:r>
          </w:p>
        </w:tc>
        <w:tc>
          <w:tcPr>
            <w:tcW w:w="2525" w:type="pct"/>
          </w:tcPr>
          <w:p w:rsidR="00A919B7" w:rsidRPr="00B50681" w:rsidRDefault="00A919B7"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Minimālais punktu skaits gadā katram pūlam</w:t>
            </w:r>
          </w:p>
        </w:tc>
      </w:tr>
      <w:tr w:rsidR="00A919B7"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A919B7" w:rsidRPr="00B50681" w:rsidRDefault="00A919B7" w:rsidP="0019337E">
            <w:pPr>
              <w:pStyle w:val="VLBodyCopy2"/>
              <w:jc w:val="center"/>
              <w:rPr>
                <w:b w:val="0"/>
              </w:rPr>
            </w:pPr>
            <w:r>
              <w:rPr>
                <w:b w:val="0"/>
              </w:rPr>
              <w:t>A</w:t>
            </w:r>
          </w:p>
        </w:tc>
        <w:tc>
          <w:tcPr>
            <w:tcW w:w="2525" w:type="pct"/>
          </w:tcPr>
          <w:p w:rsidR="00A919B7" w:rsidRPr="00B50681" w:rsidRDefault="00A919B7" w:rsidP="0019337E">
            <w:pPr>
              <w:pStyle w:val="VLBodyCopy2"/>
              <w:jc w:val="center"/>
              <w:cnfStyle w:val="000000100000" w:firstRow="0" w:lastRow="0" w:firstColumn="0" w:lastColumn="0" w:oddVBand="0" w:evenVBand="0" w:oddHBand="1" w:evenHBand="0" w:firstRowFirstColumn="0" w:firstRowLastColumn="0" w:lastRowFirstColumn="0" w:lastRowLastColumn="0"/>
            </w:pPr>
            <w:r>
              <w:t>500 vai 250 (tikai OLS)</w:t>
            </w:r>
          </w:p>
        </w:tc>
      </w:tr>
      <w:tr w:rsidR="00A919B7"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A919B7" w:rsidRPr="00B50681" w:rsidRDefault="00A919B7" w:rsidP="0019337E">
            <w:pPr>
              <w:pStyle w:val="VLBodyCopy2"/>
              <w:jc w:val="center"/>
              <w:rPr>
                <w:b w:val="0"/>
              </w:rPr>
            </w:pPr>
            <w:r>
              <w:rPr>
                <w:b w:val="0"/>
              </w:rPr>
              <w:t>B</w:t>
            </w:r>
          </w:p>
        </w:tc>
        <w:tc>
          <w:tcPr>
            <w:tcW w:w="2525" w:type="pct"/>
          </w:tcPr>
          <w:p w:rsidR="00A919B7" w:rsidRPr="00B50681" w:rsidRDefault="00A919B7" w:rsidP="0019337E">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A919B7"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A919B7" w:rsidRPr="00B50681" w:rsidRDefault="00A919B7" w:rsidP="0019337E">
            <w:pPr>
              <w:pStyle w:val="VLBodyCopy2"/>
              <w:jc w:val="center"/>
              <w:rPr>
                <w:b w:val="0"/>
              </w:rPr>
            </w:pPr>
            <w:r>
              <w:rPr>
                <w:b w:val="0"/>
              </w:rPr>
              <w:t>C</w:t>
            </w:r>
          </w:p>
        </w:tc>
        <w:tc>
          <w:tcPr>
            <w:tcW w:w="2525" w:type="pct"/>
          </w:tcPr>
          <w:p w:rsidR="00A919B7" w:rsidRPr="00B50681" w:rsidRDefault="00A919B7" w:rsidP="001933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A919B7"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A919B7" w:rsidRPr="00B50681" w:rsidRDefault="00A919B7" w:rsidP="0019337E">
            <w:pPr>
              <w:pStyle w:val="VLBodyCopy2"/>
              <w:jc w:val="center"/>
              <w:rPr>
                <w:b w:val="0"/>
              </w:rPr>
            </w:pPr>
            <w:r>
              <w:rPr>
                <w:b w:val="0"/>
              </w:rPr>
              <w:t>D</w:t>
            </w:r>
          </w:p>
        </w:tc>
        <w:tc>
          <w:tcPr>
            <w:tcW w:w="2525" w:type="pct"/>
          </w:tcPr>
          <w:p w:rsidR="00A919B7" w:rsidRPr="00B50681" w:rsidRDefault="00A919B7" w:rsidP="0019337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A919B7" w:rsidRPr="00483B32" w:rsidRDefault="00A919B7" w:rsidP="00A919B7">
      <w:pPr>
        <w:pStyle w:val="BodyText"/>
      </w:pPr>
      <w:bookmarkStart w:id="16" w:name="_Toc364455186"/>
      <w:r>
        <w:t>Pēc noklusējuma sākotnējais cenu līmenis parakstīšanas laikā ir A līmenis. Jūsu organizācija tiks automātiski pārvietota uz labāku cenu līmeni vienā no tālāk norādītajiem gadījumiem.</w:t>
      </w:r>
    </w:p>
    <w:p w:rsidR="00A919B7" w:rsidRPr="00483B32" w:rsidRDefault="00A919B7" w:rsidP="00A919B7">
      <w:pPr>
        <w:pStyle w:val="BodyText"/>
        <w:numPr>
          <w:ilvl w:val="0"/>
          <w:numId w:val="16"/>
        </w:numPr>
        <w:spacing w:after="0"/>
      </w:pPr>
      <w:r>
        <w:t xml:space="preserve">Jūs veicat pasūtījumu, no kura iegūstat pietiekami daudz punktu, lai sasniegtu nākamo cenu līmeni. </w:t>
      </w:r>
    </w:p>
    <w:p w:rsidR="00A919B7" w:rsidRPr="00483B32" w:rsidRDefault="00A919B7" w:rsidP="00A919B7">
      <w:pPr>
        <w:pStyle w:val="BodyText"/>
        <w:numPr>
          <w:ilvl w:val="0"/>
          <w:numId w:val="16"/>
        </w:numPr>
        <w:spacing w:after="0"/>
      </w:pPr>
      <w:r>
        <w:t xml:space="preserve">Jūs piesaistāt aktīvu kvalificētu līgumu, kuram ir labāks produktu pūla cenu līmenis nekā atbilstošajam pūlam līgumā MPSA. </w:t>
      </w:r>
    </w:p>
    <w:p w:rsidR="00A919B7" w:rsidRPr="00483B32" w:rsidRDefault="00A919B7" w:rsidP="00A919B7">
      <w:pPr>
        <w:pStyle w:val="BodyText"/>
      </w:pPr>
    </w:p>
    <w:p w:rsidR="00A919B7" w:rsidRPr="00483B32" w:rsidRDefault="00A919B7" w:rsidP="00A919B7">
      <w:pPr>
        <w:pStyle w:val="BodyText"/>
      </w:pPr>
      <w:r>
        <w:t xml:space="preserve">Valsts un Izglītības iestāžu Iegādes kontiem ir viens cenu līmenis, kas norāda visizdevīgāko cenu, ko Microsoft var piedāvāt saskaņā ar līgumu MPSA (Valsts iestāžu Iegādes kontiem — vienāds ar D līmeņa komerciālajām cenām). </w:t>
      </w:r>
    </w:p>
    <w:p w:rsidR="00A919B7" w:rsidRPr="00483B32" w:rsidRDefault="00A919B7" w:rsidP="00A919B7">
      <w:pPr>
        <w:pStyle w:val="Thirdheading"/>
      </w:pPr>
      <w:r>
        <w:rPr>
          <w:b/>
        </w:rPr>
        <w:t>Punkti</w:t>
      </w:r>
    </w:p>
    <w:p w:rsidR="00A919B7" w:rsidRPr="00483B32" w:rsidRDefault="00A919B7" w:rsidP="00A919B7">
      <w:pPr>
        <w:pStyle w:val="BodyText"/>
      </w:pPr>
      <w:r>
        <w:t>Microsoft iedala Produktus trīs atsevišķos Produktu pūlos</w:t>
      </w:r>
      <w:r>
        <w:rPr>
          <w:szCs w:val="22"/>
        </w:rPr>
        <w:t xml:space="preserve"> ar cenu līmeņiem, kuros ir pakāpes</w:t>
      </w:r>
      <w:r>
        <w:t xml:space="preserve">: Lietojumprogrammas, Sistēmas un Serveri. Katra pūla cenu līmenis ir balstīts uz punktiem, kurus iegūstat, iegādājoties šajos pūlos ietvertos produktus. Punkti tiek skaitīti visos viena veida Iegādes kontos kopā (piemēram, Komercuzņēmumu Iegādes kontos). </w:t>
      </w:r>
    </w:p>
    <w:p w:rsidR="00A919B7" w:rsidRPr="00483B32" w:rsidRDefault="00A919B7" w:rsidP="00A919B7">
      <w:pPr>
        <w:pStyle w:val="BodyText"/>
        <w:numPr>
          <w:ilvl w:val="0"/>
          <w:numId w:val="16"/>
        </w:numPr>
        <w:spacing w:after="0"/>
      </w:pPr>
      <w:r>
        <w:t xml:space="preserve">Lietojumprogrammas. Lietojumprogrammu produktu piemēri ietver programmu Microsoft Office Professional, Microsoft Lync klientu un pakalpojumu Office 365. </w:t>
      </w:r>
    </w:p>
    <w:p w:rsidR="00A919B7" w:rsidRPr="00483B32" w:rsidRDefault="00A919B7" w:rsidP="00A919B7">
      <w:pPr>
        <w:pStyle w:val="BodyText"/>
        <w:numPr>
          <w:ilvl w:val="0"/>
          <w:numId w:val="16"/>
        </w:numPr>
        <w:spacing w:after="0"/>
      </w:pPr>
      <w:r>
        <w:t>Sistēmas. Sistēmas produkta piemērs ir operētājsistēmas Windows jauninājumi, piemēram, Windows Professional.</w:t>
      </w:r>
    </w:p>
    <w:p w:rsidR="00A919B7" w:rsidRPr="00483B32" w:rsidRDefault="00A919B7" w:rsidP="00A919B7">
      <w:pPr>
        <w:pStyle w:val="BodyText"/>
        <w:numPr>
          <w:ilvl w:val="0"/>
          <w:numId w:val="16"/>
        </w:numPr>
        <w:spacing w:after="0"/>
      </w:pPr>
      <w:r>
        <w:t>Serveri. Servera produktu piemēri ietver Microsoft Exchange Server, Microsoft SQL Server datubāzes Programmatūru, Intune un saistītās Klientu piekļuves licences (Client Access Licenses — CAL).</w:t>
      </w:r>
    </w:p>
    <w:p w:rsidR="00A919B7" w:rsidRPr="00483B32" w:rsidRDefault="00A919B7" w:rsidP="00A919B7">
      <w:pPr>
        <w:pStyle w:val="BodyText"/>
        <w:spacing w:after="0"/>
      </w:pPr>
    </w:p>
    <w:p w:rsidR="00A919B7" w:rsidRPr="00483B32" w:rsidRDefault="00A919B7" w:rsidP="00A919B7">
      <w:pPr>
        <w:pStyle w:val="BodyText"/>
        <w:spacing w:after="0" w:line="240" w:lineRule="auto"/>
      </w:pPr>
      <w:r>
        <w:t>Piemērs:</w:t>
      </w:r>
    </w:p>
    <w:tbl>
      <w:tblPr>
        <w:tblStyle w:val="LightList-Accent4"/>
        <w:tblW w:w="0" w:type="auto"/>
        <w:tblInd w:w="117"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2151"/>
        <w:gridCol w:w="812"/>
        <w:gridCol w:w="2993"/>
        <w:gridCol w:w="810"/>
        <w:gridCol w:w="2610"/>
        <w:gridCol w:w="1260"/>
      </w:tblGrid>
      <w:tr w:rsidR="00A919B7"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1" w:type="dxa"/>
          </w:tcPr>
          <w:p w:rsidR="00A919B7" w:rsidRPr="0020545D" w:rsidRDefault="00A919B7" w:rsidP="0019337E">
            <w:pPr>
              <w:pStyle w:val="BodyText"/>
              <w:spacing w:after="0" w:line="240" w:lineRule="auto"/>
              <w:rPr>
                <w:color w:val="FFFFFF" w:themeColor="background1"/>
              </w:rPr>
            </w:pPr>
            <w:r>
              <w:rPr>
                <w:color w:val="FFFFFF" w:themeColor="background1"/>
              </w:rPr>
              <w:t>Lietojumprogrammu pūls</w:t>
            </w:r>
          </w:p>
        </w:tc>
        <w:tc>
          <w:tcPr>
            <w:tcW w:w="812" w:type="dxa"/>
          </w:tcPr>
          <w:p w:rsidR="00A919B7" w:rsidRPr="0020545D" w:rsidRDefault="00A919B7"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w:t>
            </w:r>
          </w:p>
        </w:tc>
        <w:tc>
          <w:tcPr>
            <w:tcW w:w="2993" w:type="dxa"/>
          </w:tcPr>
          <w:p w:rsidR="00A919B7" w:rsidRPr="0020545D" w:rsidRDefault="00A919B7"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Sistēmu pūls</w:t>
            </w:r>
          </w:p>
        </w:tc>
        <w:tc>
          <w:tcPr>
            <w:tcW w:w="810" w:type="dxa"/>
          </w:tcPr>
          <w:p w:rsidR="00A919B7" w:rsidRPr="0020545D" w:rsidRDefault="00A919B7"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w:t>
            </w:r>
          </w:p>
        </w:tc>
        <w:tc>
          <w:tcPr>
            <w:tcW w:w="2610" w:type="dxa"/>
          </w:tcPr>
          <w:p w:rsidR="00A919B7" w:rsidRPr="0020545D" w:rsidRDefault="00A919B7"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Serveru pūls</w:t>
            </w:r>
          </w:p>
        </w:tc>
        <w:tc>
          <w:tcPr>
            <w:tcW w:w="1260" w:type="dxa"/>
          </w:tcPr>
          <w:p w:rsidR="00A919B7" w:rsidRPr="0020545D" w:rsidRDefault="00A919B7"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w:t>
            </w:r>
          </w:p>
        </w:tc>
      </w:tr>
      <w:tr w:rsidR="00A919B7"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2151" w:type="dxa"/>
            <w:vAlign w:val="center"/>
          </w:tcPr>
          <w:p w:rsidR="00A919B7" w:rsidRDefault="00A919B7" w:rsidP="0019337E">
            <w:pPr>
              <w:pStyle w:val="BodyText"/>
              <w:spacing w:after="0" w:line="240" w:lineRule="auto"/>
            </w:pPr>
            <w:r>
              <w:rPr>
                <w:b w:val="0"/>
                <w:color w:val="000000" w:themeColor="text1"/>
                <w:sz w:val="16"/>
              </w:rPr>
              <w:t>Office Professional</w:t>
            </w:r>
          </w:p>
        </w:tc>
        <w:tc>
          <w:tcPr>
            <w:tcW w:w="812" w:type="dxa"/>
            <w:vAlign w:val="center"/>
          </w:tcPr>
          <w:p w:rsidR="00A919B7" w:rsidRDefault="00A919B7"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A919B7" w:rsidRDefault="00A919B7"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 Upgrade Edition</w:t>
            </w:r>
          </w:p>
        </w:tc>
        <w:tc>
          <w:tcPr>
            <w:tcW w:w="810" w:type="dxa"/>
            <w:vAlign w:val="center"/>
          </w:tcPr>
          <w:p w:rsidR="00A919B7" w:rsidRDefault="00A919B7"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A919B7" w:rsidRDefault="00A919B7"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A919B7" w:rsidRDefault="00A919B7"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A919B7" w:rsidTr="0019337E">
        <w:trPr>
          <w:trHeight w:val="70"/>
        </w:trPr>
        <w:tc>
          <w:tcPr>
            <w:cnfStyle w:val="001000000000" w:firstRow="0" w:lastRow="0" w:firstColumn="1" w:lastColumn="0" w:oddVBand="0" w:evenVBand="0" w:oddHBand="0" w:evenHBand="0" w:firstRowFirstColumn="0" w:firstRowLastColumn="0" w:lastRowFirstColumn="0" w:lastRowLastColumn="0"/>
            <w:tcW w:w="2151" w:type="dxa"/>
            <w:vAlign w:val="center"/>
          </w:tcPr>
          <w:p w:rsidR="00A919B7" w:rsidRPr="0020545D" w:rsidRDefault="00A919B7" w:rsidP="0019337E">
            <w:pPr>
              <w:pStyle w:val="BodyText"/>
              <w:spacing w:after="0" w:line="240" w:lineRule="auto"/>
              <w:rPr>
                <w:b w:val="0"/>
                <w:color w:val="000000" w:themeColor="text1"/>
                <w:sz w:val="16"/>
              </w:rPr>
            </w:pPr>
            <w:r>
              <w:rPr>
                <w:b w:val="0"/>
                <w:color w:val="000000" w:themeColor="text1"/>
                <w:sz w:val="16"/>
              </w:rPr>
              <w:t>O365 K1/E1/3/4</w:t>
            </w:r>
          </w:p>
        </w:tc>
        <w:tc>
          <w:tcPr>
            <w:tcW w:w="812" w:type="dxa"/>
            <w:vAlign w:val="center"/>
          </w:tcPr>
          <w:p w:rsidR="00A919B7" w:rsidRPr="0020545D" w:rsidRDefault="00A919B7"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A919B7" w:rsidRPr="0020545D" w:rsidRDefault="00A919B7"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0" w:type="dxa"/>
            <w:vAlign w:val="center"/>
          </w:tcPr>
          <w:p w:rsidR="00A919B7" w:rsidRPr="0020545D" w:rsidRDefault="00A919B7"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A919B7" w:rsidRPr="0020545D" w:rsidRDefault="00A919B7"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1260" w:type="dxa"/>
            <w:vAlign w:val="center"/>
          </w:tcPr>
          <w:p w:rsidR="00A919B7" w:rsidRPr="0020545D" w:rsidRDefault="00A919B7"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A919B7" w:rsidRPr="00483B32" w:rsidRDefault="00A919B7" w:rsidP="00A919B7">
      <w:pPr>
        <w:pStyle w:val="BodyText"/>
        <w:spacing w:before="120"/>
      </w:pPr>
      <w:r>
        <w:rPr>
          <w:bCs/>
        </w:rPr>
        <w:t xml:space="preserve">Papildinformāciju, tostarp Produktu punktu pilnīgu sarakstu licencēm, skatiet vietnē </w:t>
      </w:r>
      <w:hyperlink r:id="rId17" w:history="1">
        <w:r>
          <w:rPr>
            <w:rStyle w:val="Hyperlink"/>
          </w:rPr>
          <w:t>http://www.microsoft.com/licensing/contracts</w:t>
        </w:r>
      </w:hyperlink>
    </w:p>
    <w:bookmarkEnd w:id="16"/>
    <w:p w:rsidR="00A919B7" w:rsidRPr="00483B32" w:rsidRDefault="00A919B7" w:rsidP="00A919B7">
      <w:pPr>
        <w:pStyle w:val="Thirdheading"/>
      </w:pPr>
      <w:r>
        <w:rPr>
          <w:b/>
        </w:rPr>
        <w:t>Cenu līmeņu pielāgošana</w:t>
      </w:r>
    </w:p>
    <w:p w:rsidR="00A919B7" w:rsidRPr="00483B32" w:rsidRDefault="00A919B7" w:rsidP="00A919B7">
      <w:pPr>
        <w:pStyle w:val="BodyText"/>
      </w:pPr>
      <w:r>
        <w:t>Nākošo pūla cenu līmeni sasniegsit tiklīdz jūsu organizācija atbildīs atbilstošajam minimālajam punktu skaitam gadā. Pasūtījums, kurš nodrošina, ka kvalificējaties nākamajam atlaižu sliekšņa līmenim (piemēram, no A līmeņa uz B līmeni), saņem atlaidi, kas saistīta ar šo nākamo līmeni. Cenu līmeņi katram Produktu pūlam tiek pārskatīti katru gadu līguma atbilstības reģistrācijas mēnesī, kas tiek noteikts, izmantojot mēnesi, kurā tiek aktivizēts līgums MPSA. Visi punkti, kurus esat ieguvis noteiktā gadā un kas pārsniedz pašreizējo cenu līmeni, bet nesasniedz nākamo cenu līmeni, tiks pārnesti uz nākamo gadu un pieskaitīti šī gada atbilstībai.</w:t>
      </w:r>
    </w:p>
    <w:p w:rsidR="00A919B7" w:rsidRPr="00483B32" w:rsidRDefault="00A919B7" w:rsidP="00A919B7">
      <w:pPr>
        <w:pStyle w:val="BodyText"/>
      </w:pPr>
      <w:r>
        <w:t>Ja jūsu pirkumi jebkurā dotajā gadā nesasniedz Produktu pūla minimālo punktu skaitu, jūsu organizācijas līmenis tiek pazemināts par vienu līmeni un punkti uz nākamo gadu netiek pārnesti. Katru gadu cenu līmenis var tikt pazemināts ne vairāk kā par vienu līmeni.</w:t>
      </w:r>
    </w:p>
    <w:p w:rsidR="00A919B7" w:rsidRPr="00483B32" w:rsidRDefault="00A919B7" w:rsidP="00A919B7">
      <w:pPr>
        <w:pStyle w:val="BodyText"/>
      </w:pPr>
      <w:r>
        <w:t>Ja jums ir aktīvs kvalificēts līgums, kas ir saistīts ar līgumu MPSA, un tam ir izdevīgāks Produktu pūla cenu līmenis, nekā līgumā MPSA ietvertajam atbilstošajam pūlam, šis izdevīgākais Produktu pūla cenu līmenis tiks izmantots līgumā MPSA ietvertajiem pasūtījumiem.</w:t>
      </w:r>
    </w:p>
    <w:p w:rsidR="00A919B7" w:rsidRPr="00483B32" w:rsidRDefault="00A919B7" w:rsidP="00A919B7">
      <w:pPr>
        <w:pStyle w:val="Thirdheading"/>
      </w:pPr>
      <w:r>
        <w:rPr>
          <w:b/>
        </w:rPr>
        <w:t>Pasūtījumu darbības principi</w:t>
      </w:r>
    </w:p>
    <w:p w:rsidR="00A919B7" w:rsidRPr="00483B32" w:rsidRDefault="00A919B7" w:rsidP="00A919B7">
      <w:pPr>
        <w:pStyle w:val="BodyText"/>
      </w:pPr>
      <w:r>
        <w:t>To Produktu pasūtījumi, kurus korporācija Microsoft piedāvā saskaņā ar līgumu MPSA, var tikt veikti, izmantojot izvelēto licencēšanas risinājumu partneru pakalpojumus. Cenas un maksājumu nosacījumus visiem pasūtījumiem, kas tika iegūti no Partnera, noteiks līgums, ko noslēdzāt ar Partneri. Veicot pasūtījumus, jums ir jānorāda visas valstis, kurās jūsu organizācija izmantos Produktus.</w:t>
      </w:r>
    </w:p>
    <w:p w:rsidR="00A919B7" w:rsidRPr="00483B32" w:rsidRDefault="00A919B7" w:rsidP="00A919B7">
      <w:pPr>
        <w:pStyle w:val="BodyText"/>
      </w:pPr>
      <w:r>
        <w:t xml:space="preserve">Visi Software Assurance un Programmatūras abonementu licenču pasūtījumi tiks saskaņoti ar Iegādes konta trešo reģistrācijas gadadienu pēc pasūtījuma veikšanas, un rēķini tiks izrakstīti katru gadu vai par pilnu maksājumu pasūtīšanas brīdī (pēc jūsu izvēles). </w:t>
      </w:r>
    </w:p>
    <w:p w:rsidR="00A919B7" w:rsidRPr="00483B32" w:rsidRDefault="00A919B7" w:rsidP="00A919B7">
      <w:pPr>
        <w:pStyle w:val="BodyText"/>
      </w:pPr>
      <w:r>
        <w:t xml:space="preserve">Tiešsaistes pakalpojumu pasūtījumi vai Pakotnes abonementi var tikt saskaņoti ar jūsu Iegādes konta nākamo, otro vai trešo gadadienu pēc pasūtījuma datuma. Saskaņošanas iespējas ir atkarīgas no izvēlētajiem Produktiem. Šajā termiņā veiktie papildu abonementu </w:t>
      </w:r>
      <w:r>
        <w:lastRenderedPageBreak/>
        <w:t xml:space="preserve">pasūtījumi tiks automātiski saskaņoti ar to pašu beigu datumu. Rēķini par pasūtījumiem tiek izrakstīti reizi gadā, vai arī maksājums pilnā apmērā jāveic pasūtīšanas brīdī (pēc jūsu izvēles). Cenas abonementa papildu pasūtījumiem neatšķirsies no abonementa sākotnējā pasūtījuma, ja vien pasūtījuma veikšanas laikā nav pieejams izdevīgāks piedāvājums. Ja abonementa termiņš bija ilgāks par vienu gadu, papildu pasūtījumiem to iegādes brīdī tiks piešķirta labāka cena par pašreizējo vai sākotnējā pasūtījuma cenu. Cenas tiek atiestatītas pēc abonementa termiņa atjaunošanas. </w:t>
      </w:r>
    </w:p>
    <w:p w:rsidR="00A919B7" w:rsidRPr="00483B32" w:rsidRDefault="00A919B7" w:rsidP="00A919B7">
      <w:pPr>
        <w:pStyle w:val="BodyText"/>
      </w:pPr>
      <w:r>
        <w:t xml:space="preserve">Turpmāk var būt pieejamas citas norēķinu un saskaņošanas iespējas pasūtījumiem, kas veikti, izmantojot līgumu MPSA. </w:t>
      </w:r>
    </w:p>
    <w:p w:rsidR="00A919B7" w:rsidRPr="00483B32" w:rsidRDefault="00A919B7" w:rsidP="00A919B7">
      <w:pPr>
        <w:pStyle w:val="BodyText"/>
      </w:pPr>
      <w:r>
        <w:t>Kad korporācija Microsoft ir apstiprinājusi jūsu Iegādes konta reģistrāciju, jūs varat izmantot jebkuru produktu tā, it kā tas būtu licencēts saskaņā ar līguma MPSA nosacījumiem, pieņemot, ka iesniedzat pasūtījumu tajā pašā kalendārajā mēnesī, kurā Produkts tika pirmo reizi lietots, pietiekamam licenču skaitam, lai segtu Produkta lietošanu. Lai iegādātos lielāku licencēta Produkta skaits, pasūtījums ir jāiesniedz mēnesī, kad šis skaits tika pirmo reizi izmantots. Tiešsaistes pakalpojumu vietām, kurām ir nepieciešams saskaņošanas pasūtījums, pārskatu par šo skaitu varat atrast MVLC vai sazinoties ar savu Partneri. </w:t>
      </w:r>
    </w:p>
    <w:p w:rsidR="00A919B7" w:rsidRPr="00483B32" w:rsidRDefault="00A919B7" w:rsidP="00A919B7">
      <w:pPr>
        <w:pStyle w:val="BodyText"/>
      </w:pPr>
      <w:r>
        <w:t>Korporācija Microsoft drīkst mainīt Produktus, kas pieejami saskaņā ar līgumu MPSA, un drīkst atteikties pieņemt pasūtījumu, ja šādai korporācijas Microsoft rīcībai ir pamatots iemesls.</w:t>
      </w:r>
    </w:p>
    <w:p w:rsidR="00A919B7" w:rsidRPr="00483B32" w:rsidRDefault="00A919B7" w:rsidP="00A919B7">
      <w:pPr>
        <w:pStyle w:val="BodyText"/>
      </w:pPr>
      <w:r>
        <w:t xml:space="preserve">Informācija par pasūtījumiem, kurus korporācija Microsoft ir saņēmusi un apstrādājusi, ir pieejama MVLC vietnē </w:t>
      </w:r>
      <w:hyperlink r:id="rId18" w:history="1">
        <w:r>
          <w:rPr>
            <w:rStyle w:val="Hyperlink"/>
          </w:rPr>
          <w:t>https://licensing.microsoft.com/customer</w:t>
        </w:r>
      </w:hyperlink>
      <w:r>
        <w:t>. Kad Iegādes konta kontaktpersona ir reģistrēta, tai tiek nodrošināta piekļuve MVLC centram, un norādītā Līguma administratora kontā tiek nodrošināta piekļuve visu Iegādes kontu informācijai.</w:t>
      </w:r>
    </w:p>
    <w:p w:rsidR="00A919B7" w:rsidRPr="00483B32" w:rsidRDefault="00A919B7" w:rsidP="00A919B7">
      <w:pPr>
        <w:pStyle w:val="Hdg1noborder"/>
      </w:pPr>
      <w:bookmarkStart w:id="17" w:name="_Toc403380298"/>
      <w:bookmarkStart w:id="18" w:name="_Toc403985016"/>
      <w:bookmarkStart w:id="19" w:name="_Toc428279661"/>
      <w:r>
        <w:t>2. sadaļa</w:t>
      </w:r>
      <w:bookmarkEnd w:id="17"/>
      <w:bookmarkEnd w:id="18"/>
      <w:bookmarkEnd w:id="19"/>
    </w:p>
    <w:p w:rsidR="00A919B7" w:rsidRPr="00483B32" w:rsidRDefault="00A919B7" w:rsidP="00A919B7">
      <w:pPr>
        <w:pStyle w:val="Hdg1noborder"/>
        <w:spacing w:before="120" w:after="120" w:line="240" w:lineRule="auto"/>
        <w:rPr>
          <w:rFonts w:eastAsiaTheme="majorEastAsia"/>
        </w:rPr>
      </w:pPr>
      <w:bookmarkStart w:id="20" w:name="_Toc403380299"/>
      <w:bookmarkStart w:id="21" w:name="_Toc403985017"/>
      <w:bookmarkStart w:id="22" w:name="_Toc428279662"/>
      <w:r>
        <w:rPr>
          <w:rFonts w:asciiTheme="majorHAnsi" w:eastAsiaTheme="majorEastAsia" w:hAnsiTheme="majorHAnsi" w:cstheme="majorBidi"/>
          <w:bCs/>
          <w:color w:val="FFC000" w:themeColor="accent4"/>
          <w:sz w:val="28"/>
          <w:szCs w:val="26"/>
        </w:rPr>
        <w:t>Tiešsaistes pakalpojumu priekšrocības</w:t>
      </w:r>
      <w:bookmarkEnd w:id="20"/>
      <w:bookmarkEnd w:id="21"/>
      <w:bookmarkEnd w:id="22"/>
    </w:p>
    <w:p w:rsidR="00A919B7" w:rsidRPr="00483B32" w:rsidRDefault="00A919B7" w:rsidP="00A919B7">
      <w:pPr>
        <w:pStyle w:val="BodyText"/>
        <w:rPr>
          <w:rFonts w:eastAsiaTheme="majorEastAsia"/>
        </w:rPr>
      </w:pPr>
      <w:r>
        <w:t xml:space="preserve">Ja iegādājāties Tiešsaistes pakalpojumus, iespējams, esat tiesīgs saņemt arī Tiešsaistes pakalpojumu priekšrocības. Piemēram, pakalpojumā Office 365 esat tiesīgs saņemt priekšrocību E-apmācība. Detalizēta informācija par to, kādas priekšrocības ir pieejamas Tiešsaistes pakalpojumiem, pēc piegādes ir pieejama Produktu nosacījumu Produkta ievades sadaļā un līgumā MVLC. Software Assurance priekšrocību sarakstu skatiet tālāk. </w:t>
      </w:r>
    </w:p>
    <w:p w:rsidR="00A919B7" w:rsidRPr="00483B32" w:rsidRDefault="00A919B7" w:rsidP="00A919B7">
      <w:pPr>
        <w:pStyle w:val="Hdg1noborder"/>
        <w:spacing w:before="120" w:after="120" w:line="240" w:lineRule="auto"/>
        <w:rPr>
          <w:rFonts w:eastAsiaTheme="majorEastAsia"/>
        </w:rPr>
      </w:pPr>
      <w:bookmarkStart w:id="23" w:name="_Toc403380300"/>
      <w:bookmarkStart w:id="24" w:name="_Toc403985018"/>
      <w:bookmarkStart w:id="25" w:name="_Toc428279663"/>
      <w:r>
        <w:rPr>
          <w:rFonts w:asciiTheme="majorHAnsi" w:eastAsiaTheme="majorEastAsia" w:hAnsiTheme="majorHAnsi" w:cstheme="majorBidi"/>
          <w:bCs/>
          <w:color w:val="FFC000" w:themeColor="accent4"/>
          <w:sz w:val="28"/>
          <w:szCs w:val="26"/>
        </w:rPr>
        <w:t>Software Assurance un priekšrocības</w:t>
      </w:r>
      <w:bookmarkEnd w:id="23"/>
      <w:bookmarkEnd w:id="24"/>
      <w:bookmarkEnd w:id="25"/>
    </w:p>
    <w:p w:rsidR="00A919B7" w:rsidRPr="00483B32" w:rsidRDefault="00A919B7" w:rsidP="00A919B7">
      <w:pPr>
        <w:pStyle w:val="BodyText"/>
      </w:pPr>
      <w:r>
        <w:rPr>
          <w:color w:val="000000" w:themeColor="text1"/>
        </w:rPr>
        <w:t xml:space="preserve">Microsoft Software Assurance segums lielapjoma licencēšanai (SA) ir dažādu rīku un resursu klāsts, kas palīdz izvietot un pārvaldīt Microsoft produktus. Uz Software Assurance, ko iegādājaties saskaņā ar līgumu MPSA, attiecas šīs Licencēšanas rokasgrāmatas nosacījumi, un to neregulē Produktu nosacījumu sadaļas B pielikums „Software Assurance”. </w:t>
      </w:r>
      <w:r>
        <w:t>Ņemiet vērā: ja pārzināt SA priekšrocību aprēķina un piemērotības noteikumus programmā Select Plus, šie noteikumi ir saskaņoti ar līgumu MPSA (izņemot 24X7 problēmu risināšanas atbalstu un Apmācības kuponus, par kuriem detalizēta informācija ir norādīta tālāk).</w:t>
      </w:r>
    </w:p>
    <w:p w:rsidR="00A919B7" w:rsidRPr="00483B32" w:rsidRDefault="00A919B7" w:rsidP="00A919B7">
      <w:pPr>
        <w:pStyle w:val="Thirdheading"/>
      </w:pPr>
      <w:r>
        <w:rPr>
          <w:b/>
        </w:rPr>
        <w:t>Software Assurance iegāde</w:t>
      </w:r>
    </w:p>
    <w:p w:rsidR="00A919B7" w:rsidRPr="00483B32" w:rsidRDefault="00A919B7" w:rsidP="00A919B7">
      <w:pPr>
        <w:pStyle w:val="BodyText"/>
      </w:pPr>
      <w:r>
        <w:t>Software Assurance (SA) segumu var iegādāties, izmantojot līgumu Microsoft Products and Services Agreement (MPSA), kā ir norādīts tālāk.</w:t>
      </w:r>
    </w:p>
    <w:p w:rsidR="00A919B7" w:rsidRPr="00483B32" w:rsidRDefault="00A919B7" w:rsidP="00A919B7">
      <w:pPr>
        <w:pStyle w:val="BodyText"/>
        <w:numPr>
          <w:ilvl w:val="0"/>
          <w:numId w:val="16"/>
        </w:numPr>
        <w:spacing w:after="0"/>
      </w:pPr>
      <w:r>
        <w:t xml:space="preserve">Jāpievieno SA segums visiem pirkumiem, kas ir veikti noteiktā Produktu pūlā (Lietojumprogrammas, Sistēmas vai Serveris). Šīs saistības dēvē par Dalību programmā Software Assurance (Software Assurance Membership — SAM). </w:t>
      </w:r>
    </w:p>
    <w:p w:rsidR="00A919B7" w:rsidRPr="00483B32" w:rsidRDefault="00A919B7" w:rsidP="00A919B7">
      <w:pPr>
        <w:pStyle w:val="BodyText"/>
        <w:numPr>
          <w:ilvl w:val="0"/>
          <w:numId w:val="16"/>
        </w:numPr>
      </w:pPr>
      <w:r>
        <w:t>Jāiegādājas SA segums atsevišķiem Produktiem, nepaplašinot SA segumu uz citiem Produktiem.</w:t>
      </w:r>
    </w:p>
    <w:p w:rsidR="00A919B7" w:rsidRPr="00483B32" w:rsidRDefault="00A919B7" w:rsidP="00A919B7">
      <w:pPr>
        <w:pStyle w:val="BodyText"/>
      </w:pPr>
      <w:r>
        <w:rPr>
          <w:color w:val="000000" w:themeColor="text1"/>
        </w:rPr>
        <w:t>SA segums ir jāiegādājas laikā, kad iegādājaties Licenci vai atjaunojat jau esošu SA segumu. Ja vien nav norādīts citādi, SA segumam ir piemērotas tikai Produkta jaunākās versijas licences.</w:t>
      </w:r>
    </w:p>
    <w:p w:rsidR="00A919B7" w:rsidRPr="00483B32" w:rsidRDefault="00A919B7" w:rsidP="00A919B7">
      <w:pPr>
        <w:pStyle w:val="Thirdheading"/>
      </w:pPr>
      <w:r>
        <w:rPr>
          <w:rFonts w:ascii="Segoe UI" w:hAnsi="Segoe UI" w:cs="Times New Roman"/>
          <w:color w:val="000000" w:themeColor="text1"/>
          <w:sz w:val="18"/>
          <w:szCs w:val="20"/>
        </w:rPr>
        <w:t>Šim vispārīgajam noteikumam pastāv izņēmums — klientiem var būt iespēja iegādāties SA segumu noteiktām licencēm, kas ir iegādātas no Mazumtirdzniecības kanāla (pilnas komplektācijas produkts) vai no Oriģinālā aprīkojuma ražotāja (Original Equipment Manufacturer — OEM), kā aprakstīts līguma MPSA sadaļā Sistēmu un serveru pūli. Lietojumprogrammu pūlā nevienam pilnas komplektācijas Produktam (tostarp Produktu atslēgas kartēm) nav tiesību uz šo izņēmumu, un tikai Microsoft Office Professional 2013, kas iegādāts no OEM, ir tiesības 90 dienu laikā kopš iegādes datuma iegūt Microsoft Office Standard SA.</w:t>
      </w:r>
    </w:p>
    <w:p w:rsidR="00A919B7" w:rsidRPr="00483B32" w:rsidRDefault="00A919B7" w:rsidP="00A919B7">
      <w:pPr>
        <w:pStyle w:val="Thirdheading"/>
      </w:pPr>
      <w:r>
        <w:rPr>
          <w:b/>
        </w:rPr>
        <w:t>Software Assurance atjaunošana</w:t>
      </w:r>
    </w:p>
    <w:p w:rsidR="00A919B7" w:rsidRPr="00483B32" w:rsidRDefault="00A919B7" w:rsidP="00A919B7">
      <w:pPr>
        <w:pStyle w:val="BodyText"/>
      </w:pPr>
      <w:r>
        <w:rPr>
          <w:color w:val="000000" w:themeColor="text1"/>
        </w:rPr>
        <w:t>Kamēr SA seguma darbības termiņš nav beidzies, jūs drīkstat atjaunot SA segumu, nepasūtot vienlaikus Licenci.</w:t>
      </w:r>
    </w:p>
    <w:p w:rsidR="00A919B7" w:rsidRPr="00483B32" w:rsidRDefault="00A919B7" w:rsidP="00A919B7">
      <w:pPr>
        <w:pStyle w:val="Thirdheading"/>
      </w:pPr>
      <w:r>
        <w:rPr>
          <w:b/>
        </w:rPr>
        <w:lastRenderedPageBreak/>
        <w:t>Seguma atjaunošana, pamatojoties uz citu līgumu</w:t>
      </w:r>
    </w:p>
    <w:p w:rsidR="00A919B7" w:rsidRPr="00483B32" w:rsidRDefault="00A919B7" w:rsidP="00A919B7">
      <w:pPr>
        <w:pStyle w:val="BodyText"/>
      </w:pPr>
      <w:r>
        <w:t xml:space="preserve">Jūs drīkstat atjaunot SA segumu jebkuram Produktam gadījumā, ja attiecīgajam Produktam esat ieguvis pastāvīgo licenci un SA segumu saskaņā ar iepriekš noslēgtu līgumu un: </w:t>
      </w:r>
    </w:p>
    <w:p w:rsidR="00A919B7" w:rsidRPr="00483B32" w:rsidRDefault="00A919B7" w:rsidP="00A919B7">
      <w:pPr>
        <w:pStyle w:val="BodyText"/>
        <w:numPr>
          <w:ilvl w:val="0"/>
          <w:numId w:val="16"/>
        </w:numPr>
        <w:spacing w:after="0"/>
      </w:pPr>
      <w:r>
        <w:t xml:space="preserve">atjaunotais SA segums stājas spēkā ne vēlāk kā nākamajā dienā pēc iepriekšējā SA seguma darbības beigām; </w:t>
      </w:r>
    </w:p>
    <w:p w:rsidR="00A919B7" w:rsidRPr="00483B32" w:rsidRDefault="00A919B7" w:rsidP="00A919B7">
      <w:pPr>
        <w:pStyle w:val="BodyText"/>
        <w:numPr>
          <w:ilvl w:val="0"/>
          <w:numId w:val="16"/>
        </w:numPr>
        <w:spacing w:after="0"/>
      </w:pPr>
      <w:r>
        <w:t xml:space="preserve">SA seguma atjaunošanas pasūtījums ir veikts pirms iepriekšējā SA seguma darbības beigām. </w:t>
      </w:r>
    </w:p>
    <w:p w:rsidR="00A919B7" w:rsidRPr="00483B32" w:rsidRDefault="00A919B7" w:rsidP="00A919B7">
      <w:pPr>
        <w:pStyle w:val="Thirdheading"/>
        <w:spacing w:before="240"/>
      </w:pPr>
      <w:r>
        <w:rPr>
          <w:b/>
        </w:rPr>
        <w:t>Klienta piekļuves licences (CAL) un klienta pārvaldības licences (ML)</w:t>
      </w:r>
    </w:p>
    <w:p w:rsidR="00A919B7" w:rsidRPr="00483B32" w:rsidRDefault="00A919B7" w:rsidP="00A919B7">
      <w:pPr>
        <w:pStyle w:val="BodyText"/>
      </w:pPr>
      <w:r>
        <w:t xml:space="preserve">Pāreja no Lietotāja CAL uz Ierīces CAL vai otrādi: atjaunojot licencēm CAL paredzēto SA segumu, jūs drīkstat mainīt Lietotāja licenci uz Ierīces licenci un otrādi. Šīs pārejas laikā netiek mainīts CAL izdevums (t. i., izdevums Standard uz izdevumu Enterprise). </w:t>
      </w:r>
    </w:p>
    <w:p w:rsidR="00A919B7" w:rsidRPr="00483B32" w:rsidRDefault="00A919B7" w:rsidP="00A919B7">
      <w:pPr>
        <w:pStyle w:val="BodyText"/>
      </w:pPr>
      <w:r>
        <w:t>Pāreja no Lietotāja ML uz OSE klienta ML vai otrādi: atjaunojot licencēm ML paredzēto SA segumu, jūs drīkstat mainīt Lietotāja licenci uz OSE licenci un otrādi.</w:t>
      </w:r>
    </w:p>
    <w:p w:rsidR="00A919B7" w:rsidRPr="00483B32" w:rsidRDefault="00A919B7" w:rsidP="00A919B7">
      <w:pPr>
        <w:pStyle w:val="Thirdheading"/>
      </w:pPr>
      <w:r>
        <w:rPr>
          <w:b/>
        </w:rPr>
        <w:t>Software Assurance priekšrocības</w:t>
      </w:r>
    </w:p>
    <w:p w:rsidR="00A919B7" w:rsidRPr="00483B32" w:rsidRDefault="00A919B7" w:rsidP="00A919B7">
      <w:pPr>
        <w:pStyle w:val="BodyText"/>
      </w:pPr>
      <w:r>
        <w:t xml:space="preserve">Software Assurance priekšrocības ir atkarīgas no Produkta un Produktu pūla. Jūsu tiesības piekļūt SA priekšrocībām un izmantot tās parasti beidzas vienlaikus ar attiecīgā SA seguma darbības beigām, ja vien tālāk nav norādīts citādi. Vairums SA priekšrocību tiek piešķirtas seguma perioda sākumā. Jebkādas seguma periodā radušās izmaiņas (piem., papildu pirkumi vai atgriešana) var mainīt piemērotību priekšrocību saņemšanai. Visi iepriekš minēto noteikumu izņēmumi ir norādīti atsevišķo priekšrocību sadaļās tālāk. Priekšrocības var mainīties, un to sniegšana jebkurā laikā bez brīdinājuma var tikt pārtraukta. SA priekšrocības tiek piešķirtas, pamatojoties uz līgumu MPSA un izmantojot Iegādes kontu. </w:t>
      </w:r>
    </w:p>
    <w:p w:rsidR="00A919B7" w:rsidRPr="00483B32" w:rsidRDefault="00A919B7" w:rsidP="00A919B7">
      <w:pPr>
        <w:spacing w:line="240" w:lineRule="auto"/>
      </w:pPr>
      <w:r>
        <w:rPr>
          <w:rFonts w:eastAsia="Times New Roman" w:cs="Times New Roman"/>
          <w:color w:val="505050"/>
          <w:szCs w:val="20"/>
        </w:rPr>
        <w:t xml:space="preserve">Jebkurā kvalificētā produkta aktīvais SA segums, kas ir piešķirts, pamatojoties uz līgumu MPSA, nodrošina tiesības izmantot tālāk redzamajā tabulā uzskaitītās priekšrocības (neatkarīgi no Produkta versijas, ko faktiski izmantojat). Informāciju par katram produktam pieejamajām priekšrocībām, piemēram, pakotni Microsoft Desktop Optimization Pack un Windows Thin PC, skatiet attiecīgā produkta sadaļā Software Assurance. Kvalificētie produkti ir norādīti attiecīgā produkta sadaļā Produktu nosacījumi. Dažu priekšrocību izmantošanas priekšnosacījums ir dalība programmā SA, kas attiecībā uz piemērojamo Produktu pūlu nodrošina šādu priekšrocību izmantošanas tiesības. </w:t>
      </w:r>
    </w:p>
    <w:p w:rsidR="00A919B7" w:rsidRPr="00483B32" w:rsidRDefault="00A919B7" w:rsidP="00A919B7">
      <w:pPr>
        <w:pStyle w:val="Hdg1noborder"/>
        <w:spacing w:before="120" w:after="120" w:line="240" w:lineRule="auto"/>
        <w:rPr>
          <w:rFonts w:eastAsiaTheme="majorEastAsia"/>
        </w:rPr>
      </w:pPr>
      <w:bookmarkStart w:id="26" w:name="_Toc403380301"/>
      <w:bookmarkStart w:id="27" w:name="_Toc403985019"/>
      <w:bookmarkStart w:id="28" w:name="_Toc428279664"/>
      <w:r>
        <w:rPr>
          <w:rFonts w:asciiTheme="majorHAnsi" w:eastAsiaTheme="majorEastAsia" w:hAnsiTheme="majorHAnsi" w:cstheme="majorBidi"/>
          <w:bCs/>
          <w:color w:val="FFC000" w:themeColor="accent4"/>
          <w:sz w:val="28"/>
          <w:szCs w:val="26"/>
        </w:rPr>
        <w:t>MPSA Software Assurance priekšrocību pieejamība</w:t>
      </w:r>
      <w:bookmarkEnd w:id="26"/>
      <w:bookmarkEnd w:id="27"/>
      <w:bookmarkEnd w:id="28"/>
    </w:p>
    <w:p w:rsidR="00A919B7" w:rsidRPr="00483B32" w:rsidRDefault="00A919B7" w:rsidP="00A919B7">
      <w:pPr>
        <w:pStyle w:val="BodyText"/>
        <w:spacing w:after="0"/>
      </w:pPr>
      <w:r>
        <w:t xml:space="preserve">Ja vien tālāk nav norādīts citādi, SA priekšrocībām var piekļūt pakalpojumā MVLC. </w:t>
      </w:r>
    </w:p>
    <w:tbl>
      <w:tblPr>
        <w:tblW w:w="1072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919B7" w:rsidRPr="00717EC0" w:rsidTr="0019337E">
        <w:trPr>
          <w:trHeight w:val="56"/>
          <w:tblHeader/>
        </w:trPr>
        <w:tc>
          <w:tcPr>
            <w:tcW w:w="5736" w:type="dxa"/>
            <w:shd w:val="clear" w:color="auto" w:fill="BF8F00" w:themeFill="accent4" w:themeFillShade="BF"/>
            <w:vAlign w:val="center"/>
          </w:tcPr>
          <w:p w:rsidR="00A919B7" w:rsidRPr="00422D62" w:rsidRDefault="00A919B7" w:rsidP="0019337E">
            <w:pPr>
              <w:pStyle w:val="ProductList-Body"/>
              <w:rPr>
                <w:rFonts w:cstheme="minorHAnsi"/>
                <w:color w:val="FFFFFF" w:themeColor="background1"/>
                <w:szCs w:val="18"/>
              </w:rPr>
            </w:pPr>
            <w:r>
              <w:rPr>
                <w:rFonts w:cstheme="minorHAnsi"/>
                <w:color w:val="FFFFFF" w:themeColor="background1"/>
                <w:szCs w:val="18"/>
              </w:rPr>
              <w:t>SA priekšrocības</w:t>
            </w:r>
          </w:p>
        </w:tc>
        <w:tc>
          <w:tcPr>
            <w:tcW w:w="1648" w:type="dxa"/>
            <w:shd w:val="clear" w:color="auto" w:fill="BF8F00" w:themeFill="accent4" w:themeFillShade="BF"/>
            <w:vAlign w:val="center"/>
          </w:tcPr>
          <w:p w:rsidR="00A919B7" w:rsidRPr="00422D62" w:rsidRDefault="00A919B7" w:rsidP="0019337E">
            <w:pPr>
              <w:pStyle w:val="ProductList-Body"/>
              <w:jc w:val="center"/>
              <w:rPr>
                <w:rFonts w:cstheme="minorHAnsi"/>
                <w:color w:val="FFFFFF" w:themeColor="background1"/>
                <w:szCs w:val="18"/>
              </w:rPr>
            </w:pPr>
            <w:r>
              <w:rPr>
                <w:rFonts w:cstheme="minorHAnsi"/>
                <w:color w:val="FFFFFF" w:themeColor="background1"/>
                <w:szCs w:val="18"/>
              </w:rPr>
              <w:t>Lietojumprogrammu pūls</w:t>
            </w:r>
          </w:p>
        </w:tc>
        <w:tc>
          <w:tcPr>
            <w:tcW w:w="1828" w:type="dxa"/>
            <w:shd w:val="clear" w:color="auto" w:fill="BF8F00" w:themeFill="accent4" w:themeFillShade="BF"/>
            <w:vAlign w:val="center"/>
          </w:tcPr>
          <w:p w:rsidR="00A919B7" w:rsidRPr="00422D62" w:rsidRDefault="00A919B7" w:rsidP="0019337E">
            <w:pPr>
              <w:pStyle w:val="ProductList-Body"/>
              <w:jc w:val="center"/>
              <w:rPr>
                <w:rFonts w:cstheme="minorHAnsi"/>
                <w:color w:val="FFFFFF" w:themeColor="background1"/>
                <w:szCs w:val="18"/>
              </w:rPr>
            </w:pPr>
            <w:r>
              <w:rPr>
                <w:rFonts w:cstheme="minorHAnsi"/>
                <w:color w:val="FFFFFF" w:themeColor="background1"/>
                <w:szCs w:val="18"/>
              </w:rPr>
              <w:t>Sistēmu pūls</w:t>
            </w:r>
          </w:p>
        </w:tc>
        <w:tc>
          <w:tcPr>
            <w:tcW w:w="1508" w:type="dxa"/>
            <w:shd w:val="clear" w:color="auto" w:fill="BF8F00" w:themeFill="accent4" w:themeFillShade="BF"/>
            <w:vAlign w:val="center"/>
          </w:tcPr>
          <w:p w:rsidR="00A919B7" w:rsidRPr="00422D62" w:rsidRDefault="00A919B7" w:rsidP="0019337E">
            <w:pPr>
              <w:pStyle w:val="ProductList-Body"/>
              <w:jc w:val="center"/>
              <w:rPr>
                <w:rFonts w:cstheme="minorHAnsi"/>
                <w:color w:val="FFFFFF" w:themeColor="background1"/>
                <w:szCs w:val="18"/>
              </w:rPr>
            </w:pPr>
            <w:r>
              <w:rPr>
                <w:rFonts w:cstheme="minorHAnsi"/>
                <w:color w:val="FFFFFF" w:themeColor="background1"/>
                <w:szCs w:val="18"/>
              </w:rPr>
              <w:t>Serveru pūls</w:t>
            </w:r>
          </w:p>
        </w:tc>
      </w:tr>
      <w:tr w:rsidR="00A919B7" w:rsidRPr="00A84C84" w:rsidTr="0019337E">
        <w:trPr>
          <w:trHeight w:val="255"/>
        </w:trPr>
        <w:tc>
          <w:tcPr>
            <w:tcW w:w="5736" w:type="dxa"/>
          </w:tcPr>
          <w:p w:rsidR="00A919B7" w:rsidRPr="009A713F" w:rsidRDefault="00A919B7" w:rsidP="0019337E">
            <w:pPr>
              <w:pStyle w:val="ProductList-Body"/>
              <w:rPr>
                <w:rStyle w:val="Hyperlink"/>
                <w:sz w:val="17"/>
                <w:szCs w:val="17"/>
              </w:rPr>
            </w:pPr>
            <w:hyperlink w:anchor="_Planning_Services" w:history="1">
              <w:r w:rsidRPr="009A713F">
                <w:rPr>
                  <w:rStyle w:val="Hyperlink"/>
                  <w:sz w:val="17"/>
                  <w:szCs w:val="17"/>
                </w:rPr>
                <w:t>Plānošanas pakalpojumi</w:t>
              </w:r>
            </w:hyperlink>
          </w:p>
        </w:tc>
        <w:tc>
          <w:tcPr>
            <w:tcW w:w="1648" w:type="dxa"/>
          </w:tcPr>
          <w:p w:rsidR="00A919B7" w:rsidRPr="00BC431D" w:rsidRDefault="00A919B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A919B7" w:rsidRPr="00BC431D" w:rsidRDefault="00A919B7" w:rsidP="0019337E">
            <w:pPr>
              <w:pStyle w:val="ProductList-Body"/>
              <w:jc w:val="center"/>
              <w:rPr>
                <w:rFonts w:cstheme="minorHAnsi"/>
                <w:color w:val="000000" w:themeColor="text1"/>
                <w:sz w:val="17"/>
                <w:szCs w:val="17"/>
              </w:rPr>
            </w:pPr>
          </w:p>
        </w:tc>
        <w:tc>
          <w:tcPr>
            <w:tcW w:w="1508" w:type="dxa"/>
            <w:vAlign w:val="center"/>
          </w:tcPr>
          <w:p w:rsidR="00A919B7" w:rsidRPr="00BC431D" w:rsidRDefault="00A919B7"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A919B7" w:rsidRPr="00A84C84" w:rsidTr="0019337E">
        <w:trPr>
          <w:trHeight w:val="255"/>
        </w:trPr>
        <w:tc>
          <w:tcPr>
            <w:tcW w:w="5736" w:type="dxa"/>
          </w:tcPr>
          <w:p w:rsidR="00A919B7" w:rsidRPr="009A713F" w:rsidRDefault="00A919B7" w:rsidP="0019337E">
            <w:pPr>
              <w:pStyle w:val="ProductList-Body"/>
              <w:rPr>
                <w:rStyle w:val="Hyperlink"/>
                <w:sz w:val="17"/>
                <w:szCs w:val="17"/>
              </w:rPr>
            </w:pPr>
            <w:hyperlink w:anchor="_Enhanced_Edition_Benefits" w:history="1">
              <w:r w:rsidRPr="009A713F">
                <w:rPr>
                  <w:rStyle w:val="Hyperlink"/>
                  <w:sz w:val="17"/>
                  <w:szCs w:val="17"/>
                </w:rPr>
                <w:t>Apmācības kuponi</w:t>
              </w:r>
            </w:hyperlink>
          </w:p>
        </w:tc>
        <w:tc>
          <w:tcPr>
            <w:tcW w:w="1648" w:type="dxa"/>
          </w:tcPr>
          <w:p w:rsidR="00A919B7" w:rsidRPr="00BC431D" w:rsidRDefault="00A919B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A919B7" w:rsidRPr="00BC431D" w:rsidRDefault="00A919B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A919B7" w:rsidRPr="00BC431D" w:rsidRDefault="00A919B7" w:rsidP="0019337E">
            <w:pPr>
              <w:pStyle w:val="ProductList-Body"/>
              <w:jc w:val="center"/>
              <w:rPr>
                <w:rFonts w:cstheme="minorHAnsi"/>
                <w:color w:val="000000" w:themeColor="text1"/>
                <w:sz w:val="17"/>
                <w:szCs w:val="17"/>
              </w:rPr>
            </w:pPr>
          </w:p>
        </w:tc>
      </w:tr>
      <w:tr w:rsidR="00A919B7" w:rsidRPr="00A84C84" w:rsidTr="0019337E">
        <w:trPr>
          <w:trHeight w:val="255"/>
        </w:trPr>
        <w:tc>
          <w:tcPr>
            <w:tcW w:w="5736" w:type="dxa"/>
          </w:tcPr>
          <w:p w:rsidR="00A919B7" w:rsidRPr="009A713F" w:rsidRDefault="00A919B7" w:rsidP="0019337E">
            <w:pPr>
              <w:pStyle w:val="ProductList-Body"/>
              <w:rPr>
                <w:sz w:val="17"/>
                <w:szCs w:val="17"/>
              </w:rPr>
            </w:pPr>
            <w:hyperlink w:anchor="_24x7_Problem_Resolution_1" w:history="1">
              <w:r w:rsidRPr="009A713F">
                <w:rPr>
                  <w:rStyle w:val="Hyperlink"/>
                  <w:sz w:val="17"/>
                  <w:szCs w:val="17"/>
                </w:rPr>
                <w:t>24x7 problēmu risināšanas atbalsts</w:t>
              </w:r>
            </w:hyperlink>
          </w:p>
        </w:tc>
        <w:tc>
          <w:tcPr>
            <w:tcW w:w="1648" w:type="dxa"/>
            <w:vAlign w:val="center"/>
          </w:tcPr>
          <w:p w:rsidR="00A919B7" w:rsidRPr="00BC431D" w:rsidRDefault="00A919B7"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A919B7" w:rsidRPr="00BC431D" w:rsidRDefault="00A919B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A919B7" w:rsidRPr="00BC431D" w:rsidRDefault="00A919B7"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A919B7" w:rsidRPr="00A84C84" w:rsidTr="0019337E">
        <w:trPr>
          <w:trHeight w:val="255"/>
        </w:trPr>
        <w:tc>
          <w:tcPr>
            <w:tcW w:w="5736" w:type="dxa"/>
          </w:tcPr>
          <w:p w:rsidR="00A919B7" w:rsidRPr="009A713F" w:rsidRDefault="00A919B7" w:rsidP="0019337E">
            <w:pPr>
              <w:pStyle w:val="ProductList-Body"/>
              <w:rPr>
                <w:rFonts w:cstheme="minorHAnsi"/>
                <w:color w:val="000000" w:themeColor="text1"/>
                <w:sz w:val="17"/>
                <w:szCs w:val="17"/>
                <w:lang w:eastAsia="ja-JP"/>
              </w:rPr>
            </w:pPr>
            <w:hyperlink w:anchor="_Jaunas_versijas_tiesības" w:history="1">
              <w:r w:rsidRPr="009A713F">
                <w:rPr>
                  <w:rStyle w:val="Hyperlink"/>
                  <w:rFonts w:cstheme="minorHAnsi"/>
                  <w:sz w:val="17"/>
                  <w:szCs w:val="17"/>
                </w:rPr>
                <w:t>Jaunas versijas tiesības</w:t>
              </w:r>
            </w:hyperlink>
          </w:p>
        </w:tc>
        <w:tc>
          <w:tcPr>
            <w:tcW w:w="1648" w:type="dxa"/>
          </w:tcPr>
          <w:p w:rsidR="00A919B7" w:rsidRPr="00BC431D" w:rsidRDefault="00A919B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A919B7" w:rsidRPr="00BC431D" w:rsidRDefault="00A919B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A919B7" w:rsidRPr="00BC431D" w:rsidRDefault="00A919B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A919B7" w:rsidRPr="00A84C84" w:rsidTr="0019337E">
        <w:trPr>
          <w:trHeight w:val="255"/>
        </w:trPr>
        <w:tc>
          <w:tcPr>
            <w:tcW w:w="5736" w:type="dxa"/>
          </w:tcPr>
          <w:p w:rsidR="00A919B7" w:rsidRPr="009A713F" w:rsidRDefault="00A919B7" w:rsidP="0019337E">
            <w:pPr>
              <w:pStyle w:val="ProductList-Body"/>
              <w:rPr>
                <w:sz w:val="17"/>
                <w:szCs w:val="17"/>
              </w:rPr>
            </w:pPr>
            <w:hyperlink w:anchor="_Office_Multi_Language_1" w:history="1">
              <w:r w:rsidRPr="009A713F">
                <w:rPr>
                  <w:rStyle w:val="Hyperlink"/>
                  <w:rFonts w:cstheme="minorHAnsi"/>
                  <w:sz w:val="17"/>
                  <w:szCs w:val="17"/>
                </w:rPr>
                <w:t>Office Multi Language Pack</w:t>
              </w:r>
            </w:hyperlink>
          </w:p>
        </w:tc>
        <w:tc>
          <w:tcPr>
            <w:tcW w:w="1648" w:type="dxa"/>
          </w:tcPr>
          <w:p w:rsidR="00A919B7" w:rsidRPr="00BC431D" w:rsidRDefault="00A919B7"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A919B7" w:rsidRPr="00BC431D" w:rsidRDefault="00A919B7" w:rsidP="0019337E">
            <w:pPr>
              <w:pStyle w:val="ProductList-Body"/>
              <w:jc w:val="center"/>
              <w:rPr>
                <w:rFonts w:cstheme="minorHAnsi"/>
                <w:color w:val="000000" w:themeColor="text1"/>
                <w:sz w:val="17"/>
                <w:szCs w:val="17"/>
              </w:rPr>
            </w:pPr>
          </w:p>
        </w:tc>
        <w:tc>
          <w:tcPr>
            <w:tcW w:w="1508" w:type="dxa"/>
            <w:vAlign w:val="center"/>
          </w:tcPr>
          <w:p w:rsidR="00A919B7" w:rsidRPr="00BC431D" w:rsidRDefault="00A919B7" w:rsidP="0019337E">
            <w:pPr>
              <w:pStyle w:val="ProductList-Body"/>
              <w:jc w:val="center"/>
              <w:rPr>
                <w:rFonts w:ascii="Wingdings" w:hAnsi="Wingdings" w:cs="Wingdings"/>
                <w:color w:val="000000" w:themeColor="text1"/>
                <w:sz w:val="17"/>
                <w:szCs w:val="17"/>
              </w:rPr>
            </w:pPr>
          </w:p>
        </w:tc>
      </w:tr>
      <w:tr w:rsidR="00A919B7" w:rsidRPr="00A84C84" w:rsidTr="0019337E">
        <w:trPr>
          <w:trHeight w:val="255"/>
        </w:trPr>
        <w:tc>
          <w:tcPr>
            <w:tcW w:w="5736" w:type="dxa"/>
          </w:tcPr>
          <w:p w:rsidR="00A919B7" w:rsidRPr="009A713F" w:rsidRDefault="00A919B7" w:rsidP="0019337E">
            <w:pPr>
              <w:pStyle w:val="ProductList-Body"/>
              <w:rPr>
                <w:rFonts w:cstheme="minorHAnsi"/>
                <w:color w:val="000000" w:themeColor="text1"/>
                <w:sz w:val="17"/>
                <w:szCs w:val="17"/>
                <w:lang w:eastAsia="ja-JP"/>
              </w:rPr>
            </w:pPr>
            <w:hyperlink w:anchor="_E-Learning" w:history="1">
              <w:r w:rsidRPr="009A713F">
                <w:rPr>
                  <w:rStyle w:val="Hyperlink"/>
                  <w:rFonts w:cstheme="minorHAnsi"/>
                  <w:sz w:val="17"/>
                  <w:szCs w:val="17"/>
                </w:rPr>
                <w:t>E-Learning</w:t>
              </w:r>
            </w:hyperlink>
          </w:p>
        </w:tc>
        <w:tc>
          <w:tcPr>
            <w:tcW w:w="1648" w:type="dxa"/>
          </w:tcPr>
          <w:p w:rsidR="00A919B7" w:rsidRPr="00BC431D" w:rsidRDefault="00A919B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A919B7" w:rsidRPr="00BC431D" w:rsidRDefault="00A919B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A919B7" w:rsidRPr="00BC431D" w:rsidRDefault="00A919B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A919B7" w:rsidRPr="00A84C84" w:rsidTr="0019337E">
        <w:trPr>
          <w:trHeight w:val="255"/>
        </w:trPr>
        <w:tc>
          <w:tcPr>
            <w:tcW w:w="5736" w:type="dxa"/>
          </w:tcPr>
          <w:p w:rsidR="00A919B7" w:rsidRPr="009A713F" w:rsidRDefault="00A919B7" w:rsidP="0019337E">
            <w:pPr>
              <w:pStyle w:val="ProductList-Body"/>
              <w:rPr>
                <w:rFonts w:cstheme="minorHAnsi"/>
                <w:color w:val="000000" w:themeColor="text1"/>
                <w:sz w:val="17"/>
                <w:szCs w:val="17"/>
                <w:lang w:eastAsia="ja-JP"/>
              </w:rPr>
            </w:pPr>
            <w:hyperlink w:anchor="_Home_Use_Program" w:history="1">
              <w:r w:rsidRPr="009A713F">
                <w:rPr>
                  <w:rStyle w:val="Hyperlink"/>
                  <w:rFonts w:cstheme="minorHAnsi"/>
                  <w:sz w:val="17"/>
                  <w:szCs w:val="17"/>
                </w:rPr>
                <w:t>Programma lietošanai mājās</w:t>
              </w:r>
            </w:hyperlink>
          </w:p>
        </w:tc>
        <w:tc>
          <w:tcPr>
            <w:tcW w:w="1648" w:type="dxa"/>
          </w:tcPr>
          <w:p w:rsidR="00A919B7" w:rsidRPr="00BC431D" w:rsidRDefault="00A919B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A919B7" w:rsidRPr="00BC431D" w:rsidRDefault="00A919B7" w:rsidP="0019337E">
            <w:pPr>
              <w:pStyle w:val="ProductList-Body"/>
              <w:jc w:val="center"/>
              <w:rPr>
                <w:rFonts w:cstheme="minorHAnsi"/>
                <w:color w:val="000000" w:themeColor="text1"/>
                <w:sz w:val="17"/>
                <w:szCs w:val="17"/>
              </w:rPr>
            </w:pPr>
          </w:p>
        </w:tc>
        <w:tc>
          <w:tcPr>
            <w:tcW w:w="1508" w:type="dxa"/>
            <w:vAlign w:val="center"/>
          </w:tcPr>
          <w:p w:rsidR="00A919B7" w:rsidRPr="00BC431D" w:rsidRDefault="00A919B7" w:rsidP="0019337E">
            <w:pPr>
              <w:pStyle w:val="ProductList-Body"/>
              <w:jc w:val="center"/>
              <w:rPr>
                <w:rFonts w:cstheme="minorHAnsi"/>
                <w:color w:val="000000" w:themeColor="text1"/>
                <w:sz w:val="17"/>
                <w:szCs w:val="17"/>
              </w:rPr>
            </w:pPr>
          </w:p>
        </w:tc>
      </w:tr>
      <w:tr w:rsidR="00A919B7" w:rsidRPr="00A84C84" w:rsidTr="0019337E">
        <w:trPr>
          <w:trHeight w:val="255"/>
        </w:trPr>
        <w:tc>
          <w:tcPr>
            <w:tcW w:w="5736" w:type="dxa"/>
          </w:tcPr>
          <w:p w:rsidR="00A919B7" w:rsidRPr="009A713F" w:rsidRDefault="00A919B7" w:rsidP="0019337E">
            <w:pPr>
              <w:pStyle w:val="ProductList-Body"/>
              <w:rPr>
                <w:rFonts w:cstheme="minorHAnsi"/>
                <w:color w:val="000000" w:themeColor="text1"/>
                <w:sz w:val="17"/>
                <w:szCs w:val="17"/>
                <w:lang w:eastAsia="ja-JP"/>
              </w:rPr>
            </w:pPr>
            <w:hyperlink w:anchor="_Enterprise_Source_Licensing" w:history="1">
              <w:r w:rsidRPr="009A713F">
                <w:rPr>
                  <w:rStyle w:val="Hyperlink"/>
                  <w:rFonts w:cstheme="minorHAnsi"/>
                  <w:sz w:val="17"/>
                  <w:szCs w:val="17"/>
                </w:rPr>
                <w:t>Avota koda licencēšanas programma uzņēmumiem</w:t>
              </w:r>
            </w:hyperlink>
          </w:p>
        </w:tc>
        <w:tc>
          <w:tcPr>
            <w:tcW w:w="1648" w:type="dxa"/>
            <w:vAlign w:val="center"/>
          </w:tcPr>
          <w:p w:rsidR="00A919B7" w:rsidRPr="00BC431D" w:rsidRDefault="00A919B7" w:rsidP="0019337E">
            <w:pPr>
              <w:pStyle w:val="ProductList-Body"/>
              <w:jc w:val="center"/>
              <w:rPr>
                <w:rFonts w:cstheme="minorHAnsi"/>
                <w:color w:val="000000" w:themeColor="text1"/>
                <w:sz w:val="17"/>
                <w:szCs w:val="17"/>
              </w:rPr>
            </w:pPr>
          </w:p>
        </w:tc>
        <w:tc>
          <w:tcPr>
            <w:tcW w:w="1828" w:type="dxa"/>
            <w:vAlign w:val="center"/>
          </w:tcPr>
          <w:p w:rsidR="00A919B7" w:rsidRPr="00BC431D" w:rsidRDefault="00A919B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A919B7" w:rsidRPr="00BC431D" w:rsidRDefault="00A919B7" w:rsidP="0019337E">
            <w:pPr>
              <w:pStyle w:val="ProductList-Body"/>
              <w:jc w:val="center"/>
              <w:rPr>
                <w:rFonts w:cstheme="minorHAnsi"/>
                <w:color w:val="000000" w:themeColor="text1"/>
                <w:sz w:val="17"/>
                <w:szCs w:val="17"/>
              </w:rPr>
            </w:pPr>
          </w:p>
        </w:tc>
      </w:tr>
      <w:tr w:rsidR="00A919B7" w:rsidRPr="00A84C84" w:rsidTr="0019337E">
        <w:trPr>
          <w:trHeight w:val="255"/>
        </w:trPr>
        <w:tc>
          <w:tcPr>
            <w:tcW w:w="5736" w:type="dxa"/>
          </w:tcPr>
          <w:p w:rsidR="00A919B7" w:rsidRPr="009A713F" w:rsidRDefault="00A919B7" w:rsidP="0019337E">
            <w:pPr>
              <w:pStyle w:val="ProductList-Body"/>
              <w:rPr>
                <w:rFonts w:cstheme="minorHAnsi"/>
                <w:color w:val="000000" w:themeColor="text1"/>
                <w:sz w:val="17"/>
                <w:szCs w:val="17"/>
                <w:lang w:eastAsia="ja-JP"/>
              </w:rPr>
            </w:pPr>
            <w:hyperlink w:anchor="_Dublējums_atkopšanai_ārkārtas" w:history="1">
              <w:r w:rsidRPr="009A713F">
                <w:rPr>
                  <w:rStyle w:val="Hyperlink"/>
                  <w:rFonts w:cstheme="minorHAnsi"/>
                  <w:sz w:val="17"/>
                  <w:szCs w:val="17"/>
                </w:rPr>
                <w:t>Dublējums atkopšanai ārkārtas gadījumos</w:t>
              </w:r>
            </w:hyperlink>
          </w:p>
        </w:tc>
        <w:tc>
          <w:tcPr>
            <w:tcW w:w="1648" w:type="dxa"/>
            <w:vAlign w:val="center"/>
          </w:tcPr>
          <w:p w:rsidR="00A919B7" w:rsidRPr="00BC431D" w:rsidRDefault="00A919B7" w:rsidP="0019337E">
            <w:pPr>
              <w:pStyle w:val="ProductList-Body"/>
              <w:jc w:val="center"/>
              <w:rPr>
                <w:rFonts w:cstheme="minorHAnsi"/>
                <w:color w:val="000000" w:themeColor="text1"/>
                <w:sz w:val="17"/>
                <w:szCs w:val="17"/>
              </w:rPr>
            </w:pPr>
          </w:p>
        </w:tc>
        <w:tc>
          <w:tcPr>
            <w:tcW w:w="1828" w:type="dxa"/>
            <w:vAlign w:val="center"/>
          </w:tcPr>
          <w:p w:rsidR="00A919B7" w:rsidRPr="00BC431D" w:rsidRDefault="00A919B7" w:rsidP="0019337E">
            <w:pPr>
              <w:pStyle w:val="ProductList-Body"/>
              <w:jc w:val="center"/>
              <w:rPr>
                <w:rFonts w:cstheme="minorHAnsi"/>
                <w:color w:val="000000" w:themeColor="text1"/>
                <w:sz w:val="17"/>
                <w:szCs w:val="17"/>
              </w:rPr>
            </w:pPr>
          </w:p>
        </w:tc>
        <w:tc>
          <w:tcPr>
            <w:tcW w:w="1508" w:type="dxa"/>
          </w:tcPr>
          <w:p w:rsidR="00A919B7" w:rsidRPr="00BC431D" w:rsidRDefault="00A919B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A919B7" w:rsidRPr="00A84C84" w:rsidTr="0019337E">
        <w:trPr>
          <w:trHeight w:val="246"/>
        </w:trPr>
        <w:tc>
          <w:tcPr>
            <w:tcW w:w="5736" w:type="dxa"/>
          </w:tcPr>
          <w:p w:rsidR="00A919B7" w:rsidRPr="009A713F" w:rsidRDefault="00A919B7" w:rsidP="0019337E">
            <w:pPr>
              <w:pStyle w:val="ProductList-Body"/>
              <w:rPr>
                <w:rFonts w:cstheme="minorHAnsi"/>
                <w:color w:val="000000" w:themeColor="text1"/>
                <w:sz w:val="17"/>
                <w:szCs w:val="17"/>
                <w:lang w:eastAsia="ja-JP"/>
              </w:rPr>
            </w:pPr>
            <w:hyperlink w:anchor="_License_Mobility_through" w:history="1">
              <w:r w:rsidRPr="009A713F">
                <w:rPr>
                  <w:rStyle w:val="Hyperlink"/>
                  <w:rFonts w:cstheme="minorHAnsi"/>
                  <w:sz w:val="17"/>
                  <w:szCs w:val="17"/>
                </w:rPr>
                <w:t>Licences mobilitāte, izmantojot SA</w:t>
              </w:r>
            </w:hyperlink>
          </w:p>
        </w:tc>
        <w:tc>
          <w:tcPr>
            <w:tcW w:w="1648" w:type="dxa"/>
            <w:vAlign w:val="center"/>
          </w:tcPr>
          <w:p w:rsidR="00A919B7" w:rsidRPr="00BC431D" w:rsidRDefault="00A919B7" w:rsidP="0019337E">
            <w:pPr>
              <w:pStyle w:val="ProductList-Body"/>
              <w:jc w:val="center"/>
              <w:rPr>
                <w:rFonts w:cstheme="minorHAnsi"/>
                <w:color w:val="000000" w:themeColor="text1"/>
                <w:sz w:val="17"/>
                <w:szCs w:val="17"/>
              </w:rPr>
            </w:pPr>
          </w:p>
        </w:tc>
        <w:tc>
          <w:tcPr>
            <w:tcW w:w="1828" w:type="dxa"/>
            <w:vAlign w:val="center"/>
          </w:tcPr>
          <w:p w:rsidR="00A919B7" w:rsidRPr="00BC431D" w:rsidRDefault="00A919B7" w:rsidP="0019337E">
            <w:pPr>
              <w:pStyle w:val="ProductList-Body"/>
              <w:jc w:val="center"/>
              <w:rPr>
                <w:rFonts w:ascii="Wingdings" w:hAnsi="Wingdings" w:cs="Wingdings"/>
                <w:color w:val="000000" w:themeColor="text1"/>
                <w:sz w:val="17"/>
                <w:szCs w:val="17"/>
              </w:rPr>
            </w:pPr>
          </w:p>
        </w:tc>
        <w:tc>
          <w:tcPr>
            <w:tcW w:w="1508" w:type="dxa"/>
            <w:vAlign w:val="center"/>
          </w:tcPr>
          <w:p w:rsidR="00A919B7" w:rsidRPr="00BC431D" w:rsidRDefault="00A919B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A919B7" w:rsidRPr="00A84C84" w:rsidTr="0019337E">
        <w:trPr>
          <w:trHeight w:val="255"/>
        </w:trPr>
        <w:tc>
          <w:tcPr>
            <w:tcW w:w="5736" w:type="dxa"/>
          </w:tcPr>
          <w:p w:rsidR="00A919B7" w:rsidRPr="009A713F" w:rsidRDefault="00A919B7" w:rsidP="0019337E">
            <w:pPr>
              <w:pStyle w:val="ProductList-Body"/>
              <w:rPr>
                <w:rFonts w:cstheme="minorHAnsi"/>
                <w:color w:val="000000" w:themeColor="text1"/>
                <w:sz w:val="17"/>
                <w:szCs w:val="17"/>
                <w:lang w:eastAsia="ja-JP"/>
              </w:rPr>
            </w:pPr>
            <w:hyperlink w:anchor="_Extended_Hotfix_Support" w:history="1">
              <w:r w:rsidRPr="009A713F">
                <w:rPr>
                  <w:rStyle w:val="Hyperlink"/>
                  <w:rFonts w:cstheme="minorHAnsi"/>
                  <w:sz w:val="17"/>
                  <w:szCs w:val="17"/>
                </w:rPr>
                <w:t>Paplašinātais labojumfailu atbalsts</w:t>
              </w:r>
            </w:hyperlink>
          </w:p>
        </w:tc>
        <w:tc>
          <w:tcPr>
            <w:tcW w:w="1648" w:type="dxa"/>
            <w:vAlign w:val="center"/>
          </w:tcPr>
          <w:p w:rsidR="00A919B7" w:rsidRPr="00BC431D" w:rsidRDefault="00A919B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A919B7" w:rsidRPr="00BC431D" w:rsidRDefault="00A919B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A919B7" w:rsidRPr="00BC431D" w:rsidRDefault="00A919B7"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A919B7" w:rsidRPr="00483B32" w:rsidRDefault="00A919B7" w:rsidP="00A919B7">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nozīmē, ka Dalība programmā SA, kvalificēto produktu SA seguma iegāde vai SA segums, kas iztērēts kvalificētajiem produktiem attiecīgajā pūlā, nodrošina tiesības izmantot šo priekšrocību.</w:t>
      </w:r>
    </w:p>
    <w:p w:rsidR="00A919B7" w:rsidRPr="00483B32" w:rsidRDefault="00A919B7" w:rsidP="00A919B7">
      <w:pPr>
        <w:pStyle w:val="ProductList-Body"/>
        <w:tabs>
          <w:tab w:val="clear" w:pos="158"/>
          <w:tab w:val="left" w:pos="180"/>
        </w:tabs>
      </w:pPr>
      <w:r>
        <w:rPr>
          <w:rFonts w:cstheme="minorHAnsi"/>
          <w:i/>
          <w:color w:val="000000" w:themeColor="text1"/>
          <w:sz w:val="16"/>
          <w:szCs w:val="18"/>
        </w:rPr>
        <w:t>Parasti abonementi, kas ietver dažādu versiju programmatūras komponentus, nodrošina tiesības izmantot šo komponentu jaunākas versijas.</w:t>
      </w:r>
    </w:p>
    <w:p w:rsidR="00A919B7" w:rsidRPr="00483B32" w:rsidRDefault="00A919B7" w:rsidP="00A919B7">
      <w:pPr>
        <w:pStyle w:val="ProductList-Body"/>
      </w:pPr>
      <w:r>
        <w:rPr>
          <w:rFonts w:cstheme="minorHAnsi"/>
          <w:color w:val="000000" w:themeColor="text1"/>
          <w:sz w:val="16"/>
          <w:szCs w:val="18"/>
          <w:vertAlign w:val="superscript"/>
        </w:rPr>
        <w:t>1</w:t>
      </w:r>
      <w:r>
        <w:rPr>
          <w:rFonts w:cstheme="minorHAnsi"/>
          <w:i/>
          <w:color w:val="000000" w:themeColor="text1"/>
          <w:sz w:val="16"/>
          <w:szCs w:val="18"/>
        </w:rPr>
        <w:t>Nav SA priekšrocība attiecībā uz Windows Embedded Produktiem.</w:t>
      </w:r>
    </w:p>
    <w:p w:rsidR="00A919B7" w:rsidRPr="00483B32" w:rsidRDefault="00A919B7" w:rsidP="00A919B7">
      <w:pPr>
        <w:pStyle w:val="Hdg1noborder"/>
        <w:spacing w:before="60" w:after="120" w:line="240" w:lineRule="auto"/>
        <w:rPr>
          <w:rFonts w:eastAsiaTheme="majorEastAsia"/>
        </w:rPr>
      </w:pPr>
      <w:bookmarkStart w:id="29" w:name="_Toc403380302"/>
      <w:bookmarkStart w:id="30" w:name="_Toc403985020"/>
      <w:bookmarkStart w:id="31" w:name="_Toc428279665"/>
      <w:r>
        <w:rPr>
          <w:rFonts w:asciiTheme="majorHAnsi" w:eastAsiaTheme="majorEastAsia" w:hAnsiTheme="majorHAnsi" w:cstheme="majorBidi"/>
          <w:bCs/>
          <w:color w:val="FFC000" w:themeColor="accent4"/>
          <w:sz w:val="28"/>
          <w:szCs w:val="26"/>
        </w:rPr>
        <w:t>Punktu nodrošinātās priekšrocības</w:t>
      </w:r>
      <w:bookmarkEnd w:id="29"/>
      <w:bookmarkEnd w:id="30"/>
      <w:bookmarkEnd w:id="31"/>
    </w:p>
    <w:p w:rsidR="00A919B7" w:rsidRPr="00483B32" w:rsidRDefault="00A919B7" w:rsidP="00A919B7">
      <w:pPr>
        <w:pStyle w:val="Thirdheading"/>
      </w:pPr>
      <w:r>
        <w:rPr>
          <w:b/>
        </w:rPr>
        <w:t xml:space="preserve">Software Assurance priekšrocību punktu aprēķināšana, pamatojoties uz līgumu MPSA </w:t>
      </w:r>
    </w:p>
    <w:p w:rsidR="00A919B7" w:rsidRPr="00483B32" w:rsidRDefault="00A919B7" w:rsidP="00A919B7">
      <w:pPr>
        <w:pStyle w:val="BodyText"/>
      </w:pPr>
      <w:r>
        <w:t>Pamatojoties uz līgumu MPSA, tālāk norādīto priekšrocību izmantošanas tiesības nosaka pēc punktu aprēķināšanas sistēmas.</w:t>
      </w:r>
    </w:p>
    <w:p w:rsidR="00A919B7" w:rsidRPr="00483B32" w:rsidRDefault="00A919B7" w:rsidP="00A919B7">
      <w:pPr>
        <w:pStyle w:val="BodyText"/>
        <w:numPr>
          <w:ilvl w:val="0"/>
          <w:numId w:val="16"/>
        </w:numPr>
        <w:spacing w:after="0"/>
      </w:pPr>
      <w:r>
        <w:lastRenderedPageBreak/>
        <w:t>Plānošanas pakalpojumi</w:t>
      </w:r>
    </w:p>
    <w:p w:rsidR="00A919B7" w:rsidRPr="00483B32" w:rsidRDefault="00A919B7" w:rsidP="00A919B7">
      <w:pPr>
        <w:pStyle w:val="BodyText"/>
        <w:numPr>
          <w:ilvl w:val="0"/>
          <w:numId w:val="16"/>
        </w:numPr>
        <w:spacing w:after="0"/>
      </w:pPr>
      <w:r>
        <w:t>Apmācības kuponi</w:t>
      </w:r>
    </w:p>
    <w:p w:rsidR="00A919B7" w:rsidRPr="00483B32" w:rsidRDefault="00A919B7" w:rsidP="00A919B7">
      <w:pPr>
        <w:pStyle w:val="BodyText"/>
        <w:numPr>
          <w:ilvl w:val="0"/>
          <w:numId w:val="16"/>
        </w:numPr>
      </w:pPr>
      <w:r>
        <w:t>24x7 problēmu risināšanas atbalsts (pa tālruni)</w:t>
      </w:r>
    </w:p>
    <w:p w:rsidR="00A919B7" w:rsidRPr="00483B32" w:rsidRDefault="00A919B7" w:rsidP="00A919B7">
      <w:r>
        <w:rPr>
          <w:color w:val="000000" w:themeColor="text1"/>
          <w:szCs w:val="18"/>
        </w:rPr>
        <w:t xml:space="preserve">Software Assurance priekšrocību punkti tiek aprēķināti, ņemot vērā kvalificēto licenču, piemērojamo pūlu un ar kvalificētajiem produktiem saistīto punktu skaitu, kā norādīts tabulā tālāk. Papildinformāciju par pūliem, kas pelna punktus katrai SA priekšrocībai, skatiet tālāk redzamajā tabulā „MPSA nodrošinātās SA priekšrocības sadalījumā pa pūliem”. Punktus nevar apvienot vairākos Iegādes kontos, lai tādējādi </w:t>
      </w:r>
      <w:r>
        <w:rPr>
          <w:rFonts w:cs="Tahoma"/>
          <w:color w:val="000000" w:themeColor="text1"/>
          <w:szCs w:val="18"/>
        </w:rPr>
        <w:t xml:space="preserve">kvalificētos papildu punktiem. Ja gadījumos, kad tas ir atļauts, tiek veikta atgriešana un citas norēķinu korekcijas, kā dēļ punktu skaits samazinās, priekšrocību izmantošanas tiesības esošajā vai turpmākajos tiesību izmantošanas periodos var tikt zaudētas. </w:t>
      </w:r>
    </w:p>
    <w:tbl>
      <w:tblPr>
        <w:tblW w:w="1071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A919B7" w:rsidRPr="005B13F2" w:rsidTr="0019337E">
        <w:trPr>
          <w:trHeight w:val="208"/>
        </w:trPr>
        <w:tc>
          <w:tcPr>
            <w:tcW w:w="9995" w:type="dxa"/>
            <w:shd w:val="clear" w:color="auto" w:fill="BF8F00" w:themeFill="accent4" w:themeFillShade="BF"/>
            <w:tcMar>
              <w:top w:w="15" w:type="dxa"/>
              <w:left w:w="108" w:type="dxa"/>
              <w:bottom w:w="0" w:type="dxa"/>
              <w:right w:w="108" w:type="dxa"/>
            </w:tcMar>
          </w:tcPr>
          <w:p w:rsidR="00A919B7" w:rsidRPr="00CC21B3" w:rsidRDefault="00A919B7" w:rsidP="0019337E">
            <w:pPr>
              <w:pStyle w:val="ProductList-Body"/>
              <w:spacing w:before="20" w:after="20"/>
              <w:rPr>
                <w:rFonts w:cstheme="minorHAnsi"/>
                <w:color w:val="FFFFFF" w:themeColor="background1"/>
                <w:szCs w:val="18"/>
              </w:rPr>
            </w:pPr>
            <w:r>
              <w:rPr>
                <w:rFonts w:cstheme="minorHAnsi"/>
                <w:color w:val="FFFFFF" w:themeColor="background1"/>
                <w:szCs w:val="18"/>
              </w:rPr>
              <w:t>Produkti</w:t>
            </w:r>
          </w:p>
        </w:tc>
        <w:tc>
          <w:tcPr>
            <w:tcW w:w="720" w:type="dxa"/>
            <w:shd w:val="clear" w:color="auto" w:fill="BF8F00" w:themeFill="accent4" w:themeFillShade="BF"/>
            <w:tcMar>
              <w:top w:w="15" w:type="dxa"/>
              <w:left w:w="108" w:type="dxa"/>
              <w:bottom w:w="0" w:type="dxa"/>
              <w:right w:w="108" w:type="dxa"/>
            </w:tcMar>
          </w:tcPr>
          <w:p w:rsidR="00A919B7" w:rsidRPr="00CC21B3" w:rsidRDefault="00A919B7"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Punkti</w:t>
            </w:r>
          </w:p>
        </w:tc>
      </w:tr>
      <w:tr w:rsidR="00A919B7" w:rsidRPr="00CC21B3" w:rsidTr="0019337E">
        <w:trPr>
          <w:trHeight w:val="127"/>
        </w:trPr>
        <w:tc>
          <w:tcPr>
            <w:tcW w:w="9995" w:type="dxa"/>
            <w:shd w:val="clear" w:color="auto" w:fill="FFFFFF"/>
            <w:tcMar>
              <w:top w:w="15" w:type="dxa"/>
              <w:left w:w="108" w:type="dxa"/>
              <w:bottom w:w="0" w:type="dxa"/>
              <w:right w:w="108" w:type="dxa"/>
            </w:tcMar>
          </w:tcPr>
          <w:p w:rsidR="00A919B7" w:rsidRPr="00BC431D" w:rsidRDefault="00A919B7" w:rsidP="0019337E">
            <w:pPr>
              <w:pStyle w:val="ProductList-Body"/>
              <w:rPr>
                <w:color w:val="000000" w:themeColor="text1"/>
                <w:sz w:val="16"/>
                <w:szCs w:val="18"/>
              </w:rPr>
            </w:pPr>
            <w:r>
              <w:rPr>
                <w:color w:val="000000" w:themeColor="text1"/>
                <w:sz w:val="16"/>
                <w:szCs w:val="18"/>
              </w:rPr>
              <w:t>Office Lietojumprogrammu pūla Produkti (tostarp Office komplekti, Project Standard un Professional, Visio Standard un Professional), Sistēmu pūla Produkti, Microsoft Dynamics CRM CAL</w:t>
            </w:r>
            <w:r>
              <w:rPr>
                <w:color w:val="000000" w:themeColor="text1"/>
                <w:sz w:val="16"/>
                <w:szCs w:val="18"/>
                <w:vertAlign w:val="superscript"/>
              </w:rPr>
              <w:t>1</w:t>
            </w:r>
          </w:p>
        </w:tc>
        <w:tc>
          <w:tcPr>
            <w:tcW w:w="720" w:type="dxa"/>
            <w:shd w:val="clear" w:color="auto" w:fill="FFFFFF"/>
            <w:tcMar>
              <w:top w:w="15" w:type="dxa"/>
              <w:left w:w="108" w:type="dxa"/>
              <w:bottom w:w="0" w:type="dxa"/>
              <w:right w:w="108" w:type="dxa"/>
            </w:tcMar>
          </w:tcPr>
          <w:p w:rsidR="00A919B7" w:rsidRPr="00BC431D" w:rsidRDefault="00A919B7" w:rsidP="0019337E">
            <w:pPr>
              <w:pStyle w:val="ProductList-Body"/>
              <w:jc w:val="center"/>
              <w:rPr>
                <w:color w:val="000000" w:themeColor="text1"/>
                <w:sz w:val="16"/>
                <w:szCs w:val="18"/>
              </w:rPr>
            </w:pPr>
            <w:r>
              <w:rPr>
                <w:color w:val="000000" w:themeColor="text1"/>
                <w:sz w:val="16"/>
                <w:szCs w:val="18"/>
              </w:rPr>
              <w:t>1</w:t>
            </w:r>
          </w:p>
        </w:tc>
      </w:tr>
      <w:tr w:rsidR="00A919B7" w:rsidRPr="00CC21B3" w:rsidTr="0019337E">
        <w:trPr>
          <w:trHeight w:val="45"/>
        </w:trPr>
        <w:tc>
          <w:tcPr>
            <w:tcW w:w="9995" w:type="dxa"/>
            <w:shd w:val="clear" w:color="auto" w:fill="FFFFFF"/>
            <w:tcMar>
              <w:top w:w="15" w:type="dxa"/>
              <w:left w:w="108" w:type="dxa"/>
              <w:bottom w:w="0" w:type="dxa"/>
              <w:right w:w="108" w:type="dxa"/>
            </w:tcMar>
          </w:tcPr>
          <w:p w:rsidR="00A919B7" w:rsidRPr="009A713F" w:rsidRDefault="00A919B7" w:rsidP="0019337E">
            <w:pPr>
              <w:pStyle w:val="ProductList-Body"/>
              <w:rPr>
                <w:color w:val="000000" w:themeColor="text1"/>
                <w:sz w:val="16"/>
                <w:szCs w:val="16"/>
              </w:rPr>
            </w:pPr>
            <w:r w:rsidRPr="009A713F">
              <w:rPr>
                <w:rFonts w:eastAsia="Calibri"/>
                <w:color w:val="000000" w:themeColor="text1"/>
                <w:sz w:val="16"/>
                <w:szCs w:val="16"/>
              </w:rPr>
              <w:t>SQL Server Standard Edition, Windows Server Standard Edition, Microsoft Dynamic CRM Server 2011, Microsoft Dynamics CRM Server 2013</w:t>
            </w:r>
            <w:r w:rsidRPr="009A713F">
              <w:rPr>
                <w:sz w:val="16"/>
                <w:szCs w:val="16"/>
              </w:rPr>
              <w:fldChar w:fldCharType="begin"/>
            </w:r>
            <w:r w:rsidRPr="009A713F">
              <w:rPr>
                <w:sz w:val="16"/>
                <w:szCs w:val="16"/>
              </w:rPr>
              <w:instrText>XE "Microsoft Dynamics CRM Server 2013"</w:instrText>
            </w:r>
            <w:r w:rsidRPr="009A713F">
              <w:rPr>
                <w:sz w:val="16"/>
                <w:szCs w:val="16"/>
              </w:rPr>
              <w:fldChar w:fldCharType="end"/>
            </w:r>
            <w:r w:rsidRPr="009A713F">
              <w:rPr>
                <w:rFonts w:eastAsia="Calibri"/>
                <w:color w:val="000000" w:themeColor="text1"/>
                <w:sz w:val="16"/>
                <w:szCs w:val="16"/>
              </w:rPr>
              <w:t>, Microsoft Dynamics CRM Server 2015</w:t>
            </w:r>
            <w:r w:rsidRPr="009A713F">
              <w:rPr>
                <w:sz w:val="16"/>
                <w:szCs w:val="16"/>
              </w:rPr>
              <w:fldChar w:fldCharType="begin"/>
            </w:r>
            <w:r w:rsidRPr="009A713F">
              <w:rPr>
                <w:sz w:val="16"/>
                <w:szCs w:val="16"/>
              </w:rPr>
              <w:instrText>XE "Microsoft Dynamics CRM Server 2015"</w:instrText>
            </w:r>
            <w:r w:rsidRPr="009A713F">
              <w:rPr>
                <w:sz w:val="16"/>
                <w:szCs w:val="16"/>
              </w:rPr>
              <w:fldChar w:fldCharType="end"/>
            </w:r>
            <w:r w:rsidRPr="009A713F">
              <w:rPr>
                <w:rFonts w:eastAsia="Calibri"/>
                <w:sz w:val="16"/>
                <w:szCs w:val="16"/>
              </w:rPr>
              <w:t xml:space="preserve">, </w:t>
            </w:r>
            <w:r w:rsidRPr="009A713F">
              <w:rPr>
                <w:rFonts w:eastAsia="Calibri"/>
                <w:color w:val="000000" w:themeColor="text1"/>
                <w:sz w:val="16"/>
                <w:szCs w:val="16"/>
              </w:rPr>
              <w:t>System Center 2012 Standard</w:t>
            </w:r>
            <w:r w:rsidRPr="009A713F">
              <w:rPr>
                <w:sz w:val="16"/>
                <w:szCs w:val="16"/>
              </w:rPr>
              <w:fldChar w:fldCharType="begin"/>
            </w:r>
            <w:r w:rsidRPr="009A713F">
              <w:rPr>
                <w:sz w:val="16"/>
                <w:szCs w:val="16"/>
              </w:rPr>
              <w:instrText>XE "System Center 2012 Standard"</w:instrText>
            </w:r>
            <w:r w:rsidRPr="009A713F">
              <w:rPr>
                <w:sz w:val="16"/>
                <w:szCs w:val="16"/>
              </w:rPr>
              <w:fldChar w:fldCharType="end"/>
            </w:r>
            <w:r w:rsidRPr="009A713F">
              <w:rPr>
                <w:rFonts w:eastAsia="Calibri"/>
                <w:color w:val="000000" w:themeColor="text1"/>
                <w:sz w:val="16"/>
                <w:szCs w:val="16"/>
              </w:rPr>
              <w:t xml:space="preserve"> servera pārvaldības licence (divprocesoru), Visual Studio Professional with MSDN un Visual Studio Test Professional with MSDN</w:t>
            </w:r>
          </w:p>
        </w:tc>
        <w:tc>
          <w:tcPr>
            <w:tcW w:w="720" w:type="dxa"/>
            <w:shd w:val="clear" w:color="auto" w:fill="FFFFFF"/>
            <w:tcMar>
              <w:top w:w="15" w:type="dxa"/>
              <w:left w:w="108" w:type="dxa"/>
              <w:bottom w:w="0" w:type="dxa"/>
              <w:right w:w="108" w:type="dxa"/>
            </w:tcMar>
          </w:tcPr>
          <w:p w:rsidR="00A919B7" w:rsidRPr="00BC431D" w:rsidRDefault="00A919B7" w:rsidP="0019337E">
            <w:pPr>
              <w:pStyle w:val="ProductList-Body"/>
              <w:jc w:val="center"/>
              <w:rPr>
                <w:color w:val="000000" w:themeColor="text1"/>
                <w:sz w:val="16"/>
                <w:szCs w:val="18"/>
              </w:rPr>
            </w:pPr>
            <w:r>
              <w:rPr>
                <w:color w:val="000000" w:themeColor="text1"/>
                <w:sz w:val="16"/>
                <w:szCs w:val="18"/>
              </w:rPr>
              <w:t>25</w:t>
            </w:r>
          </w:p>
        </w:tc>
      </w:tr>
      <w:tr w:rsidR="00A919B7" w:rsidRPr="00CC21B3" w:rsidTr="0019337E">
        <w:trPr>
          <w:trHeight w:val="45"/>
        </w:trPr>
        <w:tc>
          <w:tcPr>
            <w:tcW w:w="9995" w:type="dxa"/>
            <w:shd w:val="clear" w:color="auto" w:fill="FFFFFF"/>
            <w:tcMar>
              <w:top w:w="15" w:type="dxa"/>
              <w:left w:w="108" w:type="dxa"/>
              <w:bottom w:w="0" w:type="dxa"/>
              <w:right w:w="108" w:type="dxa"/>
            </w:tcMar>
          </w:tcPr>
          <w:p w:rsidR="00A919B7" w:rsidRPr="00BC431D" w:rsidRDefault="00A919B7" w:rsidP="0019337E">
            <w:pPr>
              <w:pStyle w:val="ProductList-Body"/>
              <w:rPr>
                <w:color w:val="000000" w:themeColor="text1"/>
                <w:sz w:val="16"/>
                <w:szCs w:val="18"/>
              </w:rPr>
            </w:pPr>
            <w:r>
              <w:rPr>
                <w:rFonts w:eastAsia="Calibri"/>
                <w:color w:val="000000" w:themeColor="text1"/>
                <w:sz w:val="16"/>
                <w:szCs w:val="18"/>
              </w:rPr>
              <w:t xml:space="preserve">SQL Server Enterprise Edition, </w:t>
            </w:r>
            <w:r>
              <w:rPr>
                <w:color w:val="000000" w:themeColor="text1"/>
                <w:sz w:val="16"/>
                <w:szCs w:val="18"/>
              </w:rPr>
              <w:t xml:space="preserve">SQL Server Business Intelligence, </w:t>
            </w:r>
            <w:r>
              <w:rPr>
                <w:rFonts w:eastAsia="Calibri"/>
                <w:color w:val="000000" w:themeColor="text1"/>
                <w:sz w:val="16"/>
                <w:szCs w:val="18"/>
              </w:rPr>
              <w:t>Windows Server Enterprise Edition un Visual Studio Premium with MSDN</w:t>
            </w:r>
          </w:p>
        </w:tc>
        <w:tc>
          <w:tcPr>
            <w:tcW w:w="720" w:type="dxa"/>
            <w:shd w:val="clear" w:color="auto" w:fill="FFFFFF"/>
            <w:tcMar>
              <w:top w:w="15" w:type="dxa"/>
              <w:left w:w="108" w:type="dxa"/>
              <w:bottom w:w="0" w:type="dxa"/>
              <w:right w:w="108" w:type="dxa"/>
            </w:tcMar>
          </w:tcPr>
          <w:p w:rsidR="00A919B7" w:rsidRPr="00BC431D" w:rsidRDefault="00A919B7" w:rsidP="0019337E">
            <w:pPr>
              <w:pStyle w:val="ProductList-Body"/>
              <w:jc w:val="center"/>
              <w:rPr>
                <w:color w:val="000000" w:themeColor="text1"/>
                <w:sz w:val="16"/>
                <w:szCs w:val="18"/>
              </w:rPr>
            </w:pPr>
            <w:r>
              <w:rPr>
                <w:color w:val="000000" w:themeColor="text1"/>
                <w:sz w:val="16"/>
                <w:szCs w:val="18"/>
              </w:rPr>
              <w:t>50</w:t>
            </w:r>
          </w:p>
        </w:tc>
      </w:tr>
      <w:tr w:rsidR="00A919B7" w:rsidRPr="00CC21B3" w:rsidTr="0019337E">
        <w:trPr>
          <w:trHeight w:val="45"/>
        </w:trPr>
        <w:tc>
          <w:tcPr>
            <w:tcW w:w="9995" w:type="dxa"/>
            <w:shd w:val="clear" w:color="auto" w:fill="FFFFFF"/>
            <w:tcMar>
              <w:top w:w="15" w:type="dxa"/>
              <w:left w:w="108" w:type="dxa"/>
              <w:bottom w:w="0" w:type="dxa"/>
              <w:right w:w="108" w:type="dxa"/>
            </w:tcMar>
          </w:tcPr>
          <w:p w:rsidR="00A919B7" w:rsidRPr="009A713F" w:rsidRDefault="00A919B7" w:rsidP="0019337E">
            <w:pPr>
              <w:pStyle w:val="ProductList-Body"/>
              <w:rPr>
                <w:color w:val="000000" w:themeColor="text1"/>
                <w:sz w:val="16"/>
                <w:szCs w:val="16"/>
              </w:rPr>
            </w:pPr>
            <w:r w:rsidRPr="009A713F">
              <w:rPr>
                <w:rFonts w:eastAsia="Calibri"/>
                <w:color w:val="000000" w:themeColor="text1"/>
                <w:sz w:val="16"/>
                <w:szCs w:val="16"/>
              </w:rPr>
              <w:t>SQL Server Data Center Edition, SQL Parallel Data Warehouse, Windows Server Data Center Edition, System Center 2012 Datacenter</w:t>
            </w:r>
            <w:r w:rsidRPr="009A713F">
              <w:rPr>
                <w:sz w:val="16"/>
                <w:szCs w:val="16"/>
              </w:rPr>
              <w:fldChar w:fldCharType="begin"/>
            </w:r>
            <w:r w:rsidRPr="009A713F">
              <w:rPr>
                <w:sz w:val="16"/>
                <w:szCs w:val="16"/>
              </w:rPr>
              <w:instrText>XE "System Center 2012 Datacenter"</w:instrText>
            </w:r>
            <w:r w:rsidRPr="009A713F">
              <w:rPr>
                <w:sz w:val="16"/>
                <w:szCs w:val="16"/>
              </w:rPr>
              <w:fldChar w:fldCharType="end"/>
            </w:r>
            <w:r w:rsidRPr="009A713F">
              <w:rPr>
                <w:rFonts w:eastAsia="Calibri"/>
                <w:color w:val="000000" w:themeColor="text1"/>
                <w:sz w:val="16"/>
                <w:szCs w:val="16"/>
              </w:rPr>
              <w:t xml:space="preserve"> servera pārvaldības licence (divprocesoru) un Visual Studio Ultimate with MSDN</w:t>
            </w:r>
          </w:p>
        </w:tc>
        <w:tc>
          <w:tcPr>
            <w:tcW w:w="720" w:type="dxa"/>
            <w:shd w:val="clear" w:color="auto" w:fill="FFFFFF"/>
            <w:tcMar>
              <w:top w:w="15" w:type="dxa"/>
              <w:left w:w="108" w:type="dxa"/>
              <w:bottom w:w="0" w:type="dxa"/>
              <w:right w:w="108" w:type="dxa"/>
            </w:tcMar>
          </w:tcPr>
          <w:p w:rsidR="00A919B7" w:rsidRPr="00BC431D" w:rsidRDefault="00A919B7" w:rsidP="0019337E">
            <w:pPr>
              <w:pStyle w:val="ProductList-Body"/>
              <w:jc w:val="center"/>
              <w:rPr>
                <w:color w:val="000000" w:themeColor="text1"/>
                <w:sz w:val="16"/>
                <w:szCs w:val="18"/>
              </w:rPr>
            </w:pPr>
            <w:r>
              <w:rPr>
                <w:color w:val="000000" w:themeColor="text1"/>
                <w:sz w:val="16"/>
                <w:szCs w:val="18"/>
              </w:rPr>
              <w:t>75</w:t>
            </w:r>
          </w:p>
        </w:tc>
      </w:tr>
    </w:tbl>
    <w:p w:rsidR="00A919B7" w:rsidRPr="00483B32" w:rsidRDefault="00A919B7" w:rsidP="00A919B7">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Ja izmantojat Microsoft Dynamics CRM profesionālo CAL, tiek aprēķināti divi (2) punkti.</w:t>
      </w:r>
    </w:p>
    <w:p w:rsidR="00A919B7" w:rsidRPr="00483B32" w:rsidRDefault="00A919B7" w:rsidP="00A919B7">
      <w:pPr>
        <w:pStyle w:val="ProductList-Body"/>
        <w:tabs>
          <w:tab w:val="clear" w:pos="158"/>
          <w:tab w:val="left" w:pos="180"/>
        </w:tabs>
      </w:pPr>
      <w:r>
        <w:rPr>
          <w:i/>
          <w:color w:val="000000" w:themeColor="text1"/>
          <w:sz w:val="16"/>
          <w:szCs w:val="18"/>
        </w:rPr>
        <w:t>* Ja izmantojat pamata CAL komplektu un SQL CAL SA segumu, tiek aprēķināts viens (1) punkts, ja izmantojāt uzņēmuma CAL komplekta SA segumu — divi (2) punkti.</w:t>
      </w:r>
    </w:p>
    <w:p w:rsidR="00A919B7" w:rsidRPr="00483B32" w:rsidRDefault="00A919B7" w:rsidP="00A919B7">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279666"/>
      <w:bookmarkEnd w:id="32"/>
      <w:bookmarkEnd w:id="33"/>
      <w:bookmarkEnd w:id="34"/>
      <w:bookmarkEnd w:id="35"/>
      <w:r>
        <w:t>Plānošanas pakalpojumi</w:t>
      </w:r>
      <w:bookmarkEnd w:id="36"/>
      <w:bookmarkEnd w:id="37"/>
      <w:bookmarkEnd w:id="38"/>
    </w:p>
    <w:p w:rsidR="00A919B7" w:rsidRPr="00483B32" w:rsidRDefault="00A919B7" w:rsidP="00A919B7">
      <w:pPr>
        <w:pStyle w:val="ProductList-Body"/>
      </w:pPr>
      <w:r>
        <w:rPr>
          <w:color w:val="000000" w:themeColor="text1"/>
          <w:szCs w:val="18"/>
        </w:rPr>
        <w:t xml:space="preserve">Ja esat izvēlējies dalību programmā Software Assurance (SAM) Lietojumprogrammu un/vai Serveru pūlā, jums ir tiesības izmantot šo priekšrocību. Plānošanas pakalpojumu priekšrocība nodrošina tiesības izmantot iepriekš noteiktos pakalpojumu piedāvājumus, kā ir aprakstīts vietnē </w:t>
      </w:r>
      <w:hyperlink r:id="rId19" w:history="1">
        <w:r>
          <w:rPr>
            <w:rStyle w:val="Hyperlink"/>
          </w:rPr>
          <w:t>http://www.microsoft.com/licensing/software-assurance/planning-services-overview.aspx</w:t>
        </w:r>
      </w:hyperlink>
      <w:r>
        <w:rPr>
          <w:color w:val="000000" w:themeColor="text1"/>
          <w:szCs w:val="18"/>
        </w:rPr>
        <w:t xml:space="preserve">. Pieejamo pakalpojumu un saistīto pakalpojumu līmeņu saraksts jebkurā laikā var tikt mainīts. </w:t>
      </w:r>
      <w:r>
        <w:rPr>
          <w:rFonts w:ascii="Segoe UI" w:hAnsi="Segoe UI"/>
          <w:color w:val="000000" w:themeColor="text1"/>
          <w:szCs w:val="18"/>
        </w:rPr>
        <w:t xml:space="preserve">Plānošanas pakalpojumu partneri (atrodami vietnē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pēc pieprasījuma sniegs pieejamā Darba apjoma īso aprakstu par katru no iepriekš norādītajiem pakalpojumu piedāvājumu. Jūs varat izvēlēties vienu vai vairākus pieejamos piedāvājumus un atlasīt no pieejamajiem pakalpojumu līmeņiem, ievērojot Plānošanas pakalpojumu dienu pieejamo skaitu attiecīgajos pakalpojumos.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"Pamata CAL komplekts"</w:instrText>
      </w:r>
      <w:r>
        <w:fldChar w:fldCharType="end"/>
      </w:r>
      <w:r>
        <w:fldChar w:fldCharType="begin"/>
      </w:r>
      <w:r>
        <w:instrText>XE "Uzņēmuma CAL komplekts"</w:instrText>
      </w:r>
      <w:r>
        <w:fldChar w:fldCharType="end"/>
      </w:r>
      <w:r>
        <w:fldChar w:fldCharType="begin"/>
      </w:r>
      <w:r>
        <w:instrText>XE "Uzņēmuma CAL komplekts"</w:instrText>
      </w:r>
      <w:r>
        <w:fldChar w:fldCharType="end"/>
      </w:r>
      <w:r>
        <w:fldChar w:fldCharType="begin"/>
      </w:r>
      <w:r>
        <w:instrText>XE "Uzņēmuma CAL komplekts"</w:instrText>
      </w:r>
      <w:r>
        <w:fldChar w:fldCharType="end"/>
      </w:r>
    </w:p>
    <w:p w:rsidR="00A919B7" w:rsidRPr="00483B32" w:rsidRDefault="00A919B7" w:rsidP="00A919B7">
      <w:r>
        <w:rPr>
          <w:color w:val="000000" w:themeColor="text1"/>
          <w:szCs w:val="18"/>
        </w:rPr>
        <w:t xml:space="preserve">Kvalificējoties jums tiek piešķirtas Plānošanas pakalpojumu dienas, kuru skaitu aprēķina, ņemot vērā kvalificēto Office Lietojumprogrammu licenču un kvalificēto Servera licenču skaitu, kā arī pamata CAL komplektu, SQL CAL un uzņēmuma CAL komplektu skaitu, kam ir iegādāts SA segums. Dienu skaits, kas tiek piešķirts pieejamo Plānošanas pakalpojumu piedāvājumu izmantošanai, ir apkopots Plānošanas pakalpojumu dienu pūlā, kas ir saistīts ar katru Iegādes kontu. </w:t>
      </w:r>
    </w:p>
    <w:p w:rsidR="00A919B7" w:rsidRPr="00483B32" w:rsidRDefault="00A919B7" w:rsidP="00A919B7">
      <w:pPr>
        <w:pStyle w:val="ProductList-Body"/>
      </w:pPr>
    </w:p>
    <w:p w:rsidR="00A919B7" w:rsidRPr="00483B32" w:rsidRDefault="00A919B7" w:rsidP="00A919B7">
      <w:pPr>
        <w:pStyle w:val="ProductList-Body"/>
      </w:pPr>
      <w:r>
        <w:rPr>
          <w:rFonts w:ascii="Segoe UI" w:hAnsi="Segoe UI"/>
          <w:color w:val="000000" w:themeColor="text1"/>
          <w:szCs w:val="18"/>
        </w:rPr>
        <w:t>Jums piešķirto Plānoto pakalpojumu dienu skaits ir atkarīgs no kopējā aprēķinātā punktu skaita, kas ir nopelnīti, izmantojot Iegādes kontu, kā redzams tālāk (papildinformāciju par to, kā tiek aprēķināti SA priekšrocību punkti, skatiet šī dokumenta sadaļā „Software Assurance priekšrocību punktu aprēķināšana, pamatojoties uz līgumu MPSA”).</w:t>
      </w:r>
    </w:p>
    <w:p w:rsidR="00A919B7" w:rsidRPr="00483B32" w:rsidRDefault="00A919B7" w:rsidP="00A919B7">
      <w:pPr>
        <w:pStyle w:val="ProductList-Body"/>
      </w:pPr>
    </w:p>
    <w:tbl>
      <w:tblPr>
        <w:tblW w:w="773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51"/>
        <w:gridCol w:w="2880"/>
      </w:tblGrid>
      <w:tr w:rsidR="00A919B7" w:rsidRPr="005B13F2" w:rsidTr="0019337E">
        <w:trPr>
          <w:trHeight w:val="226"/>
          <w:tblHeader/>
        </w:trPr>
        <w:tc>
          <w:tcPr>
            <w:tcW w:w="4851" w:type="dxa"/>
            <w:shd w:val="clear" w:color="auto" w:fill="BF8F00" w:themeFill="accent4" w:themeFillShade="BF"/>
            <w:tcMar>
              <w:top w:w="15" w:type="dxa"/>
              <w:left w:w="108" w:type="dxa"/>
              <w:bottom w:w="0" w:type="dxa"/>
              <w:right w:w="108" w:type="dxa"/>
            </w:tcMar>
          </w:tcPr>
          <w:p w:rsidR="00A919B7" w:rsidRPr="005B13F2" w:rsidRDefault="00A919B7" w:rsidP="0019337E">
            <w:pPr>
              <w:pStyle w:val="ProductList-Body"/>
              <w:spacing w:before="20" w:after="20"/>
              <w:rPr>
                <w:color w:val="FFFFFF" w:themeColor="background1"/>
                <w:szCs w:val="18"/>
              </w:rPr>
            </w:pPr>
            <w:r>
              <w:rPr>
                <w:color w:val="FFFFFF" w:themeColor="background1"/>
                <w:szCs w:val="18"/>
              </w:rPr>
              <w:t>Office Lietojumprogrammu un/vai Serveru punkti ar SAM</w:t>
            </w:r>
          </w:p>
        </w:tc>
        <w:tc>
          <w:tcPr>
            <w:tcW w:w="2880" w:type="dxa"/>
            <w:shd w:val="clear" w:color="auto" w:fill="BF8F00" w:themeFill="accent4" w:themeFillShade="BF"/>
            <w:tcMar>
              <w:top w:w="15" w:type="dxa"/>
              <w:left w:w="108" w:type="dxa"/>
              <w:bottom w:w="0" w:type="dxa"/>
              <w:right w:w="108" w:type="dxa"/>
            </w:tcMar>
          </w:tcPr>
          <w:p w:rsidR="00A919B7" w:rsidRPr="005B13F2" w:rsidRDefault="00A919B7" w:rsidP="0019337E">
            <w:pPr>
              <w:pStyle w:val="ProductList-Body"/>
              <w:spacing w:before="20" w:after="20"/>
              <w:rPr>
                <w:color w:val="FFFFFF" w:themeColor="background1"/>
                <w:szCs w:val="18"/>
              </w:rPr>
            </w:pPr>
            <w:r>
              <w:rPr>
                <w:color w:val="FFFFFF" w:themeColor="background1"/>
                <w:szCs w:val="18"/>
              </w:rPr>
              <w:t>Plānošanas pakalpojumu dienas</w:t>
            </w:r>
          </w:p>
        </w:tc>
      </w:tr>
      <w:tr w:rsidR="00A919B7" w:rsidRPr="005B13F2" w:rsidTr="0019337E">
        <w:trPr>
          <w:trHeight w:val="127"/>
        </w:trPr>
        <w:tc>
          <w:tcPr>
            <w:tcW w:w="4851" w:type="dxa"/>
            <w:shd w:val="clear" w:color="auto" w:fill="FFFFFF"/>
            <w:tcMar>
              <w:top w:w="15" w:type="dxa"/>
              <w:left w:w="108" w:type="dxa"/>
              <w:bottom w:w="0" w:type="dxa"/>
              <w:right w:w="108" w:type="dxa"/>
            </w:tcMar>
          </w:tcPr>
          <w:p w:rsidR="00A919B7" w:rsidRPr="00D814DA" w:rsidRDefault="00A919B7" w:rsidP="0019337E">
            <w:pPr>
              <w:pStyle w:val="ProductList-Body"/>
              <w:rPr>
                <w:color w:val="000000" w:themeColor="text1"/>
                <w:szCs w:val="18"/>
              </w:rPr>
            </w:pPr>
            <w:r>
              <w:rPr>
                <w:color w:val="000000" w:themeColor="text1"/>
                <w:szCs w:val="18"/>
              </w:rPr>
              <w:t>200</w:t>
            </w:r>
            <w:r>
              <w:rPr>
                <w:rFonts w:cstheme="minorHAnsi"/>
                <w:color w:val="000000" w:themeColor="text1"/>
                <w:szCs w:val="18"/>
              </w:rPr>
              <w:t xml:space="preserve"> – </w:t>
            </w:r>
            <w:r>
              <w:rPr>
                <w:color w:val="000000" w:themeColor="text1"/>
                <w:szCs w:val="18"/>
              </w:rPr>
              <w:t>499</w:t>
            </w:r>
          </w:p>
        </w:tc>
        <w:tc>
          <w:tcPr>
            <w:tcW w:w="2880" w:type="dxa"/>
            <w:shd w:val="clear" w:color="auto" w:fill="FFFFFF"/>
            <w:tcMar>
              <w:top w:w="15" w:type="dxa"/>
              <w:left w:w="108" w:type="dxa"/>
              <w:bottom w:w="0" w:type="dxa"/>
              <w:right w:w="108" w:type="dxa"/>
            </w:tcMar>
          </w:tcPr>
          <w:p w:rsidR="00A919B7" w:rsidRPr="00D814DA" w:rsidRDefault="00A919B7" w:rsidP="0019337E">
            <w:pPr>
              <w:pStyle w:val="ProductList-Body"/>
              <w:jc w:val="center"/>
              <w:rPr>
                <w:color w:val="000000" w:themeColor="text1"/>
                <w:szCs w:val="18"/>
              </w:rPr>
            </w:pPr>
            <w:r>
              <w:rPr>
                <w:color w:val="000000" w:themeColor="text1"/>
                <w:szCs w:val="18"/>
              </w:rPr>
              <w:t>1</w:t>
            </w:r>
          </w:p>
        </w:tc>
      </w:tr>
      <w:tr w:rsidR="00A919B7" w:rsidRPr="005B13F2" w:rsidTr="0019337E">
        <w:trPr>
          <w:trHeight w:val="45"/>
        </w:trPr>
        <w:tc>
          <w:tcPr>
            <w:tcW w:w="4851" w:type="dxa"/>
            <w:shd w:val="clear" w:color="auto" w:fill="FFFFFF"/>
            <w:tcMar>
              <w:top w:w="15" w:type="dxa"/>
              <w:left w:w="108" w:type="dxa"/>
              <w:bottom w:w="0" w:type="dxa"/>
              <w:right w:w="108" w:type="dxa"/>
            </w:tcMar>
          </w:tcPr>
          <w:p w:rsidR="00A919B7" w:rsidRPr="00D814DA" w:rsidRDefault="00A919B7" w:rsidP="0019337E">
            <w:pPr>
              <w:pStyle w:val="ProductList-Body"/>
              <w:rPr>
                <w:color w:val="000000" w:themeColor="text1"/>
                <w:szCs w:val="18"/>
              </w:rPr>
            </w:pPr>
            <w:r>
              <w:rPr>
                <w:color w:val="000000" w:themeColor="text1"/>
                <w:szCs w:val="18"/>
              </w:rPr>
              <w:t>500</w:t>
            </w:r>
            <w:r>
              <w:rPr>
                <w:rFonts w:cstheme="minorHAnsi"/>
                <w:color w:val="000000" w:themeColor="text1"/>
                <w:szCs w:val="18"/>
              </w:rPr>
              <w:t xml:space="preserve"> – </w:t>
            </w:r>
            <w:r>
              <w:rPr>
                <w:color w:val="000000" w:themeColor="text1"/>
                <w:szCs w:val="18"/>
              </w:rPr>
              <w:t>1999</w:t>
            </w:r>
          </w:p>
        </w:tc>
        <w:tc>
          <w:tcPr>
            <w:tcW w:w="2880" w:type="dxa"/>
            <w:shd w:val="clear" w:color="auto" w:fill="FFFFFF"/>
            <w:tcMar>
              <w:top w:w="15" w:type="dxa"/>
              <w:left w:w="108" w:type="dxa"/>
              <w:bottom w:w="0" w:type="dxa"/>
              <w:right w:w="108" w:type="dxa"/>
            </w:tcMar>
          </w:tcPr>
          <w:p w:rsidR="00A919B7" w:rsidRPr="00D814DA" w:rsidRDefault="00A919B7" w:rsidP="0019337E">
            <w:pPr>
              <w:pStyle w:val="ProductList-Body"/>
              <w:jc w:val="center"/>
              <w:rPr>
                <w:color w:val="000000" w:themeColor="text1"/>
                <w:szCs w:val="18"/>
              </w:rPr>
            </w:pPr>
            <w:r>
              <w:rPr>
                <w:color w:val="000000" w:themeColor="text1"/>
                <w:szCs w:val="18"/>
              </w:rPr>
              <w:t>3</w:t>
            </w:r>
          </w:p>
        </w:tc>
      </w:tr>
      <w:tr w:rsidR="00A919B7" w:rsidRPr="005B13F2" w:rsidTr="0019337E">
        <w:trPr>
          <w:trHeight w:val="45"/>
        </w:trPr>
        <w:tc>
          <w:tcPr>
            <w:tcW w:w="4851" w:type="dxa"/>
            <w:shd w:val="clear" w:color="auto" w:fill="FFFFFF"/>
            <w:tcMar>
              <w:top w:w="15" w:type="dxa"/>
              <w:left w:w="108" w:type="dxa"/>
              <w:bottom w:w="0" w:type="dxa"/>
              <w:right w:w="108" w:type="dxa"/>
            </w:tcMar>
          </w:tcPr>
          <w:p w:rsidR="00A919B7" w:rsidRPr="00D814DA" w:rsidRDefault="00A919B7" w:rsidP="0019337E">
            <w:pPr>
              <w:pStyle w:val="ProductList-Body"/>
              <w:rPr>
                <w:color w:val="000000" w:themeColor="text1"/>
                <w:szCs w:val="18"/>
              </w:rPr>
            </w:pPr>
            <w:r>
              <w:rPr>
                <w:color w:val="000000" w:themeColor="text1"/>
                <w:szCs w:val="18"/>
              </w:rPr>
              <w:t>2000</w:t>
            </w:r>
            <w:r>
              <w:rPr>
                <w:rFonts w:cstheme="minorHAnsi"/>
                <w:color w:val="000000" w:themeColor="text1"/>
                <w:szCs w:val="18"/>
              </w:rPr>
              <w:t xml:space="preserve"> – </w:t>
            </w:r>
            <w:r>
              <w:rPr>
                <w:color w:val="000000" w:themeColor="text1"/>
                <w:szCs w:val="18"/>
              </w:rPr>
              <w:t>3999</w:t>
            </w:r>
          </w:p>
        </w:tc>
        <w:tc>
          <w:tcPr>
            <w:tcW w:w="2880" w:type="dxa"/>
            <w:shd w:val="clear" w:color="auto" w:fill="FFFFFF"/>
            <w:tcMar>
              <w:top w:w="15" w:type="dxa"/>
              <w:left w:w="108" w:type="dxa"/>
              <w:bottom w:w="0" w:type="dxa"/>
              <w:right w:w="108" w:type="dxa"/>
            </w:tcMar>
          </w:tcPr>
          <w:p w:rsidR="00A919B7" w:rsidRPr="00D814DA" w:rsidRDefault="00A919B7" w:rsidP="0019337E">
            <w:pPr>
              <w:pStyle w:val="ProductList-Body"/>
              <w:jc w:val="center"/>
              <w:rPr>
                <w:color w:val="000000" w:themeColor="text1"/>
                <w:szCs w:val="18"/>
              </w:rPr>
            </w:pPr>
            <w:r>
              <w:rPr>
                <w:color w:val="000000" w:themeColor="text1"/>
                <w:szCs w:val="18"/>
              </w:rPr>
              <w:t>5</w:t>
            </w:r>
          </w:p>
        </w:tc>
      </w:tr>
      <w:tr w:rsidR="00A919B7" w:rsidRPr="005B13F2" w:rsidTr="0019337E">
        <w:trPr>
          <w:trHeight w:val="45"/>
        </w:trPr>
        <w:tc>
          <w:tcPr>
            <w:tcW w:w="4851" w:type="dxa"/>
            <w:shd w:val="clear" w:color="auto" w:fill="FFFFFF"/>
            <w:tcMar>
              <w:top w:w="15" w:type="dxa"/>
              <w:left w:w="108" w:type="dxa"/>
              <w:bottom w:w="0" w:type="dxa"/>
              <w:right w:w="108" w:type="dxa"/>
            </w:tcMar>
          </w:tcPr>
          <w:p w:rsidR="00A919B7" w:rsidRPr="00D814DA" w:rsidRDefault="00A919B7" w:rsidP="0019337E">
            <w:pPr>
              <w:pStyle w:val="ProductList-Body"/>
              <w:rPr>
                <w:color w:val="000000" w:themeColor="text1"/>
                <w:szCs w:val="18"/>
              </w:rPr>
            </w:pPr>
            <w:r>
              <w:rPr>
                <w:color w:val="000000" w:themeColor="text1"/>
                <w:szCs w:val="18"/>
              </w:rPr>
              <w:t>4000 – 29999</w:t>
            </w:r>
          </w:p>
        </w:tc>
        <w:tc>
          <w:tcPr>
            <w:tcW w:w="2880" w:type="dxa"/>
            <w:shd w:val="clear" w:color="auto" w:fill="FFFFFF"/>
            <w:tcMar>
              <w:top w:w="15" w:type="dxa"/>
              <w:left w:w="108" w:type="dxa"/>
              <w:bottom w:w="0" w:type="dxa"/>
              <w:right w:w="108" w:type="dxa"/>
            </w:tcMar>
          </w:tcPr>
          <w:p w:rsidR="00A919B7" w:rsidRPr="00D814DA" w:rsidRDefault="00A919B7" w:rsidP="0019337E">
            <w:pPr>
              <w:pStyle w:val="ProductList-Body"/>
              <w:jc w:val="center"/>
              <w:rPr>
                <w:color w:val="000000" w:themeColor="text1"/>
                <w:szCs w:val="18"/>
              </w:rPr>
            </w:pPr>
            <w:r>
              <w:rPr>
                <w:color w:val="000000" w:themeColor="text1"/>
                <w:szCs w:val="18"/>
              </w:rPr>
              <w:t>10</w:t>
            </w:r>
          </w:p>
        </w:tc>
      </w:tr>
      <w:tr w:rsidR="00A919B7" w:rsidRPr="005B13F2" w:rsidTr="0019337E">
        <w:trPr>
          <w:trHeight w:val="45"/>
        </w:trPr>
        <w:tc>
          <w:tcPr>
            <w:tcW w:w="4851" w:type="dxa"/>
            <w:shd w:val="clear" w:color="auto" w:fill="FFFFFF"/>
            <w:tcMar>
              <w:top w:w="15" w:type="dxa"/>
              <w:left w:w="108" w:type="dxa"/>
              <w:bottom w:w="0" w:type="dxa"/>
              <w:right w:w="108" w:type="dxa"/>
            </w:tcMar>
          </w:tcPr>
          <w:p w:rsidR="00A919B7" w:rsidRPr="00D814DA" w:rsidRDefault="00A919B7" w:rsidP="0019337E">
            <w:pPr>
              <w:pStyle w:val="ProductList-Body"/>
              <w:rPr>
                <w:color w:val="000000" w:themeColor="text1"/>
                <w:szCs w:val="18"/>
              </w:rPr>
            </w:pPr>
            <w:r>
              <w:rPr>
                <w:color w:val="000000" w:themeColor="text1"/>
                <w:szCs w:val="18"/>
              </w:rPr>
              <w:t>30000 – 49999</w:t>
            </w:r>
          </w:p>
        </w:tc>
        <w:tc>
          <w:tcPr>
            <w:tcW w:w="2880" w:type="dxa"/>
            <w:shd w:val="clear" w:color="auto" w:fill="FFFFFF"/>
            <w:tcMar>
              <w:top w:w="15" w:type="dxa"/>
              <w:left w:w="108" w:type="dxa"/>
              <w:bottom w:w="0" w:type="dxa"/>
              <w:right w:w="108" w:type="dxa"/>
            </w:tcMar>
          </w:tcPr>
          <w:p w:rsidR="00A919B7" w:rsidRPr="00D814DA" w:rsidRDefault="00A919B7" w:rsidP="0019337E">
            <w:pPr>
              <w:pStyle w:val="ProductList-Body"/>
              <w:jc w:val="center"/>
              <w:rPr>
                <w:color w:val="000000" w:themeColor="text1"/>
                <w:szCs w:val="18"/>
              </w:rPr>
            </w:pPr>
            <w:r>
              <w:rPr>
                <w:color w:val="000000" w:themeColor="text1"/>
                <w:szCs w:val="18"/>
              </w:rPr>
              <w:t>15</w:t>
            </w:r>
          </w:p>
        </w:tc>
      </w:tr>
      <w:tr w:rsidR="00A919B7" w:rsidRPr="005B13F2" w:rsidTr="0019337E">
        <w:trPr>
          <w:trHeight w:val="45"/>
        </w:trPr>
        <w:tc>
          <w:tcPr>
            <w:tcW w:w="4851" w:type="dxa"/>
            <w:shd w:val="clear" w:color="auto" w:fill="FFFFFF"/>
            <w:tcMar>
              <w:top w:w="15" w:type="dxa"/>
              <w:left w:w="108" w:type="dxa"/>
              <w:bottom w:w="0" w:type="dxa"/>
              <w:right w:w="108" w:type="dxa"/>
            </w:tcMar>
          </w:tcPr>
          <w:p w:rsidR="00A919B7" w:rsidRPr="00D814DA" w:rsidRDefault="00A919B7" w:rsidP="0019337E">
            <w:pPr>
              <w:pStyle w:val="ProductList-Body"/>
              <w:rPr>
                <w:color w:val="000000" w:themeColor="text1"/>
                <w:szCs w:val="18"/>
              </w:rPr>
            </w:pPr>
            <w:r>
              <w:rPr>
                <w:color w:val="000000" w:themeColor="text1"/>
                <w:szCs w:val="18"/>
              </w:rPr>
              <w:t>50000 – 99999</w:t>
            </w:r>
          </w:p>
        </w:tc>
        <w:tc>
          <w:tcPr>
            <w:tcW w:w="2880" w:type="dxa"/>
            <w:shd w:val="clear" w:color="auto" w:fill="FFFFFF"/>
            <w:tcMar>
              <w:top w:w="15" w:type="dxa"/>
              <w:left w:w="108" w:type="dxa"/>
              <w:bottom w:w="0" w:type="dxa"/>
              <w:right w:w="108" w:type="dxa"/>
            </w:tcMar>
          </w:tcPr>
          <w:p w:rsidR="00A919B7" w:rsidRPr="00D814DA" w:rsidRDefault="00A919B7" w:rsidP="0019337E">
            <w:pPr>
              <w:pStyle w:val="ProductList-Body"/>
              <w:jc w:val="center"/>
              <w:rPr>
                <w:color w:val="000000" w:themeColor="text1"/>
                <w:szCs w:val="18"/>
              </w:rPr>
            </w:pPr>
            <w:r>
              <w:rPr>
                <w:color w:val="000000" w:themeColor="text1"/>
                <w:szCs w:val="18"/>
              </w:rPr>
              <w:t>20</w:t>
            </w:r>
          </w:p>
        </w:tc>
      </w:tr>
      <w:tr w:rsidR="00A919B7" w:rsidRPr="005B13F2" w:rsidTr="0019337E">
        <w:trPr>
          <w:trHeight w:val="45"/>
        </w:trPr>
        <w:tc>
          <w:tcPr>
            <w:tcW w:w="4851" w:type="dxa"/>
            <w:shd w:val="clear" w:color="auto" w:fill="FFFFFF"/>
            <w:tcMar>
              <w:top w:w="15" w:type="dxa"/>
              <w:left w:w="108" w:type="dxa"/>
              <w:bottom w:w="0" w:type="dxa"/>
              <w:right w:w="108" w:type="dxa"/>
            </w:tcMar>
          </w:tcPr>
          <w:p w:rsidR="00A919B7" w:rsidRPr="00D814DA" w:rsidRDefault="00A919B7" w:rsidP="0019337E">
            <w:pPr>
              <w:pStyle w:val="ProductList-Body"/>
              <w:rPr>
                <w:color w:val="000000" w:themeColor="text1"/>
                <w:szCs w:val="18"/>
              </w:rPr>
            </w:pPr>
            <w:r>
              <w:rPr>
                <w:color w:val="000000" w:themeColor="text1"/>
                <w:szCs w:val="18"/>
              </w:rPr>
              <w:t>100000 – 199999</w:t>
            </w:r>
          </w:p>
        </w:tc>
        <w:tc>
          <w:tcPr>
            <w:tcW w:w="2880" w:type="dxa"/>
            <w:shd w:val="clear" w:color="auto" w:fill="FFFFFF"/>
            <w:tcMar>
              <w:top w:w="15" w:type="dxa"/>
              <w:left w:w="108" w:type="dxa"/>
              <w:bottom w:w="0" w:type="dxa"/>
              <w:right w:w="108" w:type="dxa"/>
            </w:tcMar>
          </w:tcPr>
          <w:p w:rsidR="00A919B7" w:rsidRPr="00D814DA" w:rsidRDefault="00A919B7" w:rsidP="0019337E">
            <w:pPr>
              <w:pStyle w:val="ProductList-Body"/>
              <w:jc w:val="center"/>
              <w:rPr>
                <w:color w:val="000000" w:themeColor="text1"/>
                <w:szCs w:val="18"/>
              </w:rPr>
            </w:pPr>
            <w:r>
              <w:rPr>
                <w:color w:val="000000" w:themeColor="text1"/>
                <w:szCs w:val="18"/>
              </w:rPr>
              <w:t>30</w:t>
            </w:r>
          </w:p>
        </w:tc>
      </w:tr>
      <w:tr w:rsidR="00A919B7" w:rsidRPr="005B13F2" w:rsidTr="0019337E">
        <w:trPr>
          <w:trHeight w:val="45"/>
        </w:trPr>
        <w:tc>
          <w:tcPr>
            <w:tcW w:w="4851" w:type="dxa"/>
            <w:shd w:val="clear" w:color="auto" w:fill="FFFFFF"/>
            <w:tcMar>
              <w:top w:w="15" w:type="dxa"/>
              <w:left w:w="108" w:type="dxa"/>
              <w:bottom w:w="0" w:type="dxa"/>
              <w:right w:w="108" w:type="dxa"/>
            </w:tcMar>
          </w:tcPr>
          <w:p w:rsidR="00A919B7" w:rsidRPr="00D814DA" w:rsidRDefault="00A919B7" w:rsidP="0019337E">
            <w:pPr>
              <w:pStyle w:val="ProductList-Body"/>
              <w:rPr>
                <w:color w:val="000000" w:themeColor="text1"/>
                <w:szCs w:val="18"/>
              </w:rPr>
            </w:pPr>
            <w:r>
              <w:rPr>
                <w:color w:val="000000" w:themeColor="text1"/>
                <w:szCs w:val="18"/>
              </w:rPr>
              <w:t>200000 – 399999</w:t>
            </w:r>
          </w:p>
        </w:tc>
        <w:tc>
          <w:tcPr>
            <w:tcW w:w="2880" w:type="dxa"/>
            <w:shd w:val="clear" w:color="auto" w:fill="FFFFFF"/>
            <w:tcMar>
              <w:top w:w="15" w:type="dxa"/>
              <w:left w:w="108" w:type="dxa"/>
              <w:bottom w:w="0" w:type="dxa"/>
              <w:right w:w="108" w:type="dxa"/>
            </w:tcMar>
          </w:tcPr>
          <w:p w:rsidR="00A919B7" w:rsidRPr="00D814DA" w:rsidRDefault="00A919B7" w:rsidP="0019337E">
            <w:pPr>
              <w:pStyle w:val="ProductList-Body"/>
              <w:jc w:val="center"/>
              <w:rPr>
                <w:color w:val="000000" w:themeColor="text1"/>
                <w:szCs w:val="18"/>
              </w:rPr>
            </w:pPr>
            <w:r>
              <w:rPr>
                <w:color w:val="000000" w:themeColor="text1"/>
                <w:szCs w:val="18"/>
              </w:rPr>
              <w:t>40</w:t>
            </w:r>
          </w:p>
        </w:tc>
      </w:tr>
      <w:tr w:rsidR="00A919B7" w:rsidRPr="005B13F2" w:rsidTr="0019337E">
        <w:trPr>
          <w:trHeight w:val="45"/>
        </w:trPr>
        <w:tc>
          <w:tcPr>
            <w:tcW w:w="4851" w:type="dxa"/>
            <w:shd w:val="clear" w:color="auto" w:fill="FFFFFF"/>
            <w:tcMar>
              <w:top w:w="15" w:type="dxa"/>
              <w:left w:w="108" w:type="dxa"/>
              <w:bottom w:w="0" w:type="dxa"/>
              <w:right w:w="108" w:type="dxa"/>
            </w:tcMar>
          </w:tcPr>
          <w:p w:rsidR="00A919B7" w:rsidRPr="00D814DA" w:rsidRDefault="00A919B7" w:rsidP="0019337E">
            <w:pPr>
              <w:pStyle w:val="ProductList-Body"/>
              <w:rPr>
                <w:color w:val="000000" w:themeColor="text1"/>
                <w:szCs w:val="18"/>
              </w:rPr>
            </w:pPr>
            <w:r>
              <w:rPr>
                <w:color w:val="000000" w:themeColor="text1"/>
                <w:szCs w:val="18"/>
              </w:rPr>
              <w:t>400000 – 599999</w:t>
            </w:r>
          </w:p>
        </w:tc>
        <w:tc>
          <w:tcPr>
            <w:tcW w:w="2880" w:type="dxa"/>
            <w:shd w:val="clear" w:color="auto" w:fill="FFFFFF"/>
            <w:tcMar>
              <w:top w:w="15" w:type="dxa"/>
              <w:left w:w="108" w:type="dxa"/>
              <w:bottom w:w="0" w:type="dxa"/>
              <w:right w:w="108" w:type="dxa"/>
            </w:tcMar>
          </w:tcPr>
          <w:p w:rsidR="00A919B7" w:rsidRPr="00D814DA" w:rsidRDefault="00A919B7" w:rsidP="0019337E">
            <w:pPr>
              <w:pStyle w:val="ProductList-Body"/>
              <w:jc w:val="center"/>
              <w:rPr>
                <w:color w:val="000000" w:themeColor="text1"/>
                <w:szCs w:val="18"/>
              </w:rPr>
            </w:pPr>
            <w:r>
              <w:rPr>
                <w:color w:val="000000" w:themeColor="text1"/>
                <w:szCs w:val="18"/>
              </w:rPr>
              <w:t>50</w:t>
            </w:r>
          </w:p>
        </w:tc>
      </w:tr>
      <w:tr w:rsidR="00A919B7" w:rsidRPr="005B13F2" w:rsidTr="0019337E">
        <w:trPr>
          <w:trHeight w:val="45"/>
        </w:trPr>
        <w:tc>
          <w:tcPr>
            <w:tcW w:w="4851" w:type="dxa"/>
            <w:shd w:val="clear" w:color="auto" w:fill="FFFFFF"/>
            <w:tcMar>
              <w:top w:w="15" w:type="dxa"/>
              <w:left w:w="108" w:type="dxa"/>
              <w:bottom w:w="0" w:type="dxa"/>
              <w:right w:w="108" w:type="dxa"/>
            </w:tcMar>
          </w:tcPr>
          <w:p w:rsidR="00A919B7" w:rsidRPr="00D814DA" w:rsidRDefault="00A919B7" w:rsidP="0019337E">
            <w:pPr>
              <w:pStyle w:val="ProductList-Body"/>
              <w:rPr>
                <w:color w:val="000000" w:themeColor="text1"/>
                <w:szCs w:val="18"/>
              </w:rPr>
            </w:pPr>
            <w:r>
              <w:rPr>
                <w:color w:val="000000" w:themeColor="text1"/>
                <w:szCs w:val="18"/>
              </w:rPr>
              <w:t>600000 +</w:t>
            </w:r>
          </w:p>
        </w:tc>
        <w:tc>
          <w:tcPr>
            <w:tcW w:w="2880" w:type="dxa"/>
            <w:shd w:val="clear" w:color="auto" w:fill="FFFFFF"/>
            <w:tcMar>
              <w:top w:w="15" w:type="dxa"/>
              <w:left w:w="108" w:type="dxa"/>
              <w:bottom w:w="0" w:type="dxa"/>
              <w:right w:w="108" w:type="dxa"/>
            </w:tcMar>
          </w:tcPr>
          <w:p w:rsidR="00A919B7" w:rsidRPr="00D814DA" w:rsidRDefault="00A919B7" w:rsidP="0019337E">
            <w:pPr>
              <w:pStyle w:val="ProductList-Body"/>
              <w:jc w:val="center"/>
              <w:rPr>
                <w:color w:val="000000" w:themeColor="text1"/>
                <w:szCs w:val="18"/>
              </w:rPr>
            </w:pPr>
            <w:r>
              <w:rPr>
                <w:color w:val="000000" w:themeColor="text1"/>
                <w:szCs w:val="18"/>
              </w:rPr>
              <w:t>75</w:t>
            </w:r>
          </w:p>
        </w:tc>
      </w:tr>
    </w:tbl>
    <w:p w:rsidR="00A919B7" w:rsidRPr="00483B32" w:rsidRDefault="00A919B7" w:rsidP="00A919B7">
      <w:pPr>
        <w:pStyle w:val="ProductList-Body"/>
      </w:pPr>
    </w:p>
    <w:tbl>
      <w:tblPr>
        <w:tblW w:w="773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51"/>
        <w:gridCol w:w="2880"/>
      </w:tblGrid>
      <w:tr w:rsidR="00A919B7" w:rsidRPr="005B13F2" w:rsidTr="0019337E">
        <w:trPr>
          <w:trHeight w:val="172"/>
          <w:tblHeader/>
        </w:trPr>
        <w:tc>
          <w:tcPr>
            <w:tcW w:w="4851" w:type="dxa"/>
            <w:shd w:val="clear" w:color="auto" w:fill="BF8F00" w:themeFill="accent4" w:themeFillShade="BF"/>
            <w:tcMar>
              <w:top w:w="15" w:type="dxa"/>
              <w:left w:w="108" w:type="dxa"/>
              <w:bottom w:w="0" w:type="dxa"/>
              <w:right w:w="108" w:type="dxa"/>
            </w:tcMar>
          </w:tcPr>
          <w:p w:rsidR="00A919B7" w:rsidRPr="005B13F2" w:rsidRDefault="00A919B7" w:rsidP="0019337E">
            <w:pPr>
              <w:pStyle w:val="ProductList-Body"/>
              <w:spacing w:before="20" w:after="20"/>
              <w:rPr>
                <w:color w:val="FFFFFF" w:themeColor="background1"/>
                <w:szCs w:val="18"/>
              </w:rPr>
            </w:pPr>
            <w:r>
              <w:rPr>
                <w:color w:val="FFFFFF" w:themeColor="background1"/>
                <w:szCs w:val="18"/>
              </w:rPr>
              <w:t>CAL komplektu punkti ar SAM</w:t>
            </w:r>
          </w:p>
        </w:tc>
        <w:tc>
          <w:tcPr>
            <w:tcW w:w="2880" w:type="dxa"/>
            <w:shd w:val="clear" w:color="auto" w:fill="BF8F00" w:themeFill="accent4" w:themeFillShade="BF"/>
            <w:tcMar>
              <w:top w:w="15" w:type="dxa"/>
              <w:left w:w="108" w:type="dxa"/>
              <w:bottom w:w="0" w:type="dxa"/>
              <w:right w:w="108" w:type="dxa"/>
            </w:tcMar>
          </w:tcPr>
          <w:p w:rsidR="00A919B7" w:rsidRPr="005B13F2" w:rsidRDefault="00A919B7" w:rsidP="0019337E">
            <w:pPr>
              <w:pStyle w:val="ProductList-Body"/>
              <w:spacing w:before="20" w:after="20"/>
              <w:rPr>
                <w:color w:val="FFFFFF" w:themeColor="background1"/>
                <w:szCs w:val="18"/>
              </w:rPr>
            </w:pPr>
            <w:r>
              <w:rPr>
                <w:color w:val="FFFFFF" w:themeColor="background1"/>
                <w:szCs w:val="18"/>
              </w:rPr>
              <w:t xml:space="preserve">Plānošanas pakalpojumu dienas </w:t>
            </w:r>
          </w:p>
        </w:tc>
      </w:tr>
      <w:tr w:rsidR="00A919B7" w:rsidRPr="005B13F2" w:rsidTr="0019337E">
        <w:trPr>
          <w:trHeight w:val="235"/>
        </w:trPr>
        <w:tc>
          <w:tcPr>
            <w:tcW w:w="4851" w:type="dxa"/>
            <w:shd w:val="clear" w:color="auto" w:fill="FFFFFF"/>
            <w:tcMar>
              <w:top w:w="15" w:type="dxa"/>
              <w:left w:w="108" w:type="dxa"/>
              <w:bottom w:w="0" w:type="dxa"/>
              <w:right w:w="108" w:type="dxa"/>
            </w:tcMar>
          </w:tcPr>
          <w:p w:rsidR="00A919B7" w:rsidRPr="00C144DF" w:rsidRDefault="00A919B7" w:rsidP="0019337E">
            <w:pPr>
              <w:pStyle w:val="ProductList-Body"/>
              <w:rPr>
                <w:rFonts w:cstheme="minorHAnsi"/>
                <w:color w:val="000000" w:themeColor="text1"/>
                <w:szCs w:val="18"/>
              </w:rPr>
            </w:pPr>
            <w:r>
              <w:rPr>
                <w:rFonts w:cstheme="minorHAnsi"/>
                <w:color w:val="000000" w:themeColor="text1"/>
                <w:szCs w:val="18"/>
              </w:rPr>
              <w:t>200 – 3999</w:t>
            </w:r>
          </w:p>
        </w:tc>
        <w:tc>
          <w:tcPr>
            <w:tcW w:w="2880" w:type="dxa"/>
            <w:shd w:val="clear" w:color="auto" w:fill="FFFFFF"/>
            <w:tcMar>
              <w:top w:w="15" w:type="dxa"/>
              <w:left w:w="108" w:type="dxa"/>
              <w:bottom w:w="0" w:type="dxa"/>
              <w:right w:w="108" w:type="dxa"/>
            </w:tcMar>
          </w:tcPr>
          <w:p w:rsidR="00A919B7" w:rsidRPr="00C144DF" w:rsidRDefault="00A919B7" w:rsidP="0019337E">
            <w:pPr>
              <w:pStyle w:val="ProductList-Body"/>
              <w:jc w:val="center"/>
              <w:rPr>
                <w:rFonts w:cstheme="minorHAnsi"/>
                <w:color w:val="000000" w:themeColor="text1"/>
                <w:szCs w:val="18"/>
              </w:rPr>
            </w:pPr>
            <w:r>
              <w:rPr>
                <w:rFonts w:cstheme="minorHAnsi"/>
                <w:color w:val="000000" w:themeColor="text1"/>
                <w:szCs w:val="18"/>
              </w:rPr>
              <w:t>1</w:t>
            </w:r>
          </w:p>
        </w:tc>
      </w:tr>
      <w:tr w:rsidR="00A919B7" w:rsidRPr="005B13F2" w:rsidTr="0019337E">
        <w:trPr>
          <w:trHeight w:val="55"/>
        </w:trPr>
        <w:tc>
          <w:tcPr>
            <w:tcW w:w="4851" w:type="dxa"/>
            <w:shd w:val="clear" w:color="auto" w:fill="FFFFFF"/>
            <w:tcMar>
              <w:top w:w="15" w:type="dxa"/>
              <w:left w:w="108" w:type="dxa"/>
              <w:bottom w:w="0" w:type="dxa"/>
              <w:right w:w="108" w:type="dxa"/>
            </w:tcMar>
          </w:tcPr>
          <w:p w:rsidR="00A919B7" w:rsidRPr="00C144DF" w:rsidRDefault="00A919B7" w:rsidP="0019337E">
            <w:pPr>
              <w:pStyle w:val="ProductList-Body"/>
              <w:rPr>
                <w:rFonts w:cstheme="minorHAnsi"/>
                <w:color w:val="000000" w:themeColor="text1"/>
                <w:szCs w:val="18"/>
              </w:rPr>
            </w:pPr>
            <w:r>
              <w:rPr>
                <w:rFonts w:cstheme="minorHAnsi"/>
                <w:color w:val="000000" w:themeColor="text1"/>
                <w:szCs w:val="18"/>
              </w:rPr>
              <w:t>4000 – 9999</w:t>
            </w:r>
          </w:p>
        </w:tc>
        <w:tc>
          <w:tcPr>
            <w:tcW w:w="2880" w:type="dxa"/>
            <w:shd w:val="clear" w:color="auto" w:fill="FFFFFF"/>
            <w:tcMar>
              <w:top w:w="15" w:type="dxa"/>
              <w:left w:w="108" w:type="dxa"/>
              <w:bottom w:w="0" w:type="dxa"/>
              <w:right w:w="108" w:type="dxa"/>
            </w:tcMar>
          </w:tcPr>
          <w:p w:rsidR="00A919B7" w:rsidRPr="00C144DF" w:rsidRDefault="00A919B7" w:rsidP="0019337E">
            <w:pPr>
              <w:pStyle w:val="ProductList-Body"/>
              <w:jc w:val="center"/>
              <w:rPr>
                <w:rFonts w:cstheme="minorHAnsi"/>
                <w:color w:val="000000" w:themeColor="text1"/>
                <w:szCs w:val="18"/>
              </w:rPr>
            </w:pPr>
            <w:r>
              <w:rPr>
                <w:rFonts w:cstheme="minorHAnsi"/>
                <w:color w:val="000000" w:themeColor="text1"/>
                <w:szCs w:val="18"/>
              </w:rPr>
              <w:t>3</w:t>
            </w:r>
          </w:p>
        </w:tc>
      </w:tr>
      <w:tr w:rsidR="00A919B7" w:rsidRPr="005B13F2" w:rsidTr="0019337E">
        <w:trPr>
          <w:trHeight w:val="45"/>
        </w:trPr>
        <w:tc>
          <w:tcPr>
            <w:tcW w:w="4851" w:type="dxa"/>
            <w:shd w:val="clear" w:color="auto" w:fill="FFFFFF"/>
            <w:tcMar>
              <w:top w:w="15" w:type="dxa"/>
              <w:left w:w="108" w:type="dxa"/>
              <w:bottom w:w="0" w:type="dxa"/>
              <w:right w:w="108" w:type="dxa"/>
            </w:tcMar>
          </w:tcPr>
          <w:p w:rsidR="00A919B7" w:rsidRPr="00C144DF" w:rsidRDefault="00A919B7" w:rsidP="0019337E">
            <w:pPr>
              <w:pStyle w:val="ProductList-Body"/>
              <w:rPr>
                <w:rFonts w:cstheme="minorHAnsi"/>
                <w:color w:val="000000" w:themeColor="text1"/>
                <w:szCs w:val="18"/>
              </w:rPr>
            </w:pPr>
            <w:r>
              <w:rPr>
                <w:rFonts w:cstheme="minorHAnsi"/>
                <w:color w:val="000000" w:themeColor="text1"/>
                <w:szCs w:val="18"/>
              </w:rPr>
              <w:t>10000 – 99999</w:t>
            </w:r>
          </w:p>
        </w:tc>
        <w:tc>
          <w:tcPr>
            <w:tcW w:w="2880" w:type="dxa"/>
            <w:shd w:val="clear" w:color="auto" w:fill="FFFFFF"/>
            <w:tcMar>
              <w:top w:w="15" w:type="dxa"/>
              <w:left w:w="108" w:type="dxa"/>
              <w:bottom w:w="0" w:type="dxa"/>
              <w:right w:w="108" w:type="dxa"/>
            </w:tcMar>
          </w:tcPr>
          <w:p w:rsidR="00A919B7" w:rsidRPr="00C144DF" w:rsidRDefault="00A919B7" w:rsidP="0019337E">
            <w:pPr>
              <w:pStyle w:val="ProductList-Body"/>
              <w:jc w:val="center"/>
              <w:rPr>
                <w:rFonts w:cstheme="minorHAnsi"/>
                <w:color w:val="000000" w:themeColor="text1"/>
                <w:szCs w:val="18"/>
              </w:rPr>
            </w:pPr>
            <w:r>
              <w:rPr>
                <w:rFonts w:cstheme="minorHAnsi"/>
                <w:color w:val="000000" w:themeColor="text1"/>
                <w:szCs w:val="18"/>
              </w:rPr>
              <w:t>5</w:t>
            </w:r>
          </w:p>
        </w:tc>
      </w:tr>
      <w:tr w:rsidR="00A919B7" w:rsidRPr="005B13F2" w:rsidTr="0019337E">
        <w:trPr>
          <w:trHeight w:val="45"/>
        </w:trPr>
        <w:tc>
          <w:tcPr>
            <w:tcW w:w="4851" w:type="dxa"/>
            <w:shd w:val="clear" w:color="auto" w:fill="FFFFFF"/>
            <w:tcMar>
              <w:top w:w="15" w:type="dxa"/>
              <w:left w:w="108" w:type="dxa"/>
              <w:bottom w:w="0" w:type="dxa"/>
              <w:right w:w="108" w:type="dxa"/>
            </w:tcMar>
          </w:tcPr>
          <w:p w:rsidR="00A919B7" w:rsidRPr="00C144DF" w:rsidRDefault="00A919B7" w:rsidP="0019337E">
            <w:pPr>
              <w:pStyle w:val="ProductList-Body"/>
              <w:rPr>
                <w:rFonts w:cstheme="minorHAnsi"/>
                <w:color w:val="000000" w:themeColor="text1"/>
                <w:szCs w:val="18"/>
              </w:rPr>
            </w:pPr>
            <w:r>
              <w:rPr>
                <w:rFonts w:cstheme="minorHAnsi"/>
                <w:color w:val="000000" w:themeColor="text1"/>
                <w:szCs w:val="18"/>
              </w:rPr>
              <w:lastRenderedPageBreak/>
              <w:t>100000 – 299999</w:t>
            </w:r>
          </w:p>
        </w:tc>
        <w:tc>
          <w:tcPr>
            <w:tcW w:w="2880" w:type="dxa"/>
            <w:shd w:val="clear" w:color="auto" w:fill="FFFFFF"/>
            <w:tcMar>
              <w:top w:w="15" w:type="dxa"/>
              <w:left w:w="108" w:type="dxa"/>
              <w:bottom w:w="0" w:type="dxa"/>
              <w:right w:w="108" w:type="dxa"/>
            </w:tcMar>
          </w:tcPr>
          <w:p w:rsidR="00A919B7" w:rsidRPr="00C144DF" w:rsidRDefault="00A919B7" w:rsidP="0019337E">
            <w:pPr>
              <w:pStyle w:val="ProductList-Body"/>
              <w:jc w:val="center"/>
              <w:rPr>
                <w:rFonts w:cstheme="minorHAnsi"/>
                <w:color w:val="000000" w:themeColor="text1"/>
                <w:szCs w:val="18"/>
              </w:rPr>
            </w:pPr>
            <w:r>
              <w:rPr>
                <w:rFonts w:cstheme="minorHAnsi"/>
                <w:color w:val="000000" w:themeColor="text1"/>
                <w:szCs w:val="18"/>
              </w:rPr>
              <w:t>7</w:t>
            </w:r>
          </w:p>
        </w:tc>
      </w:tr>
      <w:tr w:rsidR="00A919B7" w:rsidRPr="005B13F2" w:rsidTr="0019337E">
        <w:trPr>
          <w:trHeight w:val="36"/>
        </w:trPr>
        <w:tc>
          <w:tcPr>
            <w:tcW w:w="4851" w:type="dxa"/>
            <w:shd w:val="clear" w:color="auto" w:fill="FFFFFF"/>
            <w:tcMar>
              <w:top w:w="15" w:type="dxa"/>
              <w:left w:w="108" w:type="dxa"/>
              <w:bottom w:w="0" w:type="dxa"/>
              <w:right w:w="108" w:type="dxa"/>
            </w:tcMar>
          </w:tcPr>
          <w:p w:rsidR="00A919B7" w:rsidRPr="00C144DF" w:rsidRDefault="00A919B7" w:rsidP="0019337E">
            <w:pPr>
              <w:pStyle w:val="ProductList-Body"/>
              <w:rPr>
                <w:rFonts w:cstheme="minorHAnsi"/>
                <w:color w:val="000000" w:themeColor="text1"/>
                <w:szCs w:val="18"/>
              </w:rPr>
            </w:pPr>
            <w:r>
              <w:rPr>
                <w:rFonts w:cstheme="minorHAnsi"/>
                <w:color w:val="000000" w:themeColor="text1"/>
                <w:szCs w:val="18"/>
              </w:rPr>
              <w:t>300000 – 599999</w:t>
            </w:r>
          </w:p>
        </w:tc>
        <w:tc>
          <w:tcPr>
            <w:tcW w:w="2880" w:type="dxa"/>
            <w:shd w:val="clear" w:color="auto" w:fill="FFFFFF"/>
            <w:tcMar>
              <w:top w:w="15" w:type="dxa"/>
              <w:left w:w="108" w:type="dxa"/>
              <w:bottom w:w="0" w:type="dxa"/>
              <w:right w:w="108" w:type="dxa"/>
            </w:tcMar>
          </w:tcPr>
          <w:p w:rsidR="00A919B7" w:rsidRPr="00C144DF" w:rsidRDefault="00A919B7" w:rsidP="0019337E">
            <w:pPr>
              <w:pStyle w:val="ProductList-Body"/>
              <w:jc w:val="center"/>
              <w:rPr>
                <w:rFonts w:cstheme="minorHAnsi"/>
                <w:color w:val="000000" w:themeColor="text1"/>
                <w:szCs w:val="18"/>
              </w:rPr>
            </w:pPr>
            <w:r>
              <w:rPr>
                <w:rFonts w:cstheme="minorHAnsi"/>
                <w:color w:val="000000" w:themeColor="text1"/>
                <w:szCs w:val="18"/>
              </w:rPr>
              <w:t>10</w:t>
            </w:r>
          </w:p>
        </w:tc>
      </w:tr>
      <w:tr w:rsidR="00A919B7" w:rsidRPr="005B13F2" w:rsidTr="0019337E">
        <w:trPr>
          <w:trHeight w:val="45"/>
        </w:trPr>
        <w:tc>
          <w:tcPr>
            <w:tcW w:w="4851" w:type="dxa"/>
            <w:shd w:val="clear" w:color="auto" w:fill="FFFFFF"/>
            <w:tcMar>
              <w:top w:w="15" w:type="dxa"/>
              <w:left w:w="108" w:type="dxa"/>
              <w:bottom w:w="0" w:type="dxa"/>
              <w:right w:w="108" w:type="dxa"/>
            </w:tcMar>
          </w:tcPr>
          <w:p w:rsidR="00A919B7" w:rsidRPr="00C144DF" w:rsidRDefault="00A919B7" w:rsidP="0019337E">
            <w:pPr>
              <w:pStyle w:val="ProductList-Body"/>
              <w:rPr>
                <w:rFonts w:cstheme="minorHAnsi"/>
                <w:color w:val="000000" w:themeColor="text1"/>
                <w:szCs w:val="18"/>
              </w:rPr>
            </w:pPr>
            <w:r>
              <w:rPr>
                <w:rFonts w:cstheme="minorHAnsi"/>
                <w:color w:val="000000" w:themeColor="text1"/>
                <w:szCs w:val="18"/>
              </w:rPr>
              <w:t>600000 +</w:t>
            </w:r>
          </w:p>
        </w:tc>
        <w:tc>
          <w:tcPr>
            <w:tcW w:w="2880" w:type="dxa"/>
            <w:shd w:val="clear" w:color="auto" w:fill="FFFFFF"/>
            <w:tcMar>
              <w:top w:w="15" w:type="dxa"/>
              <w:left w:w="108" w:type="dxa"/>
              <w:bottom w:w="0" w:type="dxa"/>
              <w:right w:w="108" w:type="dxa"/>
            </w:tcMar>
          </w:tcPr>
          <w:p w:rsidR="00A919B7" w:rsidRPr="00C144DF" w:rsidRDefault="00A919B7" w:rsidP="0019337E">
            <w:pPr>
              <w:pStyle w:val="ProductList-Body"/>
              <w:jc w:val="center"/>
              <w:rPr>
                <w:rFonts w:cstheme="minorHAnsi"/>
                <w:color w:val="000000" w:themeColor="text1"/>
                <w:szCs w:val="18"/>
              </w:rPr>
            </w:pPr>
            <w:r>
              <w:rPr>
                <w:rFonts w:cstheme="minorHAnsi"/>
                <w:color w:val="000000" w:themeColor="text1"/>
                <w:szCs w:val="18"/>
              </w:rPr>
              <w:t>12</w:t>
            </w:r>
          </w:p>
        </w:tc>
      </w:tr>
    </w:tbl>
    <w:p w:rsidR="00A919B7" w:rsidRPr="00483B32" w:rsidRDefault="00A919B7" w:rsidP="00A919B7">
      <w:pPr>
        <w:pStyle w:val="Thirdheading"/>
        <w:rPr>
          <w:rFonts w:eastAsiaTheme="majorEastAsia"/>
        </w:rPr>
      </w:pPr>
      <w:r>
        <w:rPr>
          <w:rFonts w:eastAsiaTheme="majorEastAsia" w:cstheme="majorBidi"/>
          <w:b/>
          <w:bCs/>
          <w:color w:val="FFC000" w:themeColor="accent4"/>
          <w:sz w:val="18"/>
          <w:szCs w:val="18"/>
        </w:rPr>
        <w:t>Plānošanas pakalpojumu dienu izmantošana</w:t>
      </w:r>
    </w:p>
    <w:p w:rsidR="00A919B7" w:rsidRPr="00483B32" w:rsidRDefault="00A919B7" w:rsidP="00A919B7">
      <w:pPr>
        <w:pStyle w:val="ListParagraph"/>
        <w:numPr>
          <w:ilvl w:val="0"/>
          <w:numId w:val="16"/>
        </w:numPr>
      </w:pPr>
      <w:r>
        <w:rPr>
          <w:rFonts w:eastAsia="Times New Roman" w:cs="Times New Roman"/>
          <w:color w:val="505050"/>
          <w:szCs w:val="20"/>
        </w:rPr>
        <w:t>Microsoft Plānošanas pakalpojumu partneru saraksts ir atrodams šeit:</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A919B7" w:rsidRPr="00483B32" w:rsidRDefault="00A919B7" w:rsidP="00A919B7">
      <w:pPr>
        <w:pStyle w:val="BodyText"/>
        <w:numPr>
          <w:ilvl w:val="0"/>
          <w:numId w:val="16"/>
        </w:numPr>
        <w:spacing w:after="0"/>
      </w:pPr>
      <w:r>
        <w:t xml:space="preserve">Plānošanas pakalpojumus sniedz kvalificētie Microsoft partneri, vai arī šos pakalpojumus var saņemt, izmantojot Microsoft konsultāciju pakalpojumus. Ir piemērojami vietējie Lietošanas nosacījumi, ko nosaka Plānošanas pakalpojumu partneris. Pakalpojumus, kas tiek nodrošināti, pamatojoties uz kuponiem, sniedz atbilstoši līgumam, ko jūs noslēdzat ar Plānošanas pakalpojumu partneri, un korporācija Microsoft neuzņemas atbildību par Plānošanas pakalpojumu partnera darbu izpildi vai neizpildi saistībā ar šiem pakalpojumiem. </w:t>
      </w:r>
    </w:p>
    <w:p w:rsidR="00A919B7" w:rsidRPr="00483B32" w:rsidRDefault="00A919B7" w:rsidP="00A919B7">
      <w:pPr>
        <w:pStyle w:val="BodyText"/>
        <w:numPr>
          <w:ilvl w:val="0"/>
          <w:numId w:val="16"/>
        </w:numPr>
        <w:spacing w:after="0"/>
      </w:pPr>
      <w:r>
        <w:t>Plānošanas pakalpojumi paredz nodrošināt konsultēšanu iepriekš noteiktajā darbu apjomā, lai tādējādi iegūtu augstāka līmeņa izvietojuma plānu, un šajos pakalpojumos nevar iekļaut programmatūras faktisko izstrādi.</w:t>
      </w:r>
    </w:p>
    <w:p w:rsidR="00A919B7" w:rsidRPr="00483B32" w:rsidRDefault="00A919B7" w:rsidP="00A919B7">
      <w:pPr>
        <w:pStyle w:val="BodyText"/>
        <w:numPr>
          <w:ilvl w:val="0"/>
          <w:numId w:val="16"/>
        </w:numPr>
        <w:spacing w:after="0"/>
      </w:pPr>
      <w:r>
        <w:t>Plānošanas pakalpojumu kuponus drīkst izpirkt tikai Klients, kurš ir kvalificējies šīs priekšrocības saņemšanai.</w:t>
      </w:r>
    </w:p>
    <w:p w:rsidR="00A919B7" w:rsidRPr="00483B32" w:rsidRDefault="00A919B7" w:rsidP="00A919B7">
      <w:pPr>
        <w:pStyle w:val="BodyText"/>
        <w:numPr>
          <w:ilvl w:val="0"/>
          <w:numId w:val="16"/>
        </w:numPr>
        <w:spacing w:after="0"/>
      </w:pPr>
      <w:r>
        <w:t>Plānošanas pakalpojumu kuponus nedrīkst mainīt pret skaidru naudu, naudas līdzekļiem vai citām vērtībām.</w:t>
      </w:r>
    </w:p>
    <w:p w:rsidR="00A919B7" w:rsidRPr="00483B32" w:rsidRDefault="00A919B7" w:rsidP="00A919B7">
      <w:pPr>
        <w:pStyle w:val="BodyText"/>
        <w:numPr>
          <w:ilvl w:val="0"/>
          <w:numId w:val="16"/>
        </w:numPr>
        <w:spacing w:after="0"/>
      </w:pPr>
      <w:r>
        <w:t>Jūs drīkstat no sava Plānošanas pakalpojumu partnera ārpus šīs programmas iegādāties papildu pakalpojumus, kas pārsniedz darba apjomu (atbilstoši kupona tipam un pakalpojuma līmenim).</w:t>
      </w:r>
    </w:p>
    <w:p w:rsidR="00A919B7" w:rsidRPr="00483B32" w:rsidRDefault="00A919B7" w:rsidP="00A919B7">
      <w:pPr>
        <w:pStyle w:val="BodyText"/>
        <w:numPr>
          <w:ilvl w:val="0"/>
          <w:numId w:val="16"/>
        </w:numPr>
        <w:spacing w:after="0"/>
      </w:pPr>
      <w:r>
        <w:t>Ja gadījumos, kad tas ir atļauts, tiek veikta atgriešana un citas norēķinu korekcijas, kā dēļ kvalificētais SA segums tiek samazināts, var tikt samazināts arī piešķirto Plānošanas pakalpojumu dienu skaits.</w:t>
      </w:r>
    </w:p>
    <w:p w:rsidR="00A919B7" w:rsidRPr="00483B32" w:rsidRDefault="00A919B7" w:rsidP="00A919B7">
      <w:pPr>
        <w:pStyle w:val="BodyText"/>
        <w:numPr>
          <w:ilvl w:val="0"/>
          <w:numId w:val="16"/>
        </w:numPr>
        <w:spacing w:after="0"/>
      </w:pPr>
      <w:r>
        <w:t>Kuponus nedrīkst grupēt vai kombinēt. Uzņēmumam par viena veida saistībām ir jānodrošina viens kupons ar pieejamo dienu skaitu.</w:t>
      </w:r>
    </w:p>
    <w:p w:rsidR="00A919B7" w:rsidRPr="00483B32" w:rsidRDefault="00A919B7" w:rsidP="00A919B7">
      <w:pPr>
        <w:pStyle w:val="BodyText"/>
        <w:numPr>
          <w:ilvl w:val="0"/>
          <w:numId w:val="16"/>
        </w:numPr>
        <w:spacing w:after="0"/>
      </w:pPr>
      <w:r>
        <w:t>Kuponus drīkst izmantot vienīgi, lai no Plānošanas pakalpojumu partneriem saņemtu noteiktā tipa pakalpojumus, kam šis kupons tiek izpirkts. Kuponu drīkst izmantot, lai saņemtu pakalpojumus no Plānošanas pakalpojumu partnera jebkurā pasaules valstī. Dalība var atšķirties. Plānošanas pakalpojumu partneris drīkst atcelt pakalpojuma sniegšanu saskaņā ar vietējo atcelšanas politiku.</w:t>
      </w:r>
    </w:p>
    <w:p w:rsidR="00A919B7" w:rsidRPr="00483B32" w:rsidRDefault="00A919B7" w:rsidP="00A919B7">
      <w:pPr>
        <w:pStyle w:val="BodyText"/>
        <w:numPr>
          <w:ilvl w:val="0"/>
          <w:numId w:val="16"/>
        </w:numPr>
        <w:spacing w:after="0"/>
      </w:pPr>
      <w:r>
        <w:t>Kuponi ir jāpiešķir SA seguma perioda laikā.</w:t>
      </w:r>
    </w:p>
    <w:p w:rsidR="00A919B7" w:rsidRPr="00483B32" w:rsidRDefault="00A919B7" w:rsidP="00A919B7">
      <w:pPr>
        <w:pStyle w:val="BodyText"/>
        <w:numPr>
          <w:ilvl w:val="0"/>
          <w:numId w:val="16"/>
        </w:numPr>
        <w:spacing w:after="0"/>
      </w:pPr>
      <w:r>
        <w:t xml:space="preserve">Kuponu darbība beidzas 180 dienas pēc kuponu piešķiršanas datuma neatkarīgi no SA seguma darbības beigām. Visi pakalpojumi ir jāsniedz (kupons ir jāizpērk) pirms kupona darbības beigām. Kuponi, kuru darbība beidzas pirms SA seguma darbības beigām, tiek atgriezti pieejamo Plānošanas pakalpojumu dienu pūlā. </w:t>
      </w:r>
    </w:p>
    <w:p w:rsidR="00A919B7" w:rsidRPr="00483B32" w:rsidRDefault="00A919B7" w:rsidP="00A919B7">
      <w:pPr>
        <w:pStyle w:val="BodyText"/>
        <w:numPr>
          <w:ilvl w:val="0"/>
          <w:numId w:val="16"/>
        </w:numPr>
        <w:spacing w:after="0"/>
      </w:pPr>
      <w:r>
        <w:t xml:space="preserve">Pieņemot Plānošanas pakalpojumu saistības, jūs apliecināt, ka pēc saistību izpildes piekrītat saņemt aptauju, kas tiks nosūtīta kvalitātes nodrošināšanas nolūkos. </w:t>
      </w:r>
    </w:p>
    <w:p w:rsidR="00A919B7" w:rsidRPr="00483B32" w:rsidRDefault="00A919B7" w:rsidP="00A919B7">
      <w:pPr>
        <w:pStyle w:val="BodyText"/>
        <w:numPr>
          <w:ilvl w:val="0"/>
          <w:numId w:val="16"/>
        </w:numPr>
        <w:spacing w:after="0"/>
      </w:pPr>
      <w:r>
        <w:t>Iepriekš redzamajās tabulās ir norādītas pieejamās Plānošanas pakalpojumu dienas, ņemot vērā pilnu iegādi uz 3 gadiem, kas veikta, izmantojot Iegādes kontu. Ja SA seguma darbības termiņš ir īsāks par 3 gadiem, jums piešķirto Plānošanas pakalpojumu dienu skaits tiek proporcionāli sadalīts.</w:t>
      </w:r>
    </w:p>
    <w:p w:rsidR="00A919B7" w:rsidRPr="00483B32" w:rsidRDefault="00A919B7" w:rsidP="00A919B7">
      <w:pPr>
        <w:pStyle w:val="ProductList-Body"/>
      </w:pPr>
    </w:p>
    <w:p w:rsidR="00A919B7" w:rsidRPr="00483B32" w:rsidRDefault="00A919B7" w:rsidP="00A919B7">
      <w:pPr>
        <w:pStyle w:val="ProductList-Body"/>
      </w:pPr>
      <w:r>
        <w:rPr>
          <w:rFonts w:ascii="Segoe UI" w:hAnsi="Segoe UI"/>
          <w:color w:val="000000" w:themeColor="text1"/>
          <w:szCs w:val="18"/>
        </w:rPr>
        <w:t>Pabeigtos nodevumus, ko Plānošanas pakalpojumu partneris iesniedz korporācijai Microsoft pēc saistību izpildes, korporācija Microsoft drīkst lietot kvalitātes nodrošināšanas nolūkos un šajos pašos nolūkos kopīgot ar Microsoft kontu darba grupu.</w:t>
      </w:r>
    </w:p>
    <w:p w:rsidR="00A919B7" w:rsidRPr="00483B32" w:rsidRDefault="00A919B7" w:rsidP="00A919B7">
      <w:pPr>
        <w:pStyle w:val="Heading2"/>
      </w:pPr>
      <w:bookmarkStart w:id="39" w:name="_Enhanced_Edition_Benefits"/>
      <w:bookmarkStart w:id="40" w:name="_Toc403380304"/>
      <w:bookmarkStart w:id="41" w:name="_Toc403985022"/>
      <w:bookmarkStart w:id="42" w:name="_Toc428279667"/>
      <w:bookmarkStart w:id="43" w:name="_Toc394601024"/>
      <w:bookmarkEnd w:id="39"/>
      <w:r>
        <w:t>Apmācības kuponi</w:t>
      </w:r>
      <w:bookmarkEnd w:id="40"/>
      <w:bookmarkEnd w:id="41"/>
      <w:bookmarkEnd w:id="42"/>
    </w:p>
    <w:p w:rsidR="00A919B7" w:rsidRPr="00483B32" w:rsidRDefault="00A919B7" w:rsidP="00A919B7">
      <w:pPr>
        <w:pStyle w:val="ProductList-Body"/>
      </w:pPr>
      <w:r>
        <w:rPr>
          <w:color w:val="000000" w:themeColor="text1"/>
        </w:rPr>
        <w:t>Ja esat izvēlējies dalību programmā Software Assurance (SAM) Lietojumprogrammu un/vai Sistēmu pūlā, jums ir tiesības izmantot Microsoft Apmācības kuponus. Šie kuponi nodrošina jums tiesības piedalīties kursos (noteiktajā apmācību dienu skaitā), ko rīko Microsoft partneris, kurš ir iesaistījies programmā Learning Competency (Microsoft mācību partneris).</w:t>
      </w:r>
    </w:p>
    <w:p w:rsidR="00A919B7" w:rsidRPr="00483B32" w:rsidRDefault="00A919B7" w:rsidP="00A919B7">
      <w:pPr>
        <w:pStyle w:val="ProductList-Body"/>
        <w:spacing w:before="120" w:after="120"/>
      </w:pPr>
      <w:r>
        <w:rPr>
          <w:color w:val="000000" w:themeColor="text1"/>
          <w:szCs w:val="18"/>
        </w:rPr>
        <w:t>Jums piešķirto Apmācības kuponu dienu skaits ir atkarīgs no kopējā aprēķinātā punktu skaita, kas ir nopelnīti,</w:t>
      </w:r>
      <w:r>
        <w:rPr>
          <w:rFonts w:ascii="Segoe UI" w:hAnsi="Segoe UI"/>
          <w:color w:val="000000" w:themeColor="text1"/>
          <w:szCs w:val="18"/>
        </w:rPr>
        <w:t xml:space="preserve"> izmantojot Iegādes kontu,</w:t>
      </w:r>
      <w:r>
        <w:rPr>
          <w:color w:val="000000" w:themeColor="text1"/>
          <w:szCs w:val="18"/>
        </w:rPr>
        <w:t xml:space="preserve"> kā redzams tālāk </w:t>
      </w:r>
      <w:r>
        <w:rPr>
          <w:rFonts w:ascii="Segoe UI" w:hAnsi="Segoe UI"/>
          <w:color w:val="000000" w:themeColor="text1"/>
          <w:szCs w:val="18"/>
        </w:rPr>
        <w:t>(papildinformāciju par to, kā tiek aprēķināti SA priekšrocību punkti, skatiet šī dokumenta sadaļā „Software Assurance priekšrocību punktu aprēķināšana, pamatojoties uz līgumu MPSA”)</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A919B7" w:rsidRPr="005B13F2" w:rsidTr="0019337E">
        <w:trPr>
          <w:tblHeader/>
        </w:trPr>
        <w:tc>
          <w:tcPr>
            <w:tcW w:w="3198" w:type="dxa"/>
            <w:shd w:val="clear" w:color="auto" w:fill="BF8F00" w:themeFill="accent4" w:themeFillShade="BF"/>
            <w:vAlign w:val="center"/>
          </w:tcPr>
          <w:p w:rsidR="00A919B7" w:rsidRPr="005B13F2" w:rsidRDefault="00A919B7" w:rsidP="0019337E">
            <w:pPr>
              <w:pStyle w:val="ProductList-Body"/>
              <w:spacing w:before="20" w:after="20"/>
              <w:rPr>
                <w:color w:val="FFFFFF" w:themeColor="background1"/>
                <w:szCs w:val="18"/>
              </w:rPr>
            </w:pPr>
            <w:r>
              <w:rPr>
                <w:color w:val="FFFFFF" w:themeColor="background1"/>
                <w:szCs w:val="18"/>
              </w:rPr>
              <w:t>Punkti ar SAM</w:t>
            </w:r>
          </w:p>
        </w:tc>
        <w:tc>
          <w:tcPr>
            <w:tcW w:w="2382" w:type="dxa"/>
            <w:shd w:val="clear" w:color="auto" w:fill="BF8F00" w:themeFill="accent4" w:themeFillShade="BF"/>
            <w:vAlign w:val="center"/>
          </w:tcPr>
          <w:p w:rsidR="00A919B7" w:rsidRPr="005B13F2" w:rsidRDefault="00A919B7" w:rsidP="0019337E">
            <w:pPr>
              <w:pStyle w:val="ProductList-Body"/>
              <w:spacing w:before="20" w:after="20"/>
              <w:jc w:val="center"/>
              <w:rPr>
                <w:color w:val="FFFFFF" w:themeColor="background1"/>
                <w:szCs w:val="18"/>
              </w:rPr>
            </w:pPr>
            <w:r>
              <w:rPr>
                <w:color w:val="FFFFFF" w:themeColor="background1"/>
                <w:szCs w:val="18"/>
              </w:rPr>
              <w:t>Lietojumprogrammu pūla produkti</w:t>
            </w:r>
            <w:r>
              <w:rPr>
                <w:i/>
                <w:color w:val="FFFFFF" w:themeColor="background1"/>
                <w:szCs w:val="18"/>
              </w:rPr>
              <w:t xml:space="preserve"> </w:t>
            </w:r>
            <w:r>
              <w:rPr>
                <w:color w:val="FFFFFF" w:themeColor="background1"/>
                <w:szCs w:val="18"/>
              </w:rPr>
              <w:t>Kuponu dienas</w:t>
            </w:r>
          </w:p>
        </w:tc>
        <w:tc>
          <w:tcPr>
            <w:tcW w:w="1890" w:type="dxa"/>
            <w:shd w:val="clear" w:color="auto" w:fill="BF8F00" w:themeFill="accent4" w:themeFillShade="BF"/>
            <w:vAlign w:val="center"/>
          </w:tcPr>
          <w:p w:rsidR="00A919B7" w:rsidRPr="005B13F2" w:rsidRDefault="00A919B7" w:rsidP="0019337E">
            <w:pPr>
              <w:pStyle w:val="ProductList-Body"/>
              <w:spacing w:before="20" w:after="20"/>
              <w:jc w:val="center"/>
              <w:rPr>
                <w:color w:val="FFFFFF" w:themeColor="background1"/>
                <w:szCs w:val="18"/>
              </w:rPr>
            </w:pPr>
            <w:r>
              <w:rPr>
                <w:color w:val="FFFFFF" w:themeColor="background1"/>
                <w:szCs w:val="18"/>
              </w:rPr>
              <w:t>Sistēmu pūla produkti Kuponu dienas</w:t>
            </w:r>
          </w:p>
        </w:tc>
      </w:tr>
      <w:tr w:rsidR="00A919B7" w:rsidRPr="005B13F2" w:rsidTr="0019337E">
        <w:tc>
          <w:tcPr>
            <w:tcW w:w="3198" w:type="dxa"/>
            <w:vAlign w:val="cente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50 – 99</w:t>
            </w:r>
          </w:p>
        </w:tc>
        <w:tc>
          <w:tcPr>
            <w:tcW w:w="2382"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A919B7" w:rsidRPr="005B13F2" w:rsidTr="0019337E">
        <w:trPr>
          <w:trHeight w:val="70"/>
        </w:trPr>
        <w:tc>
          <w:tcPr>
            <w:tcW w:w="3198" w:type="dxa"/>
            <w:vAlign w:val="cente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A919B7" w:rsidRPr="005B13F2" w:rsidTr="0019337E">
        <w:tc>
          <w:tcPr>
            <w:tcW w:w="3198" w:type="dxa"/>
            <w:vAlign w:val="cente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A919B7" w:rsidRPr="005B13F2" w:rsidTr="0019337E">
        <w:tc>
          <w:tcPr>
            <w:tcW w:w="3198" w:type="dxa"/>
            <w:vAlign w:val="cente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A919B7" w:rsidRPr="005B13F2" w:rsidTr="0019337E">
        <w:tc>
          <w:tcPr>
            <w:tcW w:w="3198" w:type="dxa"/>
            <w:vAlign w:val="cente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lastRenderedPageBreak/>
              <w:t>250 – 2399</w:t>
            </w:r>
          </w:p>
        </w:tc>
        <w:tc>
          <w:tcPr>
            <w:tcW w:w="2382"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A919B7" w:rsidRPr="005B13F2" w:rsidTr="0019337E">
        <w:tc>
          <w:tcPr>
            <w:tcW w:w="3198" w:type="dxa"/>
            <w:vAlign w:val="cente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2400 – 5999</w:t>
            </w:r>
          </w:p>
        </w:tc>
        <w:tc>
          <w:tcPr>
            <w:tcW w:w="2382"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A919B7" w:rsidRPr="005B13F2" w:rsidTr="0019337E">
        <w:trPr>
          <w:trHeight w:val="51"/>
        </w:trPr>
        <w:tc>
          <w:tcPr>
            <w:tcW w:w="3198" w:type="dxa"/>
            <w:vAlign w:val="cente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6000 – 14999</w:t>
            </w:r>
          </w:p>
        </w:tc>
        <w:tc>
          <w:tcPr>
            <w:tcW w:w="2382"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A919B7" w:rsidRPr="005B13F2" w:rsidTr="0019337E">
        <w:tc>
          <w:tcPr>
            <w:tcW w:w="3198" w:type="dxa"/>
            <w:vAlign w:val="cente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15000 – 29999</w:t>
            </w:r>
          </w:p>
        </w:tc>
        <w:tc>
          <w:tcPr>
            <w:tcW w:w="2382"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A919B7" w:rsidRPr="005B13F2" w:rsidTr="0019337E">
        <w:tc>
          <w:tcPr>
            <w:tcW w:w="3198" w:type="dxa"/>
            <w:vAlign w:val="cente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30000 – 49999</w:t>
            </w:r>
          </w:p>
        </w:tc>
        <w:tc>
          <w:tcPr>
            <w:tcW w:w="2382"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A919B7" w:rsidRPr="005B13F2" w:rsidTr="0019337E">
        <w:tc>
          <w:tcPr>
            <w:tcW w:w="3198" w:type="dxa"/>
            <w:vAlign w:val="cente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50000 – 99999</w:t>
            </w:r>
          </w:p>
        </w:tc>
        <w:tc>
          <w:tcPr>
            <w:tcW w:w="2382"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A919B7" w:rsidRPr="005B13F2" w:rsidTr="0019337E">
        <w:tc>
          <w:tcPr>
            <w:tcW w:w="3198" w:type="dxa"/>
            <w:vAlign w:val="cente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100000 – 199999</w:t>
            </w:r>
          </w:p>
        </w:tc>
        <w:tc>
          <w:tcPr>
            <w:tcW w:w="2382"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A919B7" w:rsidRPr="005B13F2" w:rsidTr="0019337E">
        <w:tc>
          <w:tcPr>
            <w:tcW w:w="3198" w:type="dxa"/>
            <w:vAlign w:val="cente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200000 – 399999</w:t>
            </w:r>
          </w:p>
        </w:tc>
        <w:tc>
          <w:tcPr>
            <w:tcW w:w="2382"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A919B7" w:rsidRPr="005B13F2" w:rsidTr="0019337E">
        <w:tc>
          <w:tcPr>
            <w:tcW w:w="3198" w:type="dxa"/>
            <w:vAlign w:val="cente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400000 – 599999</w:t>
            </w:r>
          </w:p>
        </w:tc>
        <w:tc>
          <w:tcPr>
            <w:tcW w:w="2382"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A919B7" w:rsidRPr="005B13F2" w:rsidTr="0019337E">
        <w:tc>
          <w:tcPr>
            <w:tcW w:w="3198" w:type="dxa"/>
            <w:vAlign w:val="cente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600000 +</w:t>
            </w:r>
          </w:p>
        </w:tc>
        <w:tc>
          <w:tcPr>
            <w:tcW w:w="2382"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1400</w:t>
            </w:r>
          </w:p>
        </w:tc>
        <w:tc>
          <w:tcPr>
            <w:tcW w:w="1890"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A919B7" w:rsidRPr="00483B32" w:rsidRDefault="00A919B7" w:rsidP="00A919B7">
      <w:pPr>
        <w:pStyle w:val="Thirdheading"/>
        <w:rPr>
          <w:rFonts w:eastAsiaTheme="majorEastAsia"/>
        </w:rPr>
      </w:pPr>
      <w:r>
        <w:rPr>
          <w:rFonts w:eastAsiaTheme="majorEastAsia" w:cstheme="majorBidi"/>
          <w:b/>
          <w:bCs/>
          <w:color w:val="FFC000" w:themeColor="accent4"/>
          <w:sz w:val="18"/>
          <w:szCs w:val="18"/>
        </w:rPr>
        <w:t>Apmācības kuponu dienu izmantošana</w:t>
      </w:r>
    </w:p>
    <w:p w:rsidR="00A919B7" w:rsidRPr="00483B32" w:rsidRDefault="00A919B7" w:rsidP="00A919B7">
      <w:pPr>
        <w:pStyle w:val="BodyText"/>
        <w:numPr>
          <w:ilvl w:val="0"/>
          <w:numId w:val="16"/>
        </w:numPr>
        <w:spacing w:after="0"/>
      </w:pPr>
      <w:r>
        <w:rPr>
          <w:color w:val="000000" w:themeColor="text1"/>
          <w:szCs w:val="18"/>
        </w:rPr>
        <w:t>D</w:t>
      </w:r>
      <w:r>
        <w:t>aži kursi nav pieejami visās valodās.</w:t>
      </w:r>
    </w:p>
    <w:p w:rsidR="00A919B7" w:rsidRPr="00483B32" w:rsidRDefault="00A919B7" w:rsidP="00A919B7">
      <w:pPr>
        <w:pStyle w:val="BodyText"/>
        <w:numPr>
          <w:ilvl w:val="0"/>
          <w:numId w:val="16"/>
        </w:numPr>
        <w:spacing w:after="0"/>
      </w:pPr>
      <w:r>
        <w:t>Ir piemērojamas vietējās politikas un Lietošanas nosacījumi, ko nosaka Microsoft mācību partneris.</w:t>
      </w:r>
    </w:p>
    <w:p w:rsidR="00A919B7" w:rsidRPr="00483B32" w:rsidRDefault="00A919B7" w:rsidP="00A919B7">
      <w:pPr>
        <w:pStyle w:val="BodyText"/>
        <w:numPr>
          <w:ilvl w:val="0"/>
          <w:numId w:val="16"/>
        </w:numPr>
        <w:spacing w:after="0"/>
      </w:pPr>
      <w:r>
        <w:t>Priekšrocību pārvaldnieki drīkst anulēt piešķirto kuponu līdz Microsoft mācību partnera noteiktajam kursa atcelšanas datumam.</w:t>
      </w:r>
    </w:p>
    <w:p w:rsidR="00A919B7" w:rsidRPr="00483B32" w:rsidRDefault="00A919B7" w:rsidP="00A919B7">
      <w:pPr>
        <w:pStyle w:val="BodyText"/>
        <w:numPr>
          <w:ilvl w:val="0"/>
          <w:numId w:val="16"/>
        </w:numPr>
        <w:spacing w:after="0"/>
      </w:pPr>
      <w:r>
        <w:t>Personai, kura saņem apmācību, ir jāapmaksā visas kursa dienas, ko attiecīgais kupons nesedz.</w:t>
      </w:r>
    </w:p>
    <w:p w:rsidR="00A919B7" w:rsidRPr="00483B32" w:rsidRDefault="00A919B7" w:rsidP="00A919B7">
      <w:pPr>
        <w:pStyle w:val="BodyText"/>
        <w:numPr>
          <w:ilvl w:val="0"/>
          <w:numId w:val="16"/>
        </w:numPr>
        <w:spacing w:after="0"/>
      </w:pPr>
      <w:r>
        <w:t>Visas kupona dienas, kas pārsniedz noteiktajam kursam piešķirto dienu skaitu, tiek atgrieztas to pieejamo dienu pūlā, ko Priekšrocību pārvaldnieki var piešķirt atkārtoti.</w:t>
      </w:r>
    </w:p>
    <w:p w:rsidR="00A919B7" w:rsidRPr="00483B32" w:rsidRDefault="00A919B7" w:rsidP="00A919B7">
      <w:pPr>
        <w:pStyle w:val="BodyText"/>
        <w:numPr>
          <w:ilvl w:val="0"/>
          <w:numId w:val="16"/>
        </w:numPr>
        <w:spacing w:after="0"/>
      </w:pPr>
      <w:r>
        <w:t>Kursiem, kas tiek pasniegti paātrinātā formāta, ir nepieciešams tāds kuponu dienu skaits, kas ir līdzvērtīgs šī kursa normālajai pasniegšanas gaitai.</w:t>
      </w:r>
    </w:p>
    <w:p w:rsidR="00A919B7" w:rsidRPr="00483B32" w:rsidRDefault="00A919B7" w:rsidP="00A919B7">
      <w:pPr>
        <w:pStyle w:val="BodyText"/>
        <w:numPr>
          <w:ilvl w:val="0"/>
          <w:numId w:val="16"/>
        </w:numPr>
        <w:spacing w:after="0"/>
      </w:pPr>
      <w:r>
        <w:t xml:space="preserve">Kuponu drīkst izmantot tikai dienām tādās instruktora vadītajās apmācībās, ko apstiprinātajiem kursiem nodrošina kvalificētie Microsoft mācību partneri. Kuponus nedrīkst izmantot, lai segtu pielāgotos kursus (izņemot paātrināti pasniegtus apstiprinātos kursus vai pielāgotos kursus, kas tiek veidoti tikai no apstiprinātajiem kursiem). Lai saņemtu informāciju par apstiprinātajiem kursiem, lūdzu, apmeklējiet vietni </w:t>
      </w:r>
      <w:hyperlink r:id="rId22" w:history="1">
        <w:r>
          <w:rPr>
            <w:rStyle w:val="Hyperlink"/>
            <w:szCs w:val="18"/>
          </w:rPr>
          <w:t>http://www.microsoft.com/learning/sa/training.mspx</w:t>
        </w:r>
      </w:hyperlink>
      <w:r>
        <w:rPr>
          <w:color w:val="000000" w:themeColor="text1"/>
          <w:szCs w:val="18"/>
        </w:rPr>
        <w:t xml:space="preserve">. </w:t>
      </w:r>
    </w:p>
    <w:p w:rsidR="00A919B7" w:rsidRPr="00483B32" w:rsidRDefault="00A919B7" w:rsidP="00A919B7">
      <w:pPr>
        <w:pStyle w:val="BodyText"/>
        <w:numPr>
          <w:ilvl w:val="0"/>
          <w:numId w:val="16"/>
        </w:numPr>
        <w:spacing w:after="0"/>
      </w:pPr>
      <w:r>
        <w:t xml:space="preserve">Kuponus nevar izmantot, lai segtu jebkādas maksas saistībā ar neierašanos uz rezervētu kursu. Par visām maksām saistībā ar kavējumiem esat atbildīgs jūs. </w:t>
      </w:r>
    </w:p>
    <w:p w:rsidR="00A919B7" w:rsidRPr="00483B32" w:rsidRDefault="00A919B7" w:rsidP="00A919B7">
      <w:pPr>
        <w:pStyle w:val="BodyText"/>
        <w:numPr>
          <w:ilvl w:val="0"/>
          <w:numId w:val="16"/>
        </w:numPr>
        <w:spacing w:after="0"/>
      </w:pPr>
      <w:r>
        <w:t xml:space="preserve">Kuponus drīkst izmantot tikai persona, ko Jūsu organizācija ir apstiprinājusi kupona lietošanai. </w:t>
      </w:r>
    </w:p>
    <w:p w:rsidR="00A919B7" w:rsidRPr="00483B32" w:rsidRDefault="00A919B7" w:rsidP="00A919B7">
      <w:pPr>
        <w:pStyle w:val="BodyText"/>
        <w:numPr>
          <w:ilvl w:val="0"/>
          <w:numId w:val="16"/>
        </w:numPr>
        <w:spacing w:after="0"/>
      </w:pPr>
      <w:r>
        <w:t>Kuponus nedrīkst mainīt pret skaidru naudu, naudas līdzekļiem vai citām vērtībām.</w:t>
      </w:r>
    </w:p>
    <w:p w:rsidR="00A919B7" w:rsidRPr="00483B32" w:rsidRDefault="00A919B7" w:rsidP="00A919B7">
      <w:pPr>
        <w:pStyle w:val="BodyText"/>
        <w:numPr>
          <w:ilvl w:val="0"/>
          <w:numId w:val="16"/>
        </w:numPr>
        <w:spacing w:after="0"/>
      </w:pPr>
      <w:r>
        <w:t>Kuponi ir jāpiešķir SA seguma perioda laikā.</w:t>
      </w:r>
    </w:p>
    <w:p w:rsidR="00A919B7" w:rsidRPr="00483B32" w:rsidRDefault="00A919B7" w:rsidP="00A919B7">
      <w:pPr>
        <w:pStyle w:val="BodyText"/>
        <w:numPr>
          <w:ilvl w:val="0"/>
          <w:numId w:val="16"/>
        </w:numPr>
        <w:spacing w:after="0"/>
      </w:pPr>
      <w:r>
        <w:t>Kuponu darbība beidzas 180 dienas pēc kuponu piešķiršanas datuma neatkarīgi no SA seguma darbības beigām. Visi pakalpojumi ir jāsniedz (apmācība ir jāsniedz un kupons ir jāizpērk) pirms kupona darbības beigām. Kuponi, kuru darbība beidzas pirms SA seguma darbības beigām, tiek atgriezti pieejamo Apmācības kuponu dienu pūlā.</w:t>
      </w:r>
    </w:p>
    <w:p w:rsidR="00A919B7" w:rsidRPr="00483B32" w:rsidRDefault="00A919B7" w:rsidP="00A919B7">
      <w:pPr>
        <w:pStyle w:val="BodyText"/>
        <w:numPr>
          <w:ilvl w:val="0"/>
          <w:numId w:val="16"/>
        </w:numPr>
        <w:spacing w:after="0"/>
      </w:pPr>
      <w:r>
        <w:t>Izņemot Demonstrācijas sesijas, viena Apmācības kupona diena ir vienāda ar vienu mācību sesijas dienu. Demonstrācijas sesijām viena Apmācības kupona diena ir vienāda ar vienu Demonstrācijas sesiju.</w:t>
      </w:r>
    </w:p>
    <w:p w:rsidR="00A919B7" w:rsidRPr="00483B32" w:rsidRDefault="00A919B7" w:rsidP="00A919B7">
      <w:pPr>
        <w:pStyle w:val="BodyText"/>
        <w:numPr>
          <w:ilvl w:val="0"/>
          <w:numId w:val="16"/>
        </w:numPr>
        <w:spacing w:after="0"/>
      </w:pPr>
      <w:r>
        <w:t>Jums Apmācību kuponi ir jāizmanto pret četru Demonstrācijas sesiju kopām vai vairāk</w:t>
      </w:r>
    </w:p>
    <w:p w:rsidR="00A919B7" w:rsidRPr="00483B32" w:rsidRDefault="00A919B7" w:rsidP="00A919B7">
      <w:pPr>
        <w:pStyle w:val="BodyText"/>
        <w:numPr>
          <w:ilvl w:val="0"/>
          <w:numId w:val="16"/>
        </w:numPr>
        <w:spacing w:after="0"/>
      </w:pPr>
      <w:r>
        <w:t>Pret Demonstrācijas sesijām izpirktie Apmācību kuponi, atšķirībā no Apmācības kuponiem, kas tiek izpirkti pret citām mācību sesijām, nav ierobežoti vienai personai.</w:t>
      </w:r>
    </w:p>
    <w:p w:rsidR="00A919B7" w:rsidRPr="00483B32" w:rsidRDefault="00A919B7" w:rsidP="00A919B7">
      <w:pPr>
        <w:pStyle w:val="BodyText"/>
        <w:numPr>
          <w:ilvl w:val="0"/>
          <w:numId w:val="16"/>
        </w:numPr>
        <w:spacing w:after="0"/>
      </w:pPr>
      <w:r>
        <w:t xml:space="preserve">Kuponus drīkst izmantot, lai vienlaicīgi rezervētu apmācības tikai pie viena kvalificētā Microsoft mācību partnera. </w:t>
      </w:r>
    </w:p>
    <w:p w:rsidR="00A919B7" w:rsidRPr="00483B32" w:rsidRDefault="00A919B7" w:rsidP="00A919B7">
      <w:pPr>
        <w:pStyle w:val="BodyText"/>
        <w:numPr>
          <w:ilvl w:val="0"/>
          <w:numId w:val="16"/>
        </w:numPr>
        <w:spacing w:after="0"/>
      </w:pPr>
      <w:r>
        <w:t>Microsoft mācību partneris patur tiesības atcelt kursa pasniegšanu saskaņā ar vietējo atcelšanas politiku.</w:t>
      </w:r>
    </w:p>
    <w:p w:rsidR="00A919B7" w:rsidRPr="00483B32" w:rsidRDefault="00A919B7" w:rsidP="00A919B7">
      <w:pPr>
        <w:pStyle w:val="BodyText"/>
        <w:numPr>
          <w:ilvl w:val="0"/>
          <w:numId w:val="16"/>
        </w:numPr>
        <w:spacing w:after="0"/>
      </w:pPr>
      <w:r>
        <w:t xml:space="preserve">Kuponi ir derīgi tikai attiecībā uz programmā iekļautajiem Microsoft mācību partneriem. Tos var izmantot pie jebkura kvalificētā Microsoft mācību partnera visā pasaulē. </w:t>
      </w:r>
    </w:p>
    <w:p w:rsidR="00A919B7" w:rsidRPr="00483B32" w:rsidRDefault="00A919B7" w:rsidP="00A919B7">
      <w:pPr>
        <w:pStyle w:val="BodyText"/>
        <w:numPr>
          <w:ilvl w:val="0"/>
          <w:numId w:val="16"/>
        </w:numPr>
        <w:spacing w:after="0"/>
      </w:pPr>
      <w:r>
        <w:t xml:space="preserve">Lai kuponu lietotu kursa apmaksāšanai, pirms kursa beigām jums ir pienākums sniegt Microsoft mācību partnerim informāciju par kuponu, kuru viņi vēlas lietot attiecīgajam kursam. </w:t>
      </w:r>
    </w:p>
    <w:p w:rsidR="00A919B7" w:rsidRPr="00483B32" w:rsidRDefault="00A919B7" w:rsidP="00A919B7">
      <w:pPr>
        <w:pStyle w:val="BodyText"/>
        <w:numPr>
          <w:ilvl w:val="0"/>
          <w:numId w:val="16"/>
        </w:numPr>
        <w:spacing w:after="0"/>
      </w:pPr>
      <w:r>
        <w:t>Korporācija Microsoft nav atbildīga par pazaudētiem, nozagtiem vai nepareizi lietotiem kuponiem.</w:t>
      </w:r>
    </w:p>
    <w:p w:rsidR="00A919B7" w:rsidRPr="00483B32" w:rsidRDefault="00A919B7" w:rsidP="00A919B7">
      <w:pPr>
        <w:pStyle w:val="BodyText"/>
        <w:numPr>
          <w:ilvl w:val="0"/>
          <w:numId w:val="16"/>
        </w:numPr>
        <w:spacing w:after="0"/>
      </w:pPr>
      <w:r>
        <w:t>SA segto iegūto licenču skaita mazināšanās, ko izraisījusi atgriešana un citi norēķinu regulējumi, ja atļauts, var samazināt jūsu piemērotību Apmācības kuponu pakalpojuma līmenim.</w:t>
      </w:r>
    </w:p>
    <w:p w:rsidR="00A919B7" w:rsidRPr="00483B32" w:rsidRDefault="00A919B7" w:rsidP="00A919B7">
      <w:pPr>
        <w:pStyle w:val="BodyText"/>
        <w:numPr>
          <w:ilvl w:val="0"/>
          <w:numId w:val="16"/>
        </w:numPr>
        <w:spacing w:after="0"/>
      </w:pPr>
      <w:r>
        <w:t>Kuponu izpirkšanu ir tiesības veikt tikai tādai organizācijai, kas ir kvalificēta priekšrocības saņemšanai.</w:t>
      </w:r>
    </w:p>
    <w:p w:rsidR="00A919B7" w:rsidRPr="00483B32" w:rsidRDefault="00A919B7" w:rsidP="00A919B7">
      <w:pPr>
        <w:pStyle w:val="BodyText"/>
        <w:numPr>
          <w:ilvl w:val="0"/>
          <w:numId w:val="16"/>
        </w:numPr>
        <w:spacing w:after="0"/>
      </w:pPr>
      <w:r>
        <w:t>Pakalpojumus, kas tiek nodrošināti, pamatojoties uz kuponiem, sniedz atbilstoši līgumam, ko jūs noslēdzat ar Plānošanas pakalpojumu partneri, un korporācija Microsoft neuzņemas atbildību par Plānošanas pakalpojumu partnera darbu izpildi vai neizpildi saistībā ar šiem pakalpojumiem.</w:t>
      </w:r>
    </w:p>
    <w:p w:rsidR="00A919B7" w:rsidRPr="00483B32" w:rsidRDefault="00A919B7" w:rsidP="00A919B7">
      <w:pPr>
        <w:pStyle w:val="BodyText"/>
        <w:numPr>
          <w:ilvl w:val="0"/>
          <w:numId w:val="16"/>
        </w:numPr>
        <w:spacing w:after="0"/>
      </w:pPr>
      <w:r>
        <w:lastRenderedPageBreak/>
        <w:t>Iepriekš redzamajā tabulā ir norādītas pieejamās apmācību, dienas ņemot vērā pilnu iegādi uz 3 gadiem saskaņā ar Iegādes kontu. Ja programmas SA segums ir mazāks par 3 gadiem, jums pieejamo apmācību dienu skaits tiks proporcionāli samazināts.</w:t>
      </w:r>
    </w:p>
    <w:p w:rsidR="00A919B7" w:rsidRPr="00483B32" w:rsidRDefault="00A919B7" w:rsidP="00A919B7">
      <w:pPr>
        <w:pStyle w:val="Heading2"/>
      </w:pPr>
      <w:bookmarkStart w:id="44" w:name="_24x7_Problem_Resolution_1"/>
      <w:bookmarkStart w:id="45" w:name="_Toc403380305"/>
      <w:bookmarkStart w:id="46" w:name="_Toc403985023"/>
      <w:bookmarkStart w:id="47" w:name="_Toc428279668"/>
      <w:bookmarkEnd w:id="44"/>
      <w:r>
        <w:t>24x7 problēmu risināšanas atbalsts</w:t>
      </w:r>
      <w:bookmarkEnd w:id="45"/>
      <w:bookmarkEnd w:id="46"/>
      <w:bookmarkEnd w:id="47"/>
      <w:r>
        <w:t xml:space="preserve"> </w:t>
      </w:r>
    </w:p>
    <w:p w:rsidR="00A919B7" w:rsidRPr="00483B32" w:rsidRDefault="00A919B7" w:rsidP="00A919B7">
      <w:r>
        <w:rPr>
          <w:color w:val="000000" w:themeColor="text1"/>
          <w:szCs w:val="18"/>
        </w:rPr>
        <w:t xml:space="preserve">Ja jums ir programmas SA segums, jūsu pirkumi tiek kvalificēti 24x7 problēmu risināšanas atbalsta saņemšanai. 24x7 problēmu risināšanas atbalsts nodrošina palīdzību tādu problēmu risināšanā, kurām raksturīgi īpaši simptomi, kas radušies, lietojot Microsoft produktus, ja ir saprātīgs pamats domāt, ka problēmas ir izraisījuši Microsoft produkti. Microsoft veiks saprātīgus pasākumus, lai jums palīdzētu saistībā ar atbalsta pieprasījumiem tādā veidā, kas atbilst Microsoft produktu atbalsta politikām. Microsoft patur tiesības noraidīt neracionālus atbalsta pakalpojumu pieprasījumus un dažkārt var attiecināt uz jums papildu pakalpojumu līmeņa līgumu saskaņā ar kuru var tikt pieprasīta papildu maksa. </w:t>
      </w:r>
    </w:p>
    <w:p w:rsidR="00A919B7" w:rsidRPr="00483B32" w:rsidRDefault="00A919B7" w:rsidP="00A919B7">
      <w:pPr>
        <w:spacing w:before="120"/>
      </w:pPr>
      <w:r>
        <w:rPr>
          <w:color w:val="000000" w:themeColor="text1"/>
          <w:szCs w:val="18"/>
        </w:rPr>
        <w:t xml:space="preserve">Korporācijai Microsoft ir atļauts pievienot jaunu Produktu atbalsta pakalpojumus vai pārtraukt to sniegšanu esošajiem Produktiem. Var būt gadījumi, kad jūsu organizācijas lietoto Microsoft produktu ieviešanai nevar nodrošināt efektīvus atbalsta pakalpojumus. Ja korporācija Microsoft nonāks pie šāda secinājuma, jums par to tiks paziņots, jo tas ietilpst atbalsta pakalpojumu sniegšanā. Ja jūsu organizācija 30 dienu laikā pēc šī paziņojuma saņemšanas neveiks izmaiņas produktu ieviešanā, tādējādi nodrošinot tās efektīvu atbalstu, korporācijai Microsoft nebūs pienākuma sniegt papildu atbalsta pakalpojumus šai ieviešanai, tomēr Microsoft turpinās sniegt atbalsta pakalpojumus to pārējo jūsu produktu ieviešanai, kuriem tiek nodrošināts atbalsts un uz kuriem attiecas šie noteikumi un nosacījumi. </w:t>
      </w:r>
    </w:p>
    <w:p w:rsidR="00A919B7" w:rsidRPr="00483B32" w:rsidRDefault="00A919B7" w:rsidP="00A919B7">
      <w:pPr>
        <w:spacing w:before="120"/>
      </w:pPr>
      <w:r>
        <w:rPr>
          <w:color w:val="000000" w:themeColor="text1"/>
          <w:szCs w:val="18"/>
        </w:rP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mēs jums varam nodrošināt komerciāli pieejama Microsoft produkta programmatūras koda modifikāciju, lai risinātu īpaši kritiskas problēmas (turpmāk tekstā — „Labojumfaili”), atbildot uz pieprasījumu saņemt atbalstu, ja nepieciešama palīdzība saistībā ar bojājuma labošanu. Labojumfaili ir domāti, lai sāktu darbu pie jūsu īpašajām problēmām, un tiem netiek veikts regresijas tests. Izņemot, ja šeit ir noteikts citādi, Labojumfailus nav atļauts izplatīt nesaistītām trešajām personām bez rakstiskas Microsoft piekrišanas.</w:t>
      </w:r>
    </w:p>
    <w:p w:rsidR="00A919B7" w:rsidRPr="00483B32" w:rsidRDefault="00A919B7" w:rsidP="00A919B7">
      <w:pPr>
        <w:spacing w:before="120" w:after="120"/>
      </w:pPr>
      <w:r>
        <w:rPr>
          <w:color w:val="000000" w:themeColor="text1"/>
          <w:szCs w:val="18"/>
        </w:rPr>
        <w:t>Produkti, kuri pieejami, veicot Lielapjoma licencēšanu, un kuriem pašreiz tiek nodrošināts Galvenais atbalsts, kā tas noteikts Microsoft atbalsta dzīves cikla politikā, ir piemēroti 24x7 problēmu risināšanas atbalsta saņemšanai. Produktu piemērotība atbalsta saņemšanai pa tālruni ir saistīta ar SA piedāvājumu attiecīgajam Produktam. Ja serverim nav pieejama SA iespēja, bet tā ir pieejama klienta piekļuves licencēm (Client Access License — CAL), ar klienta piekļuves licencēm saistītie punkti tiek pieskaitīti gadījumiem, kas paredzēti citiem piemērotiem Produktiem, kā norādīts tālāk sadaļā „Pa tālruni nodrošinātā atbalsta gadījumi”. Lai iegūtu informāciju par pakalpojumu un atbalsta sniegšanas politiku, skatiet Produkta nosacījumu attiecīgo sadaļu. Agrākas Produktu versijas, kurām pašreiz tiek nodrošināts Galvenais atbalsts un kuras jūs var izvēlēties lietot pašreiz licencēto versiju vietā, arī ir piemērotas. Piedāvājums neattiecas uz visu serveru izdevumu Developer Edition, HED produktiem un MSDN abonementiem.</w:t>
      </w:r>
    </w:p>
    <w:p w:rsidR="00A919B7" w:rsidRPr="00483B32" w:rsidRDefault="00A919B7" w:rsidP="00A919B7">
      <w:r>
        <w:rPr>
          <w:color w:val="000000" w:themeColor="text1"/>
          <w:szCs w:val="18"/>
        </w:rPr>
        <w:t xml:space="preserve">24x7 problēmu risināšanas atbalsts piešķir jums gadījumu un kontaktpersonu skaitu, lai pieteiktu šādus gadījumus, kā aprakstīts tālāk. Atbalsta saņemšana var tikt pieteikta, iesniedzot gadījumus vai nu elektroniski (lietojot tīmekli), vai pa Tālruni. Katram saziņas veidam tiek piemēroti atšķirīgi noteikumi. </w:t>
      </w:r>
    </w:p>
    <w:p w:rsidR="00A919B7" w:rsidRPr="00483B32" w:rsidRDefault="00A919B7" w:rsidP="00A919B7">
      <w:pPr>
        <w:pStyle w:val="Thirdheading"/>
      </w:pPr>
      <w:r>
        <w:rPr>
          <w:b/>
        </w:rPr>
        <w:t>Pa tālruni nodrošinātā atbalsta gadījumi</w:t>
      </w:r>
    </w:p>
    <w:p w:rsidR="00A919B7" w:rsidRDefault="00A919B7" w:rsidP="00A919B7">
      <w:pPr>
        <w:rPr>
          <w:color w:val="000000" w:themeColor="text1"/>
          <w:szCs w:val="18"/>
        </w:rPr>
      </w:pPr>
      <w:r>
        <w:rPr>
          <w:color w:val="000000" w:themeColor="text1"/>
          <w:szCs w:val="18"/>
        </w:rPr>
        <w:t>Atļauto pa tālruni sniegto atbalsta gadījumu skaits ir atkarīgs no nopelnītajiem SA priekšrocību punktiem. Ja jums ir programmas SA segums attiecībā uz vismaz vienu kvalificētu Servera programmatūras Produktu, jums tiek piešķirts papildu gadījums.</w:t>
      </w:r>
      <w:r>
        <w:rPr>
          <w:rFonts w:cs="Tahoma"/>
          <w:color w:val="000000" w:themeColor="text1"/>
          <w:szCs w:val="18"/>
        </w:rPr>
        <w:t xml:space="preserve"> Jums piešķirto pa tālruni nodrošināto atbalsta gadījumu skaits ir atkarīgs no kopējā aprēķinātā punktu skaita, kas nopelnīti, izmantojot </w:t>
      </w:r>
      <w:r>
        <w:rPr>
          <w:color w:val="000000" w:themeColor="text1"/>
          <w:szCs w:val="18"/>
        </w:rPr>
        <w:t>Iegādes kontu, kā redzams tālāk (papildinformāciju par to, kā tiek aprēķināti SA priekšrocību punkti, skatiet šī dokumenta sadaļā „Software Assurance priekšrocības punktu aprēķināšana MPSA”).</w:t>
      </w:r>
    </w:p>
    <w:p w:rsidR="00A919B7" w:rsidRPr="00483B32" w:rsidRDefault="00A919B7" w:rsidP="00A919B7"/>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A919B7" w:rsidRPr="005B13F2" w:rsidTr="0019337E">
        <w:trPr>
          <w:tblHeader/>
        </w:trPr>
        <w:tc>
          <w:tcPr>
            <w:tcW w:w="3060" w:type="dxa"/>
            <w:shd w:val="clear" w:color="auto" w:fill="BF8F00" w:themeFill="accent4" w:themeFillShade="BF"/>
            <w:vAlign w:val="center"/>
          </w:tcPr>
          <w:p w:rsidR="00A919B7" w:rsidRPr="005B13F2" w:rsidRDefault="00A919B7" w:rsidP="0019337E">
            <w:pPr>
              <w:pStyle w:val="ProductList-Body"/>
              <w:spacing w:before="20" w:after="20"/>
              <w:rPr>
                <w:color w:val="FFFFFF" w:themeColor="background1"/>
                <w:szCs w:val="18"/>
              </w:rPr>
            </w:pPr>
            <w:r>
              <w:rPr>
                <w:color w:val="FFFFFF" w:themeColor="background1"/>
                <w:szCs w:val="18"/>
              </w:rPr>
              <w:t>Pūls</w:t>
            </w:r>
          </w:p>
        </w:tc>
        <w:tc>
          <w:tcPr>
            <w:tcW w:w="3240" w:type="dxa"/>
            <w:shd w:val="clear" w:color="auto" w:fill="BF8F00" w:themeFill="accent4" w:themeFillShade="BF"/>
            <w:vAlign w:val="center"/>
          </w:tcPr>
          <w:p w:rsidR="00A919B7" w:rsidRPr="005B13F2" w:rsidRDefault="00A919B7" w:rsidP="0019337E">
            <w:pPr>
              <w:pStyle w:val="ProductList-Body"/>
              <w:spacing w:before="20" w:after="20"/>
              <w:jc w:val="center"/>
              <w:rPr>
                <w:color w:val="FFFFFF" w:themeColor="background1"/>
                <w:szCs w:val="18"/>
              </w:rPr>
            </w:pPr>
            <w:r>
              <w:rPr>
                <w:color w:val="FFFFFF" w:themeColor="background1"/>
                <w:szCs w:val="18"/>
              </w:rPr>
              <w:t>Nopelnītie punkti, ņemot vērā pa tālruni nodrošinātos atbalsta gadījumus</w:t>
            </w:r>
          </w:p>
        </w:tc>
      </w:tr>
      <w:tr w:rsidR="00A919B7" w:rsidRPr="005B13F2" w:rsidTr="0019337E">
        <w:trPr>
          <w:trHeight w:val="60"/>
        </w:trPr>
        <w:tc>
          <w:tcPr>
            <w:tcW w:w="3060" w:type="dxa"/>
          </w:tcPr>
          <w:p w:rsidR="00A919B7" w:rsidRPr="00C118D4" w:rsidRDefault="00A919B7" w:rsidP="0019337E">
            <w:pPr>
              <w:pStyle w:val="ProductList-Body"/>
              <w:rPr>
                <w:color w:val="000000" w:themeColor="text1"/>
                <w:szCs w:val="18"/>
              </w:rPr>
            </w:pPr>
            <w:r>
              <w:rPr>
                <w:rFonts w:cs="Tahoma"/>
                <w:color w:val="000000" w:themeColor="text1"/>
                <w:szCs w:val="18"/>
              </w:rPr>
              <w:t>Lietojumprogrammas un sistēmas (apvienots)</w:t>
            </w:r>
          </w:p>
        </w:tc>
        <w:tc>
          <w:tcPr>
            <w:tcW w:w="3240" w:type="dxa"/>
            <w:vAlign w:val="center"/>
          </w:tcPr>
          <w:p w:rsidR="00A919B7" w:rsidRPr="00C118D4" w:rsidRDefault="00A919B7" w:rsidP="0019337E">
            <w:pPr>
              <w:pStyle w:val="ProductList-Body"/>
              <w:jc w:val="center"/>
              <w:rPr>
                <w:color w:val="000000" w:themeColor="text1"/>
                <w:szCs w:val="18"/>
              </w:rPr>
            </w:pPr>
            <w:r>
              <w:rPr>
                <w:color w:val="000000" w:themeColor="text1"/>
                <w:szCs w:val="18"/>
              </w:rPr>
              <w:t>2000</w:t>
            </w:r>
          </w:p>
        </w:tc>
      </w:tr>
      <w:tr w:rsidR="00A919B7" w:rsidRPr="005B13F2" w:rsidTr="0019337E">
        <w:trPr>
          <w:trHeight w:val="60"/>
        </w:trPr>
        <w:tc>
          <w:tcPr>
            <w:tcW w:w="3060" w:type="dxa"/>
          </w:tcPr>
          <w:p w:rsidR="00A919B7" w:rsidRPr="00C118D4" w:rsidRDefault="00A919B7" w:rsidP="0019337E">
            <w:pPr>
              <w:pStyle w:val="ProductList-Body"/>
              <w:rPr>
                <w:rFonts w:cs="Tahoma"/>
                <w:color w:val="000000" w:themeColor="text1"/>
                <w:szCs w:val="18"/>
              </w:rPr>
            </w:pPr>
            <w:r>
              <w:rPr>
                <w:rFonts w:cs="Tahoma"/>
                <w:color w:val="000000" w:themeColor="text1"/>
                <w:szCs w:val="18"/>
              </w:rPr>
              <w:t>Servera</w:t>
            </w:r>
          </w:p>
        </w:tc>
        <w:tc>
          <w:tcPr>
            <w:tcW w:w="3240" w:type="dxa"/>
            <w:vAlign w:val="center"/>
          </w:tcPr>
          <w:p w:rsidR="00A919B7" w:rsidRPr="00C118D4" w:rsidRDefault="00A919B7" w:rsidP="0019337E">
            <w:pPr>
              <w:pStyle w:val="ProductList-Body"/>
              <w:jc w:val="center"/>
              <w:rPr>
                <w:color w:val="000000" w:themeColor="text1"/>
                <w:szCs w:val="18"/>
              </w:rPr>
            </w:pPr>
            <w:r>
              <w:rPr>
                <w:color w:val="000000" w:themeColor="text1"/>
                <w:szCs w:val="18"/>
              </w:rPr>
              <w:t>400</w:t>
            </w:r>
          </w:p>
        </w:tc>
      </w:tr>
      <w:tr w:rsidR="00A919B7" w:rsidRPr="005B13F2" w:rsidTr="0019337E">
        <w:trPr>
          <w:trHeight w:val="60"/>
        </w:trPr>
        <w:tc>
          <w:tcPr>
            <w:tcW w:w="3060" w:type="dxa"/>
          </w:tcPr>
          <w:p w:rsidR="00A919B7" w:rsidRPr="00C118D4" w:rsidRDefault="00A919B7" w:rsidP="0019337E">
            <w:pPr>
              <w:pStyle w:val="ProductList-Body"/>
              <w:rPr>
                <w:rFonts w:cs="Tahoma"/>
                <w:color w:val="000000" w:themeColor="text1"/>
                <w:szCs w:val="18"/>
              </w:rPr>
            </w:pPr>
            <w:r>
              <w:rPr>
                <w:rFonts w:cs="Tahoma"/>
                <w:color w:val="000000" w:themeColor="text1"/>
                <w:szCs w:val="18"/>
              </w:rPr>
              <w:t>CAL</w:t>
            </w:r>
          </w:p>
        </w:tc>
        <w:tc>
          <w:tcPr>
            <w:tcW w:w="3240" w:type="dxa"/>
            <w:vAlign w:val="center"/>
          </w:tcPr>
          <w:p w:rsidR="00A919B7" w:rsidRPr="00C118D4" w:rsidRDefault="00A919B7" w:rsidP="0019337E">
            <w:pPr>
              <w:pStyle w:val="ProductList-Body"/>
              <w:jc w:val="center"/>
              <w:rPr>
                <w:color w:val="000000" w:themeColor="text1"/>
                <w:szCs w:val="18"/>
              </w:rPr>
            </w:pPr>
            <w:r>
              <w:rPr>
                <w:color w:val="000000" w:themeColor="text1"/>
                <w:szCs w:val="18"/>
              </w:rPr>
              <w:t>400</w:t>
            </w:r>
          </w:p>
        </w:tc>
      </w:tr>
    </w:tbl>
    <w:p w:rsidR="00A919B7" w:rsidRPr="00483B32" w:rsidRDefault="00A919B7" w:rsidP="00A919B7">
      <w:pPr>
        <w:ind w:firstLine="180"/>
      </w:pPr>
    </w:p>
    <w:p w:rsidR="00A919B7" w:rsidRPr="00483B32" w:rsidRDefault="00A919B7" w:rsidP="00A919B7">
      <w:pPr>
        <w:pStyle w:val="ProductList-Body"/>
        <w:spacing w:after="120"/>
      </w:pPr>
      <w:r>
        <w:rPr>
          <w:rFonts w:ascii="Segoe UI" w:hAnsi="Segoe UI"/>
          <w:color w:val="000000" w:themeColor="text1"/>
          <w:szCs w:val="18"/>
        </w:rPr>
        <w:t xml:space="preserve">Gadījumi tiek piešķirti visā SA seguma derīguma termiņa laikā, un tos var izmantot, sākot ar pirmo SA seguma dienu neatkarīgi no tā, vai izvēlējāties sadalīt maksājumus vai nē. Veicot pirkumus pēc sākotnējā pasūtījuma, piešķirto gadījumu skaits un ikgadējais piešķīrums tiek </w:t>
      </w:r>
      <w:r>
        <w:rPr>
          <w:rFonts w:ascii="Segoe UI" w:hAnsi="Segoe UI"/>
          <w:color w:val="000000" w:themeColor="text1"/>
          <w:szCs w:val="18"/>
        </w:rPr>
        <w:lastRenderedPageBreak/>
        <w:t>pārrēķināts. Neizlietoto pa tālruni sniegtā atbalsta gadījumu derīgums beidzas līdz ar SA seguma darbības beigām. Pa tālruni sniegtā atbalsta gadījumus nav atļauts pārcelt no viena Iegādes konta uz citu.</w:t>
      </w:r>
    </w:p>
    <w:p w:rsidR="00A919B7" w:rsidRPr="00483B32" w:rsidRDefault="00A919B7" w:rsidP="00A919B7">
      <w:pPr>
        <w:pStyle w:val="ProductList-Body"/>
      </w:pPr>
      <w:r>
        <w:rPr>
          <w:rFonts w:ascii="Segoe UI" w:hAnsi="Segoe UI"/>
          <w:color w:val="000000" w:themeColor="text1"/>
          <w:szCs w:val="18"/>
        </w:rPr>
        <w:t xml:space="preserve">Piekļuve vietējam atbalstam pa tālruni ir pieejama darba laikā, kas norādīts vietnē </w:t>
      </w:r>
      <w:hyperlink r:id="rId23" w:history="1">
        <w:r>
          <w:rPr>
            <w:rStyle w:val="Hyperlink"/>
            <w:rFonts w:ascii="Segoe UI" w:hAnsi="Segoe UI"/>
            <w:szCs w:val="18"/>
          </w:rPr>
          <w:t>http://support.microsoft.com/gp/saphone</w:t>
        </w:r>
      </w:hyperlink>
      <w:r>
        <w:rPr>
          <w:rFonts w:ascii="Segoe UI" w:hAnsi="Segoe UI"/>
          <w:color w:val="000000" w:themeColor="text1"/>
          <w:szCs w:val="18"/>
        </w:rP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A919B7" w:rsidRPr="00483B32" w:rsidRDefault="00A919B7" w:rsidP="00A919B7">
      <w:pPr>
        <w:pStyle w:val="Thirdheading"/>
      </w:pPr>
      <w:r>
        <w:rPr>
          <w:b/>
        </w:rPr>
        <w:t xml:space="preserve">Gadījumi atbalsta saņemšanai tīmeklī </w:t>
      </w:r>
    </w:p>
    <w:p w:rsidR="00A919B7" w:rsidRPr="00483B32" w:rsidRDefault="00A919B7" w:rsidP="00A919B7">
      <w:pPr>
        <w:pStyle w:val="ProductList-Body"/>
      </w:pPr>
      <w:r>
        <w:rPr>
          <w:rFonts w:ascii="Segoe UI" w:hAnsi="Segoe UI"/>
          <w:color w:val="000000" w:themeColor="text1"/>
          <w:szCs w:val="18"/>
        </w:rPr>
        <w:t>Jebkurš pirkums ar servera programmatūras izdevumiem Standard, Enterprise un Datacenter, kam ir SA segums, pēc nepieciešamības var piekļūt elektroniskiem, tīmeklī pieejamiem atbalsta pakalpojumiem. Piekļuve elektroniskā atbalsta vietnēm ir pieejama 24 stundas dienā, 7 dienas nedēļā, lai gan atbildes tiek sniegtas Darba laikā. Darba laika atšķirības dažādos reģionos skatiet iepriekšējā sadaļā „Pa tālruni nodrošinātā atbalsta gadījumi”.</w:t>
      </w:r>
    </w:p>
    <w:p w:rsidR="00A919B7" w:rsidRPr="00483B32" w:rsidRDefault="00A919B7" w:rsidP="00A919B7">
      <w:pPr>
        <w:pStyle w:val="ProductList-Body"/>
        <w:spacing w:before="120" w:after="120"/>
      </w:pPr>
      <w:r>
        <w:rPr>
          <w:rFonts w:ascii="Segoe UI" w:hAnsi="Segoe UI"/>
          <w:color w:val="000000" w:themeColor="text1"/>
          <w:szCs w:val="18"/>
        </w:rPr>
        <w:t xml:space="preserve">Gadījumi, kas pieteikti, zvanot pa Tālruni, risināšanas laikā tiks pieskaitīti pieejamo tālruņa gadījumu bilancei. Gadījumi, kas pieteikti tīmeklī, ir pieejami, kad tas nepieciešams, un tiek vadīti, lietojot tīmekli, e-pastu un citus elektroniskos līdzekļus. Gadījumi, kas pieteikti tīmeklī, vēlāk pēc jūsu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 </w:t>
      </w:r>
    </w:p>
    <w:p w:rsidR="00A919B7" w:rsidRPr="00FE4DED" w:rsidRDefault="00A919B7" w:rsidP="00A919B7">
      <w:pPr>
        <w:pStyle w:val="ProductList-Body"/>
        <w:rPr>
          <w:rFonts w:ascii="Segoe UI" w:hAnsi="Segoe UI"/>
          <w:color w:val="000000" w:themeColor="text1"/>
          <w:szCs w:val="18"/>
        </w:rPr>
      </w:pPr>
      <w:r>
        <w:rPr>
          <w:rFonts w:ascii="Segoe UI" w:hAnsi="Segoe UI"/>
          <w:color w:val="000000" w:themeColor="text1"/>
          <w:szCs w:val="18"/>
        </w:rPr>
        <w:t xml:space="preserve">SA segums ir nepieciešams gan servera programmatūrai, gan saistītajām klienta piekļuves licencēm (Client Access License — CAL), kas paredzētas tīmeklī sniegtā atbalsta gadījumiem. Tīmeklī nodrošinātā problēmu risināšanas atbalsta pieprasījumus jūs drīkstat iesniegt tikai saistībā ar tām licencētajām servera programmatūras kopijām, kurām ir SA segums. Tīmeklī nodrošinātā atbalsta gadījumi nav nododami licenču starpā. </w:t>
      </w:r>
      <w:r w:rsidRPr="00FE4DED">
        <w:rPr>
          <w:rFonts w:ascii="Segoe UI" w:hAnsi="Segoe UI"/>
          <w:color w:val="000000" w:themeColor="text1"/>
          <w:szCs w:val="18"/>
        </w:rPr>
        <w:t>Detalizētu informāciju par licenču piešķiršanu vai atkārtotu piešķiršanu fiziskiem serveriem skatiet Produktu nosacījumi.</w:t>
      </w:r>
    </w:p>
    <w:p w:rsidR="00A919B7" w:rsidRPr="00483B32" w:rsidRDefault="00A919B7" w:rsidP="00A919B7">
      <w:pPr>
        <w:pStyle w:val="Thirdheading"/>
      </w:pPr>
      <w:r>
        <w:rPr>
          <w:b/>
        </w:rPr>
        <w:t>Atbalsta kontaktpersonas</w:t>
      </w:r>
    </w:p>
    <w:p w:rsidR="00A919B7" w:rsidRPr="00483B32" w:rsidRDefault="00A919B7" w:rsidP="00A919B7">
      <w:pPr>
        <w:spacing w:line="240" w:lineRule="auto"/>
      </w:pPr>
      <w:r>
        <w:rPr>
          <w:rFonts w:cs="Tahoma"/>
          <w:color w:val="000000" w:themeColor="text1"/>
          <w:szCs w:val="18"/>
        </w:rPr>
        <w:t xml:space="preserve">Vienā </w:t>
      </w:r>
      <w:r>
        <w:rPr>
          <w:color w:val="000000" w:themeColor="text1"/>
          <w:szCs w:val="18"/>
        </w:rPr>
        <w:t>Iegādes</w:t>
      </w:r>
      <w:r>
        <w:rPr>
          <w:rFonts w:cs="Tahoma"/>
          <w:color w:val="000000" w:themeColor="text1"/>
          <w:szCs w:val="18"/>
        </w:rPr>
        <w:t xml:space="preserve"> kontā atļauto atbalsta kontaktpersonu skaits ir norādīts tālāk. Kontaktpersonas ir personas ar vārdu un uzvārdu, un tās var būt arī personas, kas nestrādā jūsu organizācijā. Kā kontaktpersonas vārdu nav atļauts norādīt organizācijas, departamenta vai grupas nosaukumu.</w:t>
      </w:r>
    </w:p>
    <w:p w:rsidR="00A919B7" w:rsidRPr="00483B32" w:rsidRDefault="00A919B7" w:rsidP="00A919B7">
      <w:pPr>
        <w:spacing w:line="240" w:lineRule="auto"/>
      </w:pPr>
    </w:p>
    <w:tbl>
      <w:tblPr>
        <w:tblW w:w="65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A919B7" w:rsidRPr="005B13F2" w:rsidTr="0019337E">
        <w:trPr>
          <w:trHeight w:val="178"/>
          <w:tblHeader/>
        </w:trPr>
        <w:tc>
          <w:tcPr>
            <w:tcW w:w="4140" w:type="dxa"/>
            <w:shd w:val="clear" w:color="auto" w:fill="8064A2"/>
            <w:vAlign w:val="center"/>
          </w:tcPr>
          <w:p w:rsidR="00A919B7" w:rsidRPr="002123CF" w:rsidRDefault="00A919B7" w:rsidP="0019337E">
            <w:pPr>
              <w:pStyle w:val="ProductList-Body"/>
              <w:rPr>
                <w:rFonts w:ascii="Segoe UI" w:hAnsi="Segoe UI"/>
                <w:color w:val="FFFFFF" w:themeColor="background1"/>
                <w:szCs w:val="18"/>
              </w:rPr>
            </w:pPr>
            <w:r>
              <w:rPr>
                <w:rFonts w:ascii="Segoe UI" w:hAnsi="Segoe UI"/>
                <w:color w:val="FFFFFF" w:themeColor="background1"/>
                <w:szCs w:val="18"/>
              </w:rPr>
              <w:t>Priekšrocības</w:t>
            </w:r>
          </w:p>
        </w:tc>
        <w:tc>
          <w:tcPr>
            <w:tcW w:w="2430" w:type="dxa"/>
            <w:shd w:val="clear" w:color="auto" w:fill="8064A2"/>
            <w:vAlign w:val="center"/>
          </w:tcPr>
          <w:p w:rsidR="00A919B7" w:rsidRPr="002123CF" w:rsidRDefault="00A919B7"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Vienam Iegādes kontam</w:t>
            </w:r>
          </w:p>
        </w:tc>
      </w:tr>
      <w:tr w:rsidR="00A919B7" w:rsidRPr="005B13F2" w:rsidTr="0019337E">
        <w:trPr>
          <w:trHeight w:val="236"/>
        </w:trPr>
        <w:tc>
          <w:tcPr>
            <w:tcW w:w="4140" w:type="dxa"/>
            <w:vAlign w:val="cente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Problēmu risināšanas atbalsta pa tālruni kontaktpersonu skaits</w:t>
            </w:r>
          </w:p>
        </w:tc>
        <w:tc>
          <w:tcPr>
            <w:tcW w:w="2430"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Pēc nepieciešamības</w:t>
            </w:r>
          </w:p>
        </w:tc>
      </w:tr>
      <w:tr w:rsidR="00A919B7" w:rsidRPr="005B13F2" w:rsidTr="0019337E">
        <w:trPr>
          <w:trHeight w:val="236"/>
        </w:trPr>
        <w:tc>
          <w:tcPr>
            <w:tcW w:w="4140" w:type="dxa"/>
            <w:vAlign w:val="cente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Pilnvarotu tīmeklī nodrošinātā atbalsta kontaktpersonu skaits</w:t>
            </w:r>
          </w:p>
        </w:tc>
        <w:tc>
          <w:tcPr>
            <w:tcW w:w="2430" w:type="dxa"/>
            <w:vAlign w:val="center"/>
          </w:tcPr>
          <w:p w:rsidR="00A919B7" w:rsidRPr="002123CF" w:rsidRDefault="00A919B7"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A919B7" w:rsidRPr="00483B32" w:rsidRDefault="00A919B7" w:rsidP="00A919B7">
      <w:pPr>
        <w:pStyle w:val="Thirdheading"/>
      </w:pPr>
      <w:bookmarkStart w:id="48" w:name="_Toc240899166"/>
      <w:r>
        <w:rPr>
          <w:b/>
        </w:rPr>
        <w:t>Pakalpojumu līmenis Software Assurance klientiem</w:t>
      </w:r>
      <w:bookmarkEnd w:id="48"/>
    </w:p>
    <w:p w:rsidR="00A919B7" w:rsidRPr="00483B32" w:rsidRDefault="00A919B7" w:rsidP="00A919B7">
      <w:pPr>
        <w:pStyle w:val="ProductList-Body"/>
      </w:pPr>
      <w:r>
        <w:rPr>
          <w:rFonts w:ascii="Segoe UI" w:hAnsi="Segoe UI"/>
          <w:color w:val="000000" w:themeColor="text1"/>
          <w:szCs w:val="18"/>
        </w:rPr>
        <w:t>Jūsu organizācijas nozīmētās kontaktpersonas var pieteikt atbalsta pieprasījumu pa tālruni vai iesniegt šādu pieprasījumu elektroniski, izņemot gadījumu, kad problēmas kritiskuma pakāpe ir A un B — tādā gadījumā atbalsta pieprasījums ir jāpiesaka pa tālāk norādīto tālruni. Jums ir jānorāda problēmas sākotnējais nozīmīguma līmenis (konsultējoties ar mums). Jūs jebkurā laikā varat mainīt problēmas sākotnējo nozīmīguma līmeni. Paredzamais atbildes laiks katram nozīmīguma līmenim un jūsu pienākumi ir noteikti tālāk sniegtajā tabulā.</w:t>
      </w:r>
    </w:p>
    <w:p w:rsidR="00A919B7" w:rsidRPr="00483B32" w:rsidRDefault="00A919B7" w:rsidP="00A919B7">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A919B7" w:rsidRPr="00717EC0" w:rsidTr="0019337E">
        <w:trPr>
          <w:trHeight w:val="160"/>
          <w:tblHeader/>
        </w:trPr>
        <w:tc>
          <w:tcPr>
            <w:tcW w:w="1170" w:type="dxa"/>
            <w:shd w:val="clear" w:color="auto" w:fill="FFC000" w:themeFill="accent4"/>
            <w:tcMar>
              <w:top w:w="0" w:type="dxa"/>
              <w:left w:w="108" w:type="dxa"/>
              <w:bottom w:w="0" w:type="dxa"/>
              <w:right w:w="108" w:type="dxa"/>
            </w:tcMar>
            <w:vAlign w:val="center"/>
          </w:tcPr>
          <w:p w:rsidR="00A919B7" w:rsidRPr="002123CF" w:rsidRDefault="00A919B7"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Kritiskuma pakāpe</w:t>
            </w:r>
          </w:p>
        </w:tc>
        <w:tc>
          <w:tcPr>
            <w:tcW w:w="2790" w:type="dxa"/>
            <w:shd w:val="clear" w:color="auto" w:fill="FFC000" w:themeFill="accent4"/>
            <w:tcMar>
              <w:top w:w="0" w:type="dxa"/>
              <w:left w:w="108" w:type="dxa"/>
              <w:bottom w:w="0" w:type="dxa"/>
              <w:right w:w="108" w:type="dxa"/>
            </w:tcMar>
            <w:vAlign w:val="center"/>
          </w:tcPr>
          <w:p w:rsidR="00A919B7" w:rsidRPr="002123CF" w:rsidRDefault="00A919B7"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Situācija</w:t>
            </w:r>
          </w:p>
        </w:tc>
        <w:tc>
          <w:tcPr>
            <w:tcW w:w="3690" w:type="dxa"/>
            <w:shd w:val="clear" w:color="auto" w:fill="FFC000" w:themeFill="accent4"/>
            <w:tcMar>
              <w:top w:w="0" w:type="dxa"/>
              <w:left w:w="108" w:type="dxa"/>
              <w:bottom w:w="0" w:type="dxa"/>
              <w:right w:w="108" w:type="dxa"/>
            </w:tcMar>
            <w:vAlign w:val="center"/>
          </w:tcPr>
          <w:p w:rsidR="00A919B7" w:rsidRPr="002123CF" w:rsidRDefault="00A919B7"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Mūsu sagaidāmā rīcība</w:t>
            </w:r>
          </w:p>
        </w:tc>
        <w:tc>
          <w:tcPr>
            <w:tcW w:w="2880" w:type="dxa"/>
            <w:shd w:val="clear" w:color="auto" w:fill="FFC000" w:themeFill="accent4"/>
            <w:tcMar>
              <w:top w:w="0" w:type="dxa"/>
              <w:left w:w="108" w:type="dxa"/>
              <w:bottom w:w="0" w:type="dxa"/>
              <w:right w:w="108" w:type="dxa"/>
            </w:tcMar>
            <w:vAlign w:val="center"/>
          </w:tcPr>
          <w:p w:rsidR="00A919B7" w:rsidRPr="002123CF" w:rsidRDefault="00A919B7"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Jūsu sagaidāmā rīcība</w:t>
            </w:r>
          </w:p>
        </w:tc>
      </w:tr>
      <w:tr w:rsidR="00A919B7" w:rsidRPr="00717EC0" w:rsidTr="0019337E">
        <w:tc>
          <w:tcPr>
            <w:tcW w:w="1170" w:type="dxa"/>
            <w:tcMar>
              <w:top w:w="0" w:type="dxa"/>
              <w:left w:w="108" w:type="dxa"/>
              <w:bottom w:w="0" w:type="dxa"/>
              <w:right w:w="108" w:type="dxa"/>
            </w:tcMa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 xml:space="preserve">A. Iesniegšana pa tālruni </w:t>
            </w:r>
          </w:p>
        </w:tc>
        <w:tc>
          <w:tcPr>
            <w:tcW w:w="2790" w:type="dxa"/>
            <w:tcMar>
              <w:top w:w="0" w:type="dxa"/>
              <w:left w:w="108" w:type="dxa"/>
              <w:bottom w:w="0" w:type="dxa"/>
              <w:right w:w="108" w:type="dxa"/>
            </w:tcMar>
          </w:tcPr>
          <w:p w:rsidR="00A919B7" w:rsidRPr="00483B32" w:rsidRDefault="00A919B7" w:rsidP="0019337E">
            <w:pPr>
              <w:pStyle w:val="ProductList-Body"/>
            </w:pPr>
            <w:r>
              <w:rPr>
                <w:rFonts w:ascii="Segoe UI" w:hAnsi="Segoe UI"/>
                <w:color w:val="000000" w:themeColor="text1"/>
                <w:szCs w:val="18"/>
              </w:rPr>
              <w:t xml:space="preserve">Kritiska ietekme uz komercdarbību: </w:t>
            </w:r>
          </w:p>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Ievērojams zudums vai pakalpojumu degradācija jūsu uzņēmumam</w:t>
            </w:r>
          </w:p>
        </w:tc>
        <w:tc>
          <w:tcPr>
            <w:tcW w:w="3690" w:type="dxa"/>
            <w:tcMar>
              <w:top w:w="0" w:type="dxa"/>
              <w:left w:w="108" w:type="dxa"/>
              <w:bottom w:w="0" w:type="dxa"/>
              <w:right w:w="108" w:type="dxa"/>
            </w:tcMar>
          </w:tcPr>
          <w:p w:rsidR="00A919B7" w:rsidRPr="00483B32" w:rsidRDefault="00A919B7" w:rsidP="0019337E">
            <w:pPr>
              <w:pStyle w:val="ProductList-Body"/>
            </w:pPr>
            <w:r>
              <w:rPr>
                <w:rFonts w:ascii="Segoe UI" w:hAnsi="Segoe UI"/>
                <w:color w:val="000000" w:themeColor="text1"/>
                <w:szCs w:val="18"/>
              </w:rPr>
              <w:t>Atkarībā no atbalsta piedāvājuma atbilde uz 1. ziņojumu 2 stundu laikā vai ātrāk</w:t>
            </w:r>
          </w:p>
          <w:p w:rsidR="00A919B7" w:rsidRPr="00483B32" w:rsidRDefault="00A919B7" w:rsidP="0019337E">
            <w:pPr>
              <w:pStyle w:val="ProductList-Body"/>
            </w:pPr>
            <w:r>
              <w:rPr>
                <w:rFonts w:ascii="Segoe UI" w:hAnsi="Segoe UI"/>
                <w:color w:val="000000" w:themeColor="text1"/>
                <w:szCs w:val="18"/>
              </w:rPr>
              <w:t>Korporācijas Microsoft resursi notikuma vietā saskaņā ar pieprasījumu.</w:t>
            </w:r>
          </w:p>
          <w:p w:rsidR="00A919B7" w:rsidRPr="00483B32" w:rsidRDefault="00A919B7" w:rsidP="0019337E">
            <w:pPr>
              <w:pStyle w:val="ProductList-Body"/>
            </w:pPr>
            <w:r>
              <w:rPr>
                <w:rFonts w:ascii="Segoe UI" w:hAnsi="Segoe UI"/>
                <w:color w:val="000000" w:themeColor="text1"/>
                <w:szCs w:val="18"/>
              </w:rPr>
              <w:t>Turpmāks darbs 24x7</w:t>
            </w:r>
          </w:p>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Atkarībā no atbalsta piedāvājuma korporācijas Microsoft galvenā vadītāja ziņojums</w:t>
            </w:r>
          </w:p>
        </w:tc>
        <w:tc>
          <w:tcPr>
            <w:tcW w:w="2880" w:type="dxa"/>
            <w:tcMar>
              <w:top w:w="0" w:type="dxa"/>
              <w:left w:w="108" w:type="dxa"/>
              <w:bottom w:w="0" w:type="dxa"/>
              <w:right w:w="108" w:type="dxa"/>
            </w:tcMar>
          </w:tcPr>
          <w:p w:rsidR="00A919B7" w:rsidRPr="00483B32" w:rsidRDefault="00A919B7" w:rsidP="0019337E">
            <w:pPr>
              <w:pStyle w:val="ProductList-Body"/>
            </w:pPr>
            <w:r>
              <w:rPr>
                <w:rFonts w:ascii="Segoe UI" w:hAnsi="Segoe UI"/>
                <w:color w:val="000000" w:themeColor="text1"/>
                <w:szCs w:val="18"/>
              </w:rPr>
              <w:t>Piemērotu resursu piešķiršana, lai turpinātu darbu pēc principa „24x7”</w:t>
            </w:r>
            <w:r>
              <w:rPr>
                <w:rFonts w:ascii="Segoe UI" w:hAnsi="Segoe UI"/>
                <w:color w:val="000000" w:themeColor="text1"/>
                <w:szCs w:val="18"/>
                <w:vertAlign w:val="superscript"/>
              </w:rPr>
              <w:t>2</w:t>
            </w:r>
          </w:p>
          <w:p w:rsidR="00A919B7" w:rsidRPr="00483B32" w:rsidRDefault="00A919B7" w:rsidP="0019337E">
            <w:pPr>
              <w:pStyle w:val="ProductList-Body"/>
            </w:pPr>
            <w:r>
              <w:rPr>
                <w:rFonts w:ascii="Segoe UI" w:hAnsi="Segoe UI"/>
                <w:color w:val="000000" w:themeColor="text1"/>
                <w:szCs w:val="18"/>
              </w:rPr>
              <w:t>Ātra pieeja un atbilde no izmaiņu vadības iestādes</w:t>
            </w:r>
          </w:p>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Vadības ziņojums</w:t>
            </w:r>
          </w:p>
        </w:tc>
      </w:tr>
      <w:tr w:rsidR="00A919B7" w:rsidRPr="00717EC0" w:rsidTr="0019337E">
        <w:tc>
          <w:tcPr>
            <w:tcW w:w="1170" w:type="dxa"/>
            <w:tcMar>
              <w:top w:w="0" w:type="dxa"/>
              <w:left w:w="108" w:type="dxa"/>
              <w:bottom w:w="0" w:type="dxa"/>
              <w:right w:w="108" w:type="dxa"/>
            </w:tcMa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lastRenderedPageBreak/>
              <w:t xml:space="preserve">B. Iesniegšana pa tālruni </w:t>
            </w:r>
          </w:p>
        </w:tc>
        <w:tc>
          <w:tcPr>
            <w:tcW w:w="2790" w:type="dxa"/>
            <w:tcMar>
              <w:top w:w="0" w:type="dxa"/>
              <w:left w:w="108" w:type="dxa"/>
              <w:bottom w:w="0" w:type="dxa"/>
              <w:right w:w="108" w:type="dxa"/>
            </w:tcMar>
          </w:tcPr>
          <w:p w:rsidR="00A919B7" w:rsidRPr="00483B32" w:rsidRDefault="00A919B7" w:rsidP="0019337E">
            <w:pPr>
              <w:pStyle w:val="ProductList-Body"/>
            </w:pPr>
            <w:r>
              <w:rPr>
                <w:rFonts w:ascii="Segoe UI" w:hAnsi="Segoe UI"/>
                <w:color w:val="000000" w:themeColor="text1"/>
                <w:szCs w:val="18"/>
              </w:rPr>
              <w:t xml:space="preserve">Vidēja ietekme uz komercdarbību: </w:t>
            </w:r>
          </w:p>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Vidējs zudums vai pakalpojumu degradācija jūsu uzņēmumam, bet darbu samērīgi var turpināt sliktākā līmenī.</w:t>
            </w:r>
          </w:p>
        </w:tc>
        <w:tc>
          <w:tcPr>
            <w:tcW w:w="3690" w:type="dxa"/>
            <w:tcMar>
              <w:top w:w="0" w:type="dxa"/>
              <w:left w:w="108" w:type="dxa"/>
              <w:bottom w:w="0" w:type="dxa"/>
              <w:right w:w="108" w:type="dxa"/>
            </w:tcMar>
          </w:tcPr>
          <w:p w:rsidR="00A919B7" w:rsidRPr="00483B32" w:rsidRDefault="00A919B7" w:rsidP="0019337E">
            <w:pPr>
              <w:pStyle w:val="ProductList-Body"/>
            </w:pPr>
            <w:r>
              <w:rPr>
                <w:rFonts w:ascii="Segoe UI" w:hAnsi="Segoe UI"/>
                <w:color w:val="000000" w:themeColor="text1"/>
                <w:szCs w:val="18"/>
              </w:rPr>
              <w:t>Atkarībā no atbalsta piedāvājuma atbilde uz 1. ziņojumu 4 stundu laikā vai ātrāk</w:t>
            </w:r>
          </w:p>
          <w:p w:rsidR="00A919B7" w:rsidRPr="00483B32" w:rsidRDefault="00A919B7" w:rsidP="0019337E">
            <w:pPr>
              <w:pStyle w:val="ProductList-Body"/>
            </w:pPr>
            <w:r>
              <w:rPr>
                <w:rFonts w:ascii="Segoe UI" w:hAnsi="Segoe UI"/>
                <w:color w:val="000000" w:themeColor="text1"/>
                <w:szCs w:val="18"/>
              </w:rPr>
              <w:t>Atbalsts</w:t>
            </w:r>
            <w:r>
              <w:rPr>
                <w:rFonts w:ascii="Segoe UI" w:hAnsi="Segoe UI"/>
                <w:color w:val="000000" w:themeColor="text1"/>
                <w:szCs w:val="18"/>
                <w:vertAlign w:val="superscript"/>
              </w:rPr>
              <w:t>1</w:t>
            </w:r>
            <w:r>
              <w:rPr>
                <w:rFonts w:ascii="Segoe UI" w:hAnsi="Segoe UI"/>
                <w:color w:val="000000" w:themeColor="text1"/>
                <w:szCs w:val="18"/>
              </w:rPr>
              <w:t xml:space="preserve"> tikai</w:t>
            </w:r>
            <w:r>
              <w:t xml:space="preserve"> </w:t>
            </w:r>
            <w:r w:rsidRPr="001D4301">
              <w:rPr>
                <w:rFonts w:ascii="Segoe UI" w:hAnsi="Segoe UI"/>
                <w:color w:val="000000" w:themeColor="text1"/>
                <w:szCs w:val="18"/>
              </w:rPr>
              <w:t>darba laikā</w:t>
            </w:r>
          </w:p>
          <w:p w:rsidR="00A919B7" w:rsidRPr="002123CF" w:rsidRDefault="00A919B7"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A919B7" w:rsidRPr="00483B32" w:rsidRDefault="00A919B7" w:rsidP="0019337E">
            <w:pPr>
              <w:pStyle w:val="ProductList-Body"/>
            </w:pPr>
            <w:r>
              <w:rPr>
                <w:rFonts w:ascii="Segoe UI" w:hAnsi="Segoe UI"/>
                <w:color w:val="000000" w:themeColor="text1"/>
                <w:szCs w:val="18"/>
              </w:rPr>
              <w:t>Piemērotu resursu piešķiršana, lai turpinātu darbu darba laikā</w:t>
            </w:r>
            <w:r>
              <w:rPr>
                <w:rFonts w:ascii="Segoe UI" w:hAnsi="Segoe UI"/>
                <w:color w:val="000000" w:themeColor="text1"/>
                <w:szCs w:val="18"/>
                <w:vertAlign w:val="superscript"/>
              </w:rPr>
              <w:t>1</w:t>
            </w:r>
            <w:r>
              <w:rPr>
                <w:rFonts w:ascii="Segoe UI" w:hAnsi="Segoe UI"/>
                <w:color w:val="000000" w:themeColor="text1"/>
                <w:szCs w:val="18"/>
              </w:rPr>
              <w:t xml:space="preserve"> Turpmāks darbs</w:t>
            </w:r>
          </w:p>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Piekļuve un atbilde no izmaiņu vadības iestādes 4 stundu laikā (darba laikā)</w:t>
            </w:r>
            <w:r>
              <w:rPr>
                <w:rFonts w:ascii="Segoe UI" w:hAnsi="Segoe UI"/>
                <w:color w:val="000000" w:themeColor="text1"/>
                <w:szCs w:val="18"/>
                <w:vertAlign w:val="superscript"/>
              </w:rPr>
              <w:t>1</w:t>
            </w:r>
          </w:p>
        </w:tc>
      </w:tr>
      <w:tr w:rsidR="00A919B7" w:rsidRPr="00717EC0" w:rsidTr="0019337E">
        <w:tc>
          <w:tcPr>
            <w:tcW w:w="1170" w:type="dxa"/>
            <w:tcMar>
              <w:top w:w="0" w:type="dxa"/>
              <w:left w:w="108" w:type="dxa"/>
              <w:bottom w:w="0" w:type="dxa"/>
              <w:right w:w="108" w:type="dxa"/>
            </w:tcMa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C. Iesniegšana pa tālruni vai tīmeklī</w:t>
            </w:r>
          </w:p>
        </w:tc>
        <w:tc>
          <w:tcPr>
            <w:tcW w:w="2790" w:type="dxa"/>
            <w:tcMar>
              <w:top w:w="0" w:type="dxa"/>
              <w:left w:w="108" w:type="dxa"/>
              <w:bottom w:w="0" w:type="dxa"/>
              <w:right w:w="108" w:type="dxa"/>
            </w:tcMar>
          </w:tcPr>
          <w:p w:rsidR="00A919B7" w:rsidRPr="00483B32" w:rsidRDefault="00A919B7" w:rsidP="0019337E">
            <w:pPr>
              <w:pStyle w:val="ProductList-Body"/>
            </w:pPr>
            <w:r>
              <w:rPr>
                <w:rFonts w:ascii="Segoe UI" w:hAnsi="Segoe UI"/>
                <w:color w:val="000000" w:themeColor="text1"/>
                <w:szCs w:val="18"/>
              </w:rPr>
              <w:t xml:space="preserve">Minimāla ietekme uz komercdarbību: </w:t>
            </w:r>
          </w:p>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Jūsu uzņēmums būtībā darbojas ar nelieliem pakalpojumu traucējumiem vai bez tiem.</w:t>
            </w:r>
          </w:p>
        </w:tc>
        <w:tc>
          <w:tcPr>
            <w:tcW w:w="3690" w:type="dxa"/>
            <w:tcMar>
              <w:top w:w="0" w:type="dxa"/>
              <w:left w:w="108" w:type="dxa"/>
              <w:bottom w:w="0" w:type="dxa"/>
              <w:right w:w="108" w:type="dxa"/>
            </w:tcMar>
          </w:tcPr>
          <w:p w:rsidR="00A919B7" w:rsidRPr="00483B32" w:rsidRDefault="00A919B7" w:rsidP="0019337E">
            <w:pPr>
              <w:pStyle w:val="ProductList-Body"/>
            </w:pPr>
            <w:r>
              <w:rPr>
                <w:rFonts w:ascii="Segoe UI" w:hAnsi="Segoe UI"/>
                <w:color w:val="000000" w:themeColor="text1"/>
                <w:szCs w:val="18"/>
              </w:rPr>
              <w:t>Atkarībā no atbalsta piedāvājuma atbilde uz 1. ziņojumu vienas darba dienas laikā vai ātrāk</w:t>
            </w:r>
          </w:p>
          <w:p w:rsidR="00A919B7" w:rsidRPr="00483B32" w:rsidRDefault="00A919B7" w:rsidP="0019337E">
            <w:pPr>
              <w:pStyle w:val="ProductList-Body"/>
            </w:pPr>
            <w:r>
              <w:rPr>
                <w:rFonts w:ascii="Segoe UI" w:hAnsi="Segoe UI"/>
                <w:color w:val="000000" w:themeColor="text1"/>
                <w:szCs w:val="18"/>
              </w:rPr>
              <w:t>Atbalsts</w:t>
            </w:r>
            <w:r>
              <w:rPr>
                <w:rFonts w:ascii="Segoe UI" w:hAnsi="Segoe UI"/>
                <w:color w:val="000000" w:themeColor="text1"/>
                <w:szCs w:val="18"/>
                <w:vertAlign w:val="superscript"/>
              </w:rPr>
              <w:t>1</w:t>
            </w:r>
            <w:r>
              <w:rPr>
                <w:rFonts w:ascii="Segoe UI" w:hAnsi="Segoe UI"/>
                <w:color w:val="000000" w:themeColor="text1"/>
                <w:szCs w:val="18"/>
              </w:rPr>
              <w:t xml:space="preserve"> tikai</w:t>
            </w:r>
            <w:r>
              <w:t xml:space="preserve"> </w:t>
            </w:r>
            <w:r w:rsidRPr="001D4301">
              <w:rPr>
                <w:rFonts w:ascii="Segoe UI" w:hAnsi="Segoe UI"/>
                <w:color w:val="000000" w:themeColor="text1"/>
                <w:szCs w:val="18"/>
              </w:rPr>
              <w:t>darba laikā</w:t>
            </w:r>
          </w:p>
          <w:p w:rsidR="00A919B7" w:rsidRPr="002123CF" w:rsidRDefault="00A919B7"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A919B7" w:rsidRPr="00483B32" w:rsidRDefault="00A919B7" w:rsidP="0019337E">
            <w:pPr>
              <w:pStyle w:val="ProductList-Body"/>
            </w:pPr>
            <w:r>
              <w:rPr>
                <w:rFonts w:ascii="Segoe UI" w:hAnsi="Segoe UI"/>
                <w:color w:val="000000" w:themeColor="text1"/>
                <w:szCs w:val="18"/>
              </w:rPr>
              <w:t>Precīza kontaktinformācija par pieteicēju.</w:t>
            </w:r>
          </w:p>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Atbilde vienas darba dienas laikā.</w:t>
            </w:r>
          </w:p>
        </w:tc>
      </w:tr>
    </w:tbl>
    <w:p w:rsidR="00A919B7" w:rsidRPr="00483B32" w:rsidRDefault="00A919B7" w:rsidP="00A919B7">
      <w:pPr>
        <w:pStyle w:val="ProductList-Body"/>
        <w:tabs>
          <w:tab w:val="clear" w:pos="158"/>
          <w:tab w:val="left" w:pos="180"/>
        </w:tabs>
      </w:pPr>
      <w:r>
        <w:rPr>
          <w:rFonts w:ascii="Segoe UI" w:hAnsi="Segoe UI"/>
          <w:color w:val="000000" w:themeColor="text1"/>
          <w:szCs w:val="18"/>
        </w:rPr>
        <w:t>1 Lai uzzinātu darba laiku jūsu valstī, sazinieties ar korporācijas Microsoft pārstāvi.</w:t>
      </w:r>
    </w:p>
    <w:p w:rsidR="00A919B7" w:rsidRPr="00483B32" w:rsidRDefault="00A919B7" w:rsidP="00A919B7">
      <w:pPr>
        <w:pStyle w:val="ProductList-Body"/>
        <w:tabs>
          <w:tab w:val="clear" w:pos="158"/>
          <w:tab w:val="left" w:pos="180"/>
        </w:tabs>
      </w:pPr>
      <w:r>
        <w:rPr>
          <w:rFonts w:ascii="Segoe UI" w:hAnsi="Segoe UI"/>
          <w:color w:val="000000" w:themeColor="text1"/>
          <w:szCs w:val="18"/>
        </w:rPr>
        <w:t>2 Mums, iespējams, būs nepieciešams pazemināt kritiskuma pakāpi, ja nespēsit sniegt atbilstošus resursus vai atbildes, lai Mēs varētu turpināt problēmas risināšanu.</w:t>
      </w:r>
    </w:p>
    <w:p w:rsidR="00A919B7" w:rsidRPr="00483B32" w:rsidRDefault="00A919B7" w:rsidP="00A919B7">
      <w:pPr>
        <w:pStyle w:val="ProductList-Body"/>
        <w:spacing w:before="120" w:after="120"/>
      </w:pPr>
      <w:r>
        <w:rPr>
          <w:rFonts w:ascii="Segoe UI" w:hAnsi="Segoe UI"/>
          <w:color w:val="000000" w:themeColor="text1"/>
          <w:szCs w:val="18"/>
        </w:rPr>
        <w:t xml:space="preserve">Jums pēc mūsu pieprasījuma, iespējams, būs jāveic problēmas konstatēšanas un risināšanas darbības, piemēram, tīmekļa trasēšana, kļūdas paziņojumu tveršana, konfigurācijas informācijas apkopošana, produkta konfigurāciju maiņa, jaunu programmatūras versiju vai jaunu komponentu instalēšana vai procesu modificēšana. </w:t>
      </w:r>
    </w:p>
    <w:p w:rsidR="00A919B7" w:rsidRPr="00483B32" w:rsidRDefault="00A919B7" w:rsidP="00A919B7">
      <w:pPr>
        <w:pStyle w:val="ProductList-Body"/>
      </w:pPr>
      <w:r>
        <w:rPr>
          <w:rFonts w:ascii="Segoe UI" w:hAnsi="Segoe UI"/>
          <w:color w:val="000000" w:themeColor="text1"/>
          <w:szCs w:val="18"/>
        </w:rPr>
        <w:t>Jūs esat atbildīgs par nepieciešamo procedūru izpildi, lai pasargātu savas programmatūras un datu integritāti un drošību pret neatļautu piekļuvi un lai rekonstruētu failus, kas ir zuduši vai mainīti katastrofālu kļūmju rezultātā.</w:t>
      </w:r>
    </w:p>
    <w:p w:rsidR="00A919B7" w:rsidRPr="00483B32" w:rsidRDefault="00A919B7" w:rsidP="00A919B7">
      <w:pPr>
        <w:pStyle w:val="ProductList-Body"/>
      </w:pPr>
      <w:r>
        <w:rPr>
          <w:rFonts w:ascii="Segoe UI" w:hAnsi="Segoe UI"/>
          <w:color w:val="000000" w:themeColor="text1"/>
          <w:szCs w:val="18"/>
        </w:rPr>
        <w:t xml:space="preserve">Šī atbalsta priekšrocība ir saistīta ar SA ieguldījumu, nevis versiju. </w:t>
      </w:r>
    </w:p>
    <w:p w:rsidR="00A919B7" w:rsidRPr="00483B32" w:rsidRDefault="00A919B7" w:rsidP="00A919B7">
      <w:pPr>
        <w:pStyle w:val="Hdg1noborder"/>
        <w:spacing w:before="120"/>
        <w:rPr>
          <w:rFonts w:eastAsiaTheme="majorEastAsia"/>
        </w:rPr>
      </w:pPr>
      <w:bookmarkStart w:id="49" w:name="_New_Version_Rights_1"/>
      <w:bookmarkStart w:id="50" w:name="_Toc403380306"/>
      <w:bookmarkStart w:id="51" w:name="_Toc403985024"/>
      <w:bookmarkStart w:id="52" w:name="_Toc428279669"/>
      <w:bookmarkEnd w:id="49"/>
      <w:r>
        <w:rPr>
          <w:rFonts w:asciiTheme="majorHAnsi" w:eastAsiaTheme="majorEastAsia" w:hAnsiTheme="majorHAnsi" w:cstheme="majorBidi"/>
          <w:bCs/>
          <w:color w:val="FFC000" w:themeColor="accent4"/>
          <w:sz w:val="28"/>
          <w:szCs w:val="26"/>
        </w:rPr>
        <w:t>Kvalificēto produktu priekšrocības</w:t>
      </w:r>
      <w:bookmarkEnd w:id="50"/>
      <w:bookmarkEnd w:id="51"/>
      <w:bookmarkEnd w:id="52"/>
    </w:p>
    <w:p w:rsidR="00A919B7" w:rsidRPr="00483B32" w:rsidRDefault="00A919B7" w:rsidP="00A919B7">
      <w:pPr>
        <w:pStyle w:val="Heading2"/>
      </w:pPr>
      <w:bookmarkStart w:id="53" w:name="_Jaunas_versijas_tiesības"/>
      <w:bookmarkStart w:id="54" w:name="_Toc403380307"/>
      <w:bookmarkStart w:id="55" w:name="_Toc403985025"/>
      <w:bookmarkStart w:id="56" w:name="_Toc428279670"/>
      <w:bookmarkEnd w:id="53"/>
      <w:r>
        <w:t>Jaunas versijas tiesības</w:t>
      </w:r>
      <w:bookmarkEnd w:id="54"/>
      <w:bookmarkEnd w:id="55"/>
      <w:bookmarkEnd w:id="56"/>
    </w:p>
    <w:p w:rsidR="00A919B7" w:rsidRPr="00483B32" w:rsidRDefault="00A919B7" w:rsidP="00A919B7">
      <w:pPr>
        <w:pStyle w:val="ProductList-Body"/>
      </w:pPr>
      <w:r>
        <w:rPr>
          <w:rFonts w:ascii="Segoe UI" w:hAnsi="Segoe UI"/>
          <w:color w:val="000000" w:themeColor="text1"/>
          <w:szCs w:val="18"/>
        </w:rPr>
        <w:t>Jaunas versijas tiesības nozīmē, ka visiem pamata licencētajiem Produktiem, kam ir pasūtīts SA segums, ir tiesības veikt jaunināšanu un pamata licencētā Produkta vietā ir tiesības darbināt jaunāko šī Produkta versiju, kas ir pieejama segtajā periodā. Uz jaunās versijas lietošanu attiecas tās versijas licences nosacījumi. Ja pastāvīgās licences iegādājāties, izmantojot SA, pēc sava seguma darbības beigām drīkst izvietot atjauninājumus.</w:t>
      </w:r>
    </w:p>
    <w:p w:rsidR="00A919B7" w:rsidRPr="00483B32" w:rsidRDefault="00A919B7" w:rsidP="00A919B7">
      <w:pPr>
        <w:pStyle w:val="Heading2"/>
      </w:pPr>
      <w:bookmarkStart w:id="57" w:name="_Office_Multi_Language_1"/>
      <w:bookmarkStart w:id="58" w:name="_Toc403380308"/>
      <w:bookmarkStart w:id="59" w:name="_Toc403985026"/>
      <w:bookmarkStart w:id="60" w:name="_Toc428279671"/>
      <w:bookmarkEnd w:id="57"/>
      <w:r>
        <w:t>Office Multi Language Pack</w:t>
      </w:r>
      <w:bookmarkEnd w:id="58"/>
      <w:bookmarkEnd w:id="59"/>
      <w:bookmarkEnd w:id="60"/>
    </w:p>
    <w:p w:rsidR="00A919B7" w:rsidRPr="00483B32" w:rsidRDefault="00A919B7" w:rsidP="00A919B7">
      <w:pPr>
        <w:pStyle w:val="ProductList-Body"/>
      </w:pPr>
      <w:r>
        <w:rPr>
          <w:rFonts w:ascii="Segoe UI" w:hAnsi="Segoe UI"/>
          <w:color w:val="000000" w:themeColor="text1"/>
          <w:szCs w:val="18"/>
        </w:rPr>
        <w:t>Šī priekšrocība sniedz jums iespēju izmantot visjaunāko Office Multi Language Pack versiju kopā ar Office System programmatūras kopijām (skatiet tālāk redzamo tabulu), ko jums ir atļauts izmantot saskaņā ar pamata licencēm. Ja saskaņā ar iegūto licenci jums ir tiesības izmantot programmatūru, jums ir tiesības šai programmatūrai lietot pakotnes Office Multi Language Pack. Pakotnes Office Multi Language Pack lietošanas tiesības beidzas, kad beidz darboties tiesības saskaņā ar iegūto Office System licenci.</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A919B7" w:rsidRPr="00717EC0" w:rsidTr="0019337E">
        <w:trPr>
          <w:trHeight w:val="60"/>
          <w:tblHeader/>
        </w:trPr>
        <w:tc>
          <w:tcPr>
            <w:tcW w:w="10800" w:type="dxa"/>
            <w:gridSpan w:val="3"/>
            <w:shd w:val="clear" w:color="auto" w:fill="FFC000" w:themeFill="accent4"/>
            <w:vAlign w:val="center"/>
          </w:tcPr>
          <w:p w:rsidR="00A919B7" w:rsidRPr="002123CF" w:rsidRDefault="00A919B7" w:rsidP="0019337E">
            <w:pPr>
              <w:pStyle w:val="ProductList-Body"/>
              <w:rPr>
                <w:rFonts w:ascii="Segoe UI" w:hAnsi="Segoe UI"/>
                <w:color w:val="000000" w:themeColor="text1"/>
                <w:szCs w:val="18"/>
              </w:rPr>
            </w:pPr>
            <w:r>
              <w:rPr>
                <w:rFonts w:ascii="Segoe UI" w:hAnsi="Segoe UI"/>
                <w:color w:val="FFFFFF" w:themeColor="background1"/>
                <w:szCs w:val="18"/>
              </w:rPr>
              <w:t>Office System lietojumprogrammas pūla produkti</w:t>
            </w:r>
          </w:p>
        </w:tc>
      </w:tr>
      <w:tr w:rsidR="00A919B7" w:rsidRPr="00717EC0" w:rsidTr="0019337E">
        <w:trPr>
          <w:trHeight w:val="438"/>
        </w:trPr>
        <w:tc>
          <w:tcPr>
            <w:tcW w:w="3600" w:type="dxa"/>
          </w:tcPr>
          <w:p w:rsidR="00A919B7" w:rsidRPr="00483B32" w:rsidRDefault="00A919B7"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A919B7" w:rsidRPr="00483B32" w:rsidRDefault="00A919B7"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A919B7" w:rsidRPr="00483B32" w:rsidRDefault="00A919B7"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A919B7" w:rsidRPr="00483B32" w:rsidRDefault="00A919B7"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A919B7" w:rsidRPr="00483B32" w:rsidRDefault="00A919B7"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A919B7" w:rsidRPr="00483B32" w:rsidRDefault="00A919B7" w:rsidP="0019337E">
            <w:pPr>
              <w:pStyle w:val="ProductList-Body"/>
            </w:pPr>
            <w:r>
              <w:rPr>
                <w:rFonts w:ascii="Segoe UI" w:hAnsi="Segoe UI"/>
                <w:color w:val="000000" w:themeColor="text1"/>
                <w:szCs w:val="18"/>
              </w:rPr>
              <w:t>Access 2013</w:t>
            </w:r>
            <w:r>
              <w:fldChar w:fldCharType="begin"/>
            </w:r>
            <w:r>
              <w:instrText>XE "Access 2013"</w:instrText>
            </w:r>
            <w:r>
              <w:fldChar w:fldCharType="end"/>
            </w:r>
          </w:p>
          <w:p w:rsidR="00A919B7" w:rsidRPr="00483B32" w:rsidRDefault="00A919B7"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A919B7" w:rsidRPr="00483B32" w:rsidRDefault="00A919B7"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A919B7" w:rsidRPr="00483B32" w:rsidRDefault="00A919B7"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A919B7" w:rsidRPr="00483B32" w:rsidRDefault="00A919B7"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A919B7" w:rsidRPr="00483B32" w:rsidRDefault="00A919B7"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A919B7" w:rsidRPr="00483B32" w:rsidRDefault="00A919B7"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A919B7" w:rsidRPr="00483B32" w:rsidRDefault="00A919B7"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A919B7" w:rsidRPr="00483B32" w:rsidRDefault="00A919B7" w:rsidP="0019337E">
            <w:pPr>
              <w:pStyle w:val="ProductList-Body"/>
            </w:pPr>
            <w:r>
              <w:rPr>
                <w:rFonts w:ascii="Segoe UI" w:hAnsi="Segoe UI"/>
                <w:color w:val="000000" w:themeColor="text1"/>
                <w:szCs w:val="18"/>
              </w:rPr>
              <w:t>Office for Mac Standard 2011</w:t>
            </w:r>
            <w:r>
              <w:fldChar w:fldCharType="begin"/>
            </w:r>
            <w:r>
              <w:instrText>XE "Office for Mac Standard 2011"</w:instrText>
            </w:r>
            <w:r>
              <w:fldChar w:fldCharType="end"/>
            </w:r>
            <w:r>
              <w:rPr>
                <w:rFonts w:ascii="Segoe UI" w:hAnsi="Segoe UI"/>
                <w:color w:val="000000" w:themeColor="text1"/>
                <w:szCs w:val="18"/>
              </w:rPr>
              <w:t xml:space="preserve"> </w:t>
            </w:r>
          </w:p>
          <w:p w:rsidR="00A919B7" w:rsidRPr="00483B32" w:rsidRDefault="00A919B7" w:rsidP="0019337E">
            <w:pPr>
              <w:pStyle w:val="ProductList-Body"/>
            </w:pPr>
            <w:r>
              <w:rPr>
                <w:rFonts w:ascii="Segoe UI" w:hAnsi="Segoe UI"/>
                <w:color w:val="000000" w:themeColor="text1"/>
                <w:szCs w:val="18"/>
              </w:rPr>
              <w:t>Lync for Mac 2011</w:t>
            </w:r>
            <w:r>
              <w:fldChar w:fldCharType="begin"/>
            </w:r>
            <w:r>
              <w:instrText>XE "Lync for Mac 2011"</w:instrText>
            </w:r>
            <w:r>
              <w:fldChar w:fldCharType="end"/>
            </w:r>
          </w:p>
          <w:p w:rsidR="00A919B7" w:rsidRPr="00483B32" w:rsidRDefault="00A919B7" w:rsidP="0019337E">
            <w:pPr>
              <w:pStyle w:val="ProductList-Body"/>
            </w:pPr>
            <w:r>
              <w:rPr>
                <w:rFonts w:ascii="Segoe UI" w:hAnsi="Segoe UI"/>
                <w:color w:val="000000" w:themeColor="text1"/>
                <w:szCs w:val="18"/>
              </w:rPr>
              <w:t>Outlook for Mac 2011</w:t>
            </w:r>
            <w:r>
              <w:fldChar w:fldCharType="begin"/>
            </w:r>
            <w:r>
              <w:instrText>XE "Outlook for Mac 2011"</w:instrText>
            </w:r>
            <w:r>
              <w:fldChar w:fldCharType="end"/>
            </w:r>
          </w:p>
          <w:p w:rsidR="00A919B7" w:rsidRPr="00483B32" w:rsidRDefault="00A919B7" w:rsidP="0019337E">
            <w:pPr>
              <w:pStyle w:val="ProductList-Body"/>
            </w:pPr>
            <w:r>
              <w:rPr>
                <w:rFonts w:ascii="Segoe UI" w:hAnsi="Segoe UI"/>
                <w:color w:val="000000" w:themeColor="text1"/>
                <w:szCs w:val="18"/>
              </w:rPr>
              <w:t>PowerPoint for Mac 2011</w:t>
            </w:r>
            <w:r>
              <w:fldChar w:fldCharType="begin"/>
            </w:r>
            <w:r>
              <w:instrText>XE "PowerPoint for Mac 2011"</w:instrText>
            </w:r>
            <w:r>
              <w:fldChar w:fldCharType="end"/>
            </w:r>
          </w:p>
          <w:p w:rsidR="00A919B7" w:rsidRPr="00483B32" w:rsidRDefault="00A919B7" w:rsidP="0019337E">
            <w:pPr>
              <w:pStyle w:val="ProductList-Body"/>
            </w:pPr>
            <w:r>
              <w:rPr>
                <w:rFonts w:ascii="Segoe UI" w:hAnsi="Segoe UI"/>
                <w:color w:val="000000" w:themeColor="text1"/>
                <w:szCs w:val="18"/>
              </w:rPr>
              <w:t>Excel for Mac 2011</w:t>
            </w:r>
            <w:r>
              <w:fldChar w:fldCharType="begin"/>
            </w:r>
            <w:r>
              <w:instrText>XE "Excel for Mac 2011"</w:instrText>
            </w:r>
            <w:r>
              <w:fldChar w:fldCharType="end"/>
            </w:r>
          </w:p>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Word for Mac 2011</w:t>
            </w:r>
            <w:r>
              <w:fldChar w:fldCharType="begin"/>
            </w:r>
            <w:r>
              <w:instrText>XE "Word for Mac 2011"</w:instrText>
            </w:r>
            <w:r>
              <w:fldChar w:fldCharType="end"/>
            </w:r>
          </w:p>
        </w:tc>
      </w:tr>
    </w:tbl>
    <w:p w:rsidR="00A919B7" w:rsidRPr="00483B32" w:rsidRDefault="00A919B7" w:rsidP="00A919B7">
      <w:pPr>
        <w:pStyle w:val="ProductList-Body"/>
        <w:tabs>
          <w:tab w:val="clear" w:pos="158"/>
          <w:tab w:val="left" w:pos="180"/>
        </w:tabs>
      </w:pPr>
      <w:r>
        <w:rPr>
          <w:rFonts w:ascii="Segoe UI" w:hAnsi="Segoe UI"/>
          <w:color w:val="000000" w:themeColor="text1"/>
          <w:szCs w:val="18"/>
        </w:rPr>
        <w:t>Piezīme: Office System lietojumprogrammas pūla produktu saraksts var tikt grozīts.</w:t>
      </w:r>
    </w:p>
    <w:p w:rsidR="00A919B7" w:rsidRPr="00483B32" w:rsidRDefault="00A919B7" w:rsidP="00A919B7">
      <w:bookmarkStart w:id="61" w:name="_Office_Online_1"/>
      <w:bookmarkStart w:id="62" w:name="_Enhanced_Edition_Benefits_1"/>
      <w:bookmarkEnd w:id="43"/>
      <w:bookmarkEnd w:id="61"/>
      <w:bookmarkEnd w:id="62"/>
    </w:p>
    <w:p w:rsidR="00A919B7" w:rsidRPr="00483B32" w:rsidRDefault="00A919B7" w:rsidP="00A919B7">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279672"/>
      <w:bookmarkEnd w:id="63"/>
      <w:bookmarkEnd w:id="64"/>
      <w:bookmarkEnd w:id="65"/>
      <w:r>
        <w:lastRenderedPageBreak/>
        <w:t>E-Learning</w:t>
      </w:r>
      <w:bookmarkEnd w:id="66"/>
      <w:bookmarkEnd w:id="67"/>
      <w:bookmarkEnd w:id="68"/>
    </w:p>
    <w:p w:rsidR="00A919B7" w:rsidRPr="00483B32" w:rsidRDefault="00A919B7" w:rsidP="00A919B7">
      <w:pPr>
        <w:pStyle w:val="ProductList-Body"/>
      </w:pPr>
      <w:r>
        <w:rPr>
          <w:rFonts w:ascii="Segoe UI" w:hAnsi="Segoe UI"/>
          <w:color w:val="000000" w:themeColor="text1"/>
          <w:szCs w:val="18"/>
        </w:rPr>
        <w:t xml:space="preserve">Ja iegādājāties Produktu, kam tiek piedāvāta e-apmācība, jūs esat piemērots saņemt vienu piekļuves kodu katram piemērojamajam pūlam (lietojumprogrammas, sistēmas un serveris) un katram Iegādes kontam. Varat arī no centra MVLC lejupielādēt ar SCORM saderīgus, tikai satura E-learning failus (noteiktam lietojumprogrammām un sistēmām) importēšanai savā Mācību pārvaldības sistēmā (Learning Management System — LMS). Failu lejupielādēšanai no MVLC nav nepieciešams piekļuves kods. </w:t>
      </w:r>
    </w:p>
    <w:p w:rsidR="00A919B7" w:rsidRPr="00483B32" w:rsidRDefault="00A919B7" w:rsidP="00A919B7">
      <w:pPr>
        <w:pStyle w:val="ProductList-Body"/>
        <w:spacing w:before="120" w:after="120"/>
      </w:pPr>
      <w:r>
        <w:rPr>
          <w:rFonts w:ascii="Segoe UI" w:hAnsi="Segoe UI"/>
          <w:color w:val="000000" w:themeColor="text1"/>
          <w:szCs w:val="18"/>
        </w:rPr>
        <w:t xml:space="preserve">Maksimālais lietotāju skaits, kam drīkstat lietot E-Learning apmācību, ir vienāds ar iegādāto atbilstošo produktu, kam tiek piedāvāta e-apmācība, Software Assurance licenču kopiju skaitu. Katra licence ir jāpiešķir vienam lietotājam. Piekļuvi nedrīkst nodot no viena lietotāja citam. </w:t>
      </w:r>
    </w:p>
    <w:p w:rsidR="00A919B7" w:rsidRPr="00483B32" w:rsidRDefault="00A919B7" w:rsidP="00A919B7">
      <w:pPr>
        <w:pStyle w:val="ProductList-Body"/>
      </w:pPr>
      <w:r>
        <w:rPr>
          <w:rFonts w:ascii="Segoe UI" w:hAnsi="Segoe UI"/>
          <w:color w:val="000000" w:themeColor="text1"/>
          <w:szCs w:val="18"/>
        </w:rPr>
        <w:t xml:space="preserve">Ja esat piemērots, jums ir tiesības iegādāties E-learning komplektus reģionālajā piegādes centrā, ja tiešsaistes iespēja nav pietiekama. </w:t>
      </w:r>
    </w:p>
    <w:p w:rsidR="00A919B7" w:rsidRPr="00483B32" w:rsidRDefault="00A919B7" w:rsidP="00A919B7">
      <w:pPr>
        <w:pStyle w:val="ProductList-Body"/>
      </w:pPr>
      <w:r>
        <w:rPr>
          <w:rFonts w:ascii="Segoe UI" w:hAnsi="Segoe UI"/>
          <w:color w:val="000000" w:themeColor="text1"/>
          <w:szCs w:val="18"/>
        </w:rPr>
        <w:t xml:space="preserve">Jums ir tiesības E-Learning kursus izvietot un lietot saskaņā ar savas licences noteikumiem un nosacījumiem. </w:t>
      </w:r>
    </w:p>
    <w:p w:rsidR="00A919B7" w:rsidRPr="00483B32" w:rsidRDefault="00A919B7" w:rsidP="00A919B7">
      <w:pPr>
        <w:pStyle w:val="ProductList-Body"/>
        <w:rPr>
          <w:highlight w:val="yellow"/>
        </w:rPr>
      </w:pPr>
    </w:p>
    <w:p w:rsidR="00A919B7" w:rsidRPr="00483B32" w:rsidRDefault="00A919B7" w:rsidP="00A919B7">
      <w:pPr>
        <w:pStyle w:val="ProductList-Body"/>
      </w:pPr>
      <w:r>
        <w:rPr>
          <w:rFonts w:ascii="Segoe UI" w:hAnsi="Segoe UI"/>
          <w:color w:val="000000" w:themeColor="text1"/>
          <w:szCs w:val="18"/>
        </w:rPr>
        <w:t>Ja jums ir kvalificētas Lietojumprogrammas vai Sistēmas produktu SA segums, jums ir tiesības lietot viesotus E-Learning kursus un ar SCORM saderīgu saturu. Ja jums ir kvalificēti Servera produkti, jums ir tiesības lietot viesotus E-Learning Serveru kursus, bet ne ar SCORM saderīgu saturu.</w:t>
      </w:r>
    </w:p>
    <w:p w:rsidR="00A919B7" w:rsidRPr="00483B32" w:rsidRDefault="00A919B7" w:rsidP="00A919B7">
      <w:pPr>
        <w:pStyle w:val="Heading2"/>
      </w:pPr>
      <w:bookmarkStart w:id="69" w:name="_Home_Use_Program"/>
      <w:bookmarkStart w:id="70" w:name="_Toc403380311"/>
      <w:bookmarkStart w:id="71" w:name="_Toc403985029"/>
      <w:bookmarkStart w:id="72" w:name="_Toc428279673"/>
      <w:bookmarkEnd w:id="69"/>
      <w:r>
        <w:t>Programma lietošanai mājās</w:t>
      </w:r>
      <w:bookmarkEnd w:id="70"/>
      <w:bookmarkEnd w:id="71"/>
      <w:bookmarkEnd w:id="72"/>
    </w:p>
    <w:p w:rsidR="00A919B7" w:rsidRPr="00483B32" w:rsidRDefault="00A919B7" w:rsidP="00A919B7">
      <w:pPr>
        <w:pStyle w:val="ProductList-Body"/>
        <w:spacing w:after="120"/>
      </w:pPr>
      <w:r>
        <w:rPr>
          <w:rFonts w:ascii="Segoe UI" w:hAnsi="Segoe UI"/>
          <w:color w:val="000000" w:themeColor="text1"/>
          <w:szCs w:val="18"/>
        </w:rPr>
        <w:t>Ja jums ir aktīvs SA segums, kas attiecas uz kvalificēto darbstacijas lietojumprogrammu Produktiem, jums ir tiesības piedalīties Programmā lietošanai mājās, kas ļauj jūsu darbiniekiem, kuri ir licencētu kvalificēto lietojumprogrammu lietotāji, iegūt vienu licenci katrai klienta iegūtās piemērojamās darbstacijas lietojumprogrammas licencei, lai atbilstošo programmatūru, uz kuru attiecas Programma lietošanai mājās, instalētu līdz pat divās ierīcēs (vai nu 2 Windows datoros, vai arī 2 Mac datoros atkarībā no iegādātās programmatūras). Ja jūsu darbinieki vispirms no Microsoft iegūst atbilstošo Programmā lietošanai mājās iekļauto produktu atslēgas, jums ir tiesības atļaut saviem darbiniekiem mājas datoros un portatīvajās ierīces jūsu organizācijas telpās instalēt atbilstošo programmatūru, uz kuru attiecas Programma lietošanai mājās un kuru jūs ieguvāt saskaņā ar MPSA. Ja kvalificētajā lietošanas periodā tiek izlaista jauna versija, galvenie lietotāji var iegūt jaunāko versiju, lai aizstātu pašreiz instalēto versiju. Darbstacijas lietojumprogrammas, kas ir kvalificētas dalībai Programmā lietošanai mājās un ir pieejamas Programmā lietošanai mājās, ir norādītas tālāk sniegtajā tabulā.</w:t>
      </w:r>
    </w:p>
    <w:p w:rsidR="00A919B7" w:rsidRPr="00483B32" w:rsidRDefault="00A919B7" w:rsidP="00A919B7">
      <w:pPr>
        <w:pStyle w:val="ProductList-Body"/>
      </w:pPr>
      <w:r>
        <w:rPr>
          <w:rFonts w:ascii="Segoe UI" w:hAnsi="Segoe UI"/>
          <w:color w:val="000000" w:themeColor="text1"/>
          <w:szCs w:val="18"/>
        </w:rPr>
        <w:t xml:space="preserve">Microsoft drīkst nekavējoties un bez iepriekšēja paziņojuma izbeigt jūsu dalību Programmā lietošanai mājās saistībā ar nesankcionētu piekļuvi Programmas lietošanai mājās vietnei vai nesankcionētu licencēšanu, izmantojot Programmas lietošanai mājās vietni, saistībā ar jūsu programmas kodu. </w:t>
      </w:r>
    </w:p>
    <w:p w:rsidR="00A919B7" w:rsidRPr="00483B32" w:rsidRDefault="00A919B7" w:rsidP="00A919B7">
      <w:pPr>
        <w:pStyle w:val="ProductList-Body"/>
        <w:spacing w:before="120" w:after="120"/>
      </w:pPr>
      <w:r>
        <w:rPr>
          <w:rFonts w:ascii="Segoe UI" w:hAnsi="Segoe UI"/>
          <w:color w:val="000000" w:themeColor="text1"/>
          <w:szCs w:val="18"/>
        </w:rP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A919B7" w:rsidRPr="00483B32" w:rsidRDefault="00A919B7" w:rsidP="00A919B7">
      <w:pPr>
        <w:pStyle w:val="ProductList-Body"/>
      </w:pPr>
      <w:r>
        <w:rPr>
          <w:rFonts w:ascii="Segoe UI" w:hAnsi="Segoe UI"/>
          <w:color w:val="000000" w:themeColor="text1"/>
          <w:szCs w:val="18"/>
        </w:rPr>
        <w:t>Tādas programmatūras lietošanas nosacījumi, uz kuru attiecas Programma lietošanai mājās, nosaka Microsoft un jūsu darbinieka attiecības, un tiem var piekļūt, izmantojot Programmas lietošanai mājās vietni. Šie nosacījumi var atšķirties no noteikumiem, kas paredzēti saskaņā ar MPSA. Jums ir jāierobežo piekļuve Programmai lietošanai mājās, lai tā būtu pieejama darbiniekiem, un jāinformē darbinieki par to, kad viņiem SA seguma beigu vai darba attiecību izbeigšanas dēļ ir jāpārtrauc lietot programmatūra, uz kuru attiecas Programma lietošanai mājās.</w:t>
      </w:r>
    </w:p>
    <w:p w:rsidR="00A919B7" w:rsidRPr="00483B32" w:rsidRDefault="00A919B7" w:rsidP="00A919B7">
      <w:pPr>
        <w:pStyle w:val="ProductList-Body"/>
        <w:spacing w:before="120"/>
      </w:pPr>
      <w:r>
        <w:rPr>
          <w:rFonts w:ascii="Segoe UI" w:hAnsi="Segoe UI"/>
          <w:color w:val="000000" w:themeColor="text1"/>
          <w:szCs w:val="18"/>
        </w:rPr>
        <w:t>Piedaloties šajā programmā, jums un jūsu organizācijas darbiniekiem var tikt piemēroti nodokļi. Microsoft nekādā veidā nav atbildīga par atbilstību jebkādam darba attiecībās gūtam labumam, nodokļiem vai ziņošanas pienākumiem, kas var tikt piemēroti jums vai jūsu organizācijas darbiniekiem. Uz darbiniekiem Jaunzēlandē attiecas šādi papildu nosacījumi:</w:t>
      </w:r>
    </w:p>
    <w:p w:rsidR="00A919B7" w:rsidRPr="00483B32" w:rsidRDefault="00A919B7" w:rsidP="00A919B7">
      <w:pPr>
        <w:pStyle w:val="BodyText"/>
        <w:numPr>
          <w:ilvl w:val="0"/>
          <w:numId w:val="16"/>
        </w:numPr>
        <w:spacing w:after="0"/>
      </w:pPr>
      <w:r>
        <w:t xml:space="preserve">Jums nav tiesību pieprasīt no darbiniekiem jebkādu maksājumu vai kompensāciju saistībā ar Programmu lietošanai mājās vai veikt vai mēģināt neveikt jebkādas darbības, kuru rezultātā tiktu palielināta kopējā maksa par jebkādu Programmas lietošanai mājās priekšrocību, ko papildus jebkādai Microsoft iekasētajai summai var saņemt jebkurš darbinieks Jaunzēlandē; </w:t>
      </w:r>
    </w:p>
    <w:p w:rsidR="00A919B7" w:rsidRPr="00483B32" w:rsidRDefault="00A919B7" w:rsidP="00A919B7">
      <w:pPr>
        <w:pStyle w:val="BodyText"/>
        <w:numPr>
          <w:ilvl w:val="0"/>
          <w:numId w:val="16"/>
        </w:numPr>
        <w:spacing w:after="0"/>
      </w:pPr>
      <w:r>
        <w:t xml:space="preserve">Jūs pasargājat, kompensējat un atbrīvojat korporāciju Microsoft un tās saistītos uzņēmumus no jebkādām izmaksām, izdevumiem, zaudējumiem un kaitējumiem, ko Microsoft vai tās saistītie uzņēmumi varētu ciest tāpēc, ka jūsu organizācija nav ievērojusi šajā sadaļā minētos pienākumus. </w:t>
      </w:r>
    </w:p>
    <w:p w:rsidR="00A919B7" w:rsidRPr="00483B32" w:rsidRDefault="00A919B7" w:rsidP="00A919B7">
      <w:pPr>
        <w:pStyle w:val="BodyText"/>
        <w:spacing w:after="0"/>
      </w:pPr>
    </w:p>
    <w:p w:rsidR="00A919B7" w:rsidRPr="00483B32" w:rsidRDefault="00A919B7" w:rsidP="00A919B7">
      <w:pPr>
        <w:pStyle w:val="ProductList-Body"/>
      </w:pPr>
      <w:r>
        <w:rPr>
          <w:rFonts w:ascii="Segoe UI" w:hAnsi="Segoe UI"/>
          <w:color w:val="000000" w:themeColor="text1"/>
          <w:szCs w:val="18"/>
        </w:rPr>
        <w:t xml:space="preserve">Darbstacijas lietojumprogrammas, kas kvalificē dalībai Programmā lietošanai mājās un ir pieejamas šajā programmā, ir norādītas tālāk redzamajā tabulā. </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A919B7"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A919B7" w:rsidRPr="002123CF" w:rsidRDefault="00A919B7"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Kvalificēta darbstacijas lietojumprogramma</w:t>
            </w:r>
          </w:p>
        </w:tc>
        <w:tc>
          <w:tcPr>
            <w:tcW w:w="5355" w:type="dxa"/>
            <w:shd w:val="clear" w:color="auto" w:fill="FFC000" w:themeFill="accent4"/>
            <w:tcMar>
              <w:top w:w="0" w:type="dxa"/>
              <w:left w:w="108" w:type="dxa"/>
              <w:bottom w:w="0" w:type="dxa"/>
              <w:right w:w="108" w:type="dxa"/>
            </w:tcMar>
            <w:vAlign w:val="center"/>
          </w:tcPr>
          <w:p w:rsidR="00A919B7" w:rsidRPr="002123CF" w:rsidRDefault="00A919B7"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Atbilstoša Programmas lietošanai mājās licence</w:t>
            </w:r>
          </w:p>
        </w:tc>
      </w:tr>
      <w:tr w:rsidR="00A919B7" w:rsidRPr="00E23144" w:rsidTr="0019337E">
        <w:trPr>
          <w:trHeight w:val="438"/>
        </w:trPr>
        <w:tc>
          <w:tcPr>
            <w:tcW w:w="5355" w:type="dxa"/>
            <w:tcMar>
              <w:top w:w="0" w:type="dxa"/>
              <w:left w:w="108" w:type="dxa"/>
              <w:bottom w:w="0" w:type="dxa"/>
              <w:right w:w="108" w:type="dxa"/>
            </w:tcMar>
            <w:vAlign w:val="center"/>
          </w:tcPr>
          <w:p w:rsidR="00A919B7" w:rsidRPr="00483B32" w:rsidRDefault="00A919B7" w:rsidP="0019337E">
            <w:pPr>
              <w:pStyle w:val="ProductList-Body"/>
            </w:pPr>
            <w:r>
              <w:rPr>
                <w:rFonts w:ascii="Segoe UI" w:hAnsi="Segoe UI"/>
                <w:color w:val="000000" w:themeColor="text1"/>
                <w:szCs w:val="18"/>
              </w:rPr>
              <w:lastRenderedPageBreak/>
              <w:t>Office Standard 2010/2013</w:t>
            </w:r>
          </w:p>
          <w:p w:rsidR="00A919B7" w:rsidRPr="00483B32" w:rsidRDefault="00A919B7"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Office for Mac Standard 2011/Office 2016 for Mac Standard</w:t>
            </w:r>
            <w:r>
              <w:fldChar w:fldCharType="begin"/>
            </w:r>
            <w:r>
              <w:instrText>XE "Office for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A919B7" w:rsidRPr="00483B32" w:rsidRDefault="00A919B7"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vai</w:t>
            </w:r>
          </w:p>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Office 2016 for Mac Home un Business with Lync DL HUP</w:t>
            </w:r>
          </w:p>
        </w:tc>
      </w:tr>
      <w:tr w:rsidR="00A919B7" w:rsidRPr="00E23144" w:rsidTr="0019337E">
        <w:trPr>
          <w:trHeight w:val="438"/>
        </w:trPr>
        <w:tc>
          <w:tcPr>
            <w:tcW w:w="5355" w:type="dxa"/>
            <w:tcMar>
              <w:top w:w="0" w:type="dxa"/>
              <w:left w:w="108" w:type="dxa"/>
              <w:bottom w:w="0" w:type="dxa"/>
              <w:right w:w="108" w:type="dxa"/>
            </w:tcMar>
            <w:vAlign w:val="center"/>
          </w:tcPr>
          <w:p w:rsidR="00A919B7" w:rsidRPr="00483B32" w:rsidRDefault="00A919B7" w:rsidP="0019337E">
            <w:pPr>
              <w:pStyle w:val="ProductList-Body"/>
            </w:pPr>
            <w:r>
              <w:rPr>
                <w:rFonts w:ascii="Segoe UI" w:hAnsi="Segoe UI"/>
                <w:color w:val="000000" w:themeColor="text1"/>
                <w:szCs w:val="18"/>
              </w:rPr>
              <w:t>Access 2010/2013</w:t>
            </w:r>
          </w:p>
          <w:p w:rsidR="00A919B7" w:rsidRPr="00483B32" w:rsidRDefault="00A919B7" w:rsidP="0019337E">
            <w:pPr>
              <w:pStyle w:val="ProductList-Body"/>
            </w:pPr>
            <w:r>
              <w:rPr>
                <w:rFonts w:ascii="Segoe UI" w:hAnsi="Segoe UI"/>
                <w:color w:val="000000" w:themeColor="text1"/>
                <w:szCs w:val="18"/>
              </w:rPr>
              <w:t>Excel 2010/2013</w:t>
            </w:r>
          </w:p>
          <w:p w:rsidR="00A919B7" w:rsidRPr="00483B32" w:rsidRDefault="00A919B7" w:rsidP="0019337E">
            <w:pPr>
              <w:pStyle w:val="ProductList-Body"/>
            </w:pPr>
            <w:r>
              <w:rPr>
                <w:rFonts w:ascii="Segoe UI" w:hAnsi="Segoe UI"/>
                <w:color w:val="000000" w:themeColor="text1"/>
                <w:szCs w:val="18"/>
              </w:rPr>
              <w:t>PowerPoint 2010/2013</w:t>
            </w:r>
          </w:p>
          <w:p w:rsidR="00A919B7" w:rsidRPr="00483B32" w:rsidRDefault="00A919B7" w:rsidP="0019337E">
            <w:pPr>
              <w:pStyle w:val="ProductList-Body"/>
            </w:pPr>
            <w:r>
              <w:rPr>
                <w:rFonts w:ascii="Segoe UI" w:hAnsi="Segoe UI"/>
                <w:color w:val="000000" w:themeColor="text1"/>
                <w:szCs w:val="18"/>
              </w:rPr>
              <w:t>InfoPath 2010/2013</w:t>
            </w:r>
          </w:p>
          <w:p w:rsidR="00A919B7" w:rsidRPr="004A38CE" w:rsidRDefault="00A919B7" w:rsidP="0019337E">
            <w:pPr>
              <w:pStyle w:val="ProductList-Body"/>
              <w:rPr>
                <w:rFonts w:ascii="Segoe UI" w:hAnsi="Segoe UI"/>
                <w:color w:val="000000" w:themeColor="text1"/>
                <w:szCs w:val="18"/>
              </w:rPr>
            </w:pPr>
            <w:r w:rsidRPr="004A38CE">
              <w:rPr>
                <w:rFonts w:ascii="Segoe UI" w:hAnsi="Segoe UI"/>
                <w:color w:val="000000" w:themeColor="text1"/>
                <w:szCs w:val="18"/>
              </w:rPr>
              <w:t>Lync 2010/2013</w:t>
            </w:r>
          </w:p>
          <w:p w:rsidR="00A919B7" w:rsidRPr="00483B32" w:rsidRDefault="00A919B7" w:rsidP="0019337E">
            <w:pPr>
              <w:pStyle w:val="ProductList-Body"/>
            </w:pPr>
            <w:r>
              <w:rPr>
                <w:rFonts w:ascii="Segoe UI" w:hAnsi="Segoe UI"/>
                <w:color w:val="000000" w:themeColor="text1"/>
                <w:szCs w:val="18"/>
              </w:rPr>
              <w:t>OneNote 2010/2013</w:t>
            </w:r>
          </w:p>
          <w:p w:rsidR="00A919B7" w:rsidRPr="00483B32" w:rsidRDefault="00A919B7" w:rsidP="0019337E">
            <w:pPr>
              <w:pStyle w:val="ProductList-Body"/>
            </w:pPr>
            <w:r>
              <w:rPr>
                <w:rFonts w:ascii="Segoe UI" w:hAnsi="Segoe UI"/>
                <w:color w:val="000000" w:themeColor="text1"/>
                <w:szCs w:val="18"/>
              </w:rPr>
              <w:t>Outlook 2010/2013</w:t>
            </w:r>
          </w:p>
          <w:p w:rsidR="00A919B7" w:rsidRPr="00483B32" w:rsidRDefault="00A919B7" w:rsidP="0019337E">
            <w:pPr>
              <w:pStyle w:val="ProductList-Body"/>
            </w:pPr>
            <w:r>
              <w:rPr>
                <w:rFonts w:ascii="Segoe UI" w:hAnsi="Segoe UI"/>
                <w:color w:val="000000" w:themeColor="text1"/>
                <w:szCs w:val="18"/>
              </w:rPr>
              <w:t>Publisher 2010/2013</w:t>
            </w:r>
          </w:p>
          <w:p w:rsidR="00A919B7" w:rsidRPr="00483B32" w:rsidRDefault="00A919B7" w:rsidP="0019337E">
            <w:pPr>
              <w:pStyle w:val="ProductList-Body"/>
            </w:pPr>
            <w:r>
              <w:rPr>
                <w:rFonts w:ascii="Segoe UI" w:hAnsi="Segoe UI"/>
                <w:color w:val="000000" w:themeColor="text1"/>
                <w:szCs w:val="18"/>
              </w:rPr>
              <w:t>Skype darbam 2015</w:t>
            </w:r>
          </w:p>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A919B7" w:rsidRPr="00483B32" w:rsidRDefault="00A919B7"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vai</w:t>
            </w:r>
          </w:p>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Office 2016 for Mac Home un Business with Lync DL HUP</w:t>
            </w:r>
          </w:p>
        </w:tc>
      </w:tr>
      <w:tr w:rsidR="00A919B7" w:rsidRPr="00E23144" w:rsidTr="0019337E">
        <w:trPr>
          <w:trHeight w:val="438"/>
        </w:trPr>
        <w:tc>
          <w:tcPr>
            <w:tcW w:w="5355" w:type="dxa"/>
            <w:tcMar>
              <w:top w:w="0" w:type="dxa"/>
              <w:left w:w="108" w:type="dxa"/>
              <w:bottom w:w="0" w:type="dxa"/>
              <w:right w:w="108" w:type="dxa"/>
            </w:tcMar>
            <w:vAlign w:val="center"/>
          </w:tcPr>
          <w:p w:rsidR="00A919B7" w:rsidRPr="00483B32" w:rsidRDefault="00A919B7" w:rsidP="0019337E">
            <w:pPr>
              <w:pStyle w:val="ProductList-Body"/>
            </w:pPr>
            <w:r>
              <w:rPr>
                <w:rFonts w:ascii="Segoe UI" w:hAnsi="Segoe UI"/>
                <w:color w:val="000000" w:themeColor="text1"/>
                <w:szCs w:val="18"/>
              </w:rPr>
              <w:t xml:space="preserve">Visio Standard 2010/2013 </w:t>
            </w:r>
          </w:p>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HUP</w:t>
            </w:r>
          </w:p>
        </w:tc>
      </w:tr>
      <w:tr w:rsidR="00A919B7" w:rsidRPr="00E23144" w:rsidTr="0019337E">
        <w:trPr>
          <w:trHeight w:val="438"/>
        </w:trPr>
        <w:tc>
          <w:tcPr>
            <w:tcW w:w="5355" w:type="dxa"/>
            <w:tcMar>
              <w:top w:w="0" w:type="dxa"/>
              <w:left w:w="108" w:type="dxa"/>
              <w:bottom w:w="0" w:type="dxa"/>
              <w:right w:w="108" w:type="dxa"/>
            </w:tcMar>
            <w:vAlign w:val="center"/>
          </w:tcPr>
          <w:p w:rsidR="00A919B7" w:rsidRPr="00483B32" w:rsidRDefault="00A919B7" w:rsidP="0019337E">
            <w:pPr>
              <w:pStyle w:val="ProductList-Body"/>
            </w:pPr>
            <w:r>
              <w:rPr>
                <w:rFonts w:ascii="Segoe UI" w:hAnsi="Segoe UI"/>
                <w:color w:val="000000" w:themeColor="text1"/>
                <w:szCs w:val="18"/>
              </w:rPr>
              <w:t>Project Standard 2010/2013</w:t>
            </w:r>
          </w:p>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A919B7" w:rsidRPr="002123CF" w:rsidRDefault="00A919B7"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HUP</w:t>
            </w:r>
          </w:p>
        </w:tc>
      </w:tr>
    </w:tbl>
    <w:p w:rsidR="00A919B7" w:rsidRPr="00483B32" w:rsidRDefault="00A919B7" w:rsidP="00A919B7">
      <w:pPr>
        <w:pStyle w:val="ProductList-Body"/>
        <w:tabs>
          <w:tab w:val="clear" w:pos="158"/>
          <w:tab w:val="left" w:pos="180"/>
        </w:tabs>
      </w:pPr>
      <w:r>
        <w:rPr>
          <w:rFonts w:ascii="Segoe UI" w:hAnsi="Segoe UI"/>
          <w:color w:val="000000" w:themeColor="text1"/>
          <w:szCs w:val="18"/>
        </w:rPr>
        <w:t xml:space="preserve">Papildinformāciju, tostarp saistībā ar turpmāku papildu Programmas lietošanai mājās programmatūras pieejamību, lūdzu, skatiet vietnē </w:t>
      </w:r>
      <w:hyperlink r:id="rId24" w:history="1">
        <w:r>
          <w:rPr>
            <w:rStyle w:val="Hyperlink"/>
            <w:rFonts w:ascii="Segoe UI" w:hAnsi="Segoe UI"/>
            <w:szCs w:val="18"/>
          </w:rPr>
          <w:t>http://www.microsoft.com/licensing</w:t>
        </w:r>
      </w:hyperlink>
      <w:r>
        <w:rPr>
          <w:rFonts w:ascii="Segoe UI" w:hAnsi="Segoe UI"/>
          <w:color w:val="000000" w:themeColor="text1"/>
          <w:szCs w:val="18"/>
        </w:rPr>
        <w:t xml:space="preserve">. </w:t>
      </w:r>
    </w:p>
    <w:p w:rsidR="00A919B7" w:rsidRPr="00483B32" w:rsidRDefault="00A919B7" w:rsidP="00A919B7">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279674"/>
      <w:bookmarkEnd w:id="73"/>
      <w:r>
        <w:t>Avota koda licencēšanas programma uzņēmumiem</w:t>
      </w:r>
      <w:bookmarkEnd w:id="74"/>
      <w:bookmarkEnd w:id="75"/>
      <w:bookmarkEnd w:id="76"/>
      <w:bookmarkEnd w:id="77"/>
      <w:bookmarkEnd w:id="78"/>
      <w:bookmarkEnd w:id="79"/>
      <w:bookmarkEnd w:id="80"/>
      <w:r>
        <w:t xml:space="preserve"> </w:t>
      </w:r>
    </w:p>
    <w:p w:rsidR="00A919B7" w:rsidRPr="00483B32" w:rsidRDefault="00A919B7" w:rsidP="00A919B7">
      <w:pPr>
        <w:pStyle w:val="ProductList-Body"/>
      </w:pPr>
      <w:r>
        <w:rPr>
          <w:rFonts w:ascii="Segoe UI" w:hAnsi="Segoe UI"/>
          <w:color w:val="000000" w:themeColor="text1"/>
          <w:szCs w:val="18"/>
        </w:rPr>
        <w:t>Ja jūsu Iegādes kontā ir 10000 vai vairāk licences ar SA segumu sistēmu pūlā, jums var būt tiesības piedalīties Uzņēmumiem paredzētajā avota koda licencēšanas programmā (Enterprise Source Licensing Program — ESLP), kas nodrošina piekļuvi Microsoft Windows avota kodam iekšējām izstrādes un atbalsta vajadzībām un tiek piešķirta Iegādes kontam. Papildinformāciju par tiesībām piedalīties un pieejamību dažādās valstīs skatiet vietnē</w:t>
      </w:r>
      <w:r>
        <w:t xml:space="preserve"> </w:t>
      </w:r>
      <w:hyperlink r:id="rId25" w:history="1">
        <w:r>
          <w:rPr>
            <w:rStyle w:val="Hyperlink"/>
          </w:rPr>
          <w:t>http://www.microsoft.com/en-us/sharedsource/enterprise-source-licensing-program.aspx</w:t>
        </w:r>
      </w:hyperlink>
      <w:r>
        <w:t>.</w:t>
      </w:r>
      <w:r>
        <w:rPr>
          <w:strike/>
        </w:rPr>
        <w:t xml:space="preserve"> </w:t>
      </w:r>
    </w:p>
    <w:p w:rsidR="00A919B7" w:rsidRPr="00483B32" w:rsidRDefault="00A919B7" w:rsidP="00A919B7">
      <w:pPr>
        <w:pStyle w:val="ProductList-Body"/>
      </w:pPr>
      <w:bookmarkStart w:id="81" w:name="_24x7_Problem_Resolution"/>
      <w:bookmarkStart w:id="82" w:name="__System_Center"/>
      <w:bookmarkStart w:id="83" w:name="__System_Center_1"/>
      <w:bookmarkStart w:id="84" w:name="_Back-up_for_Disaster"/>
      <w:bookmarkStart w:id="85" w:name="_Toc336338239"/>
      <w:bookmarkStart w:id="86" w:name="_Toc372892146"/>
      <w:bookmarkStart w:id="87" w:name="_Toc379797451"/>
      <w:bookmarkStart w:id="88" w:name="_Toc380513487"/>
      <w:bookmarkStart w:id="89" w:name="_Toc380655537"/>
      <w:bookmarkStart w:id="90" w:name="_Toc394601033"/>
      <w:bookmarkEnd w:id="81"/>
      <w:bookmarkEnd w:id="82"/>
      <w:bookmarkEnd w:id="83"/>
      <w:bookmarkEnd w:id="84"/>
    </w:p>
    <w:p w:rsidR="00A919B7" w:rsidRPr="00483B32" w:rsidRDefault="00A919B7" w:rsidP="00A919B7">
      <w:pPr>
        <w:pStyle w:val="Heading2"/>
      </w:pPr>
      <w:bookmarkStart w:id="91" w:name="_Dublējums_atkopšanai_ārkārtas"/>
      <w:bookmarkStart w:id="92" w:name="_Toc403380314"/>
      <w:bookmarkStart w:id="93" w:name="_Toc403985032"/>
      <w:bookmarkStart w:id="94" w:name="_Toc428279675"/>
      <w:bookmarkEnd w:id="91"/>
      <w:r>
        <w:t>Dublējums atkopšanai ārkārtas gadījumos</w:t>
      </w:r>
      <w:bookmarkEnd w:id="85"/>
      <w:bookmarkEnd w:id="86"/>
      <w:bookmarkEnd w:id="87"/>
      <w:bookmarkEnd w:id="88"/>
      <w:bookmarkEnd w:id="89"/>
      <w:bookmarkEnd w:id="90"/>
      <w:bookmarkEnd w:id="92"/>
      <w:bookmarkEnd w:id="93"/>
      <w:bookmarkEnd w:id="94"/>
      <w:r>
        <w:t xml:space="preserve"> </w:t>
      </w:r>
    </w:p>
    <w:p w:rsidR="00A919B7" w:rsidRPr="00483B32" w:rsidRDefault="00A919B7" w:rsidP="00A919B7">
      <w:r>
        <w:rPr>
          <w:color w:val="000000" w:themeColor="text1"/>
          <w:szCs w:val="18"/>
        </w:rPr>
        <w:t xml:space="preserve">Ja jums ir SA segums kvalificētiem Servera produktiem un saistītajām klientu piekļuves licencēm (CAL), jums ir tiesības saņemt papildu Servera licences šiem produktiem, lai veiktu atkopšanu ārkārtas gadījumos. Skatiet arī vietni </w:t>
      </w:r>
      <w:hyperlink r:id="rId26" w:anchor="tab=4" w:history="1">
        <w:r>
          <w:rPr>
            <w:rStyle w:val="Hyperlink"/>
          </w:rPr>
          <w:t>http://www.microsoft.com/licensing/software-assurance/by-benefits.aspx#tab=4</w:t>
        </w:r>
      </w:hyperlink>
      <w:r>
        <w:rPr>
          <w:color w:val="1F497D"/>
        </w:rPr>
        <w:t>.</w:t>
      </w:r>
    </w:p>
    <w:p w:rsidR="00A919B7" w:rsidRPr="00483B32" w:rsidRDefault="00A919B7" w:rsidP="00A919B7">
      <w:pPr>
        <w:pStyle w:val="Heading2"/>
      </w:pPr>
      <w:bookmarkStart w:id="95" w:name="_License_Mobility_through"/>
      <w:bookmarkStart w:id="96" w:name="_Toc336338242"/>
      <w:bookmarkStart w:id="97" w:name="_Toc372892149"/>
      <w:bookmarkStart w:id="98" w:name="_Toc403380315"/>
      <w:bookmarkStart w:id="99" w:name="_Toc403985033"/>
      <w:bookmarkStart w:id="100" w:name="_Toc428279676"/>
      <w:bookmarkEnd w:id="95"/>
      <w:r>
        <w:t>Licences mobilitāte, izmantojot Software Assurance</w:t>
      </w:r>
      <w:bookmarkEnd w:id="96"/>
      <w:bookmarkEnd w:id="97"/>
      <w:bookmarkEnd w:id="98"/>
      <w:bookmarkEnd w:id="99"/>
      <w:bookmarkEnd w:id="100"/>
    </w:p>
    <w:p w:rsidR="00A919B7" w:rsidRPr="00483B32" w:rsidRDefault="00A919B7" w:rsidP="00A919B7">
      <w:pPr>
        <w:pStyle w:val="ProductList-Body"/>
      </w:pPr>
      <w:r>
        <w:rPr>
          <w:rFonts w:ascii="Segoe UI" w:hAnsi="Segoe UI"/>
          <w:color w:val="000000" w:themeColor="text1"/>
          <w:szCs w:val="18"/>
        </w:rPr>
        <w:t>Licences mobilitāte, izmantojot SA, piešķir jums tiesības pārvietot atsevišķas lokālās licences ar SA segumu uz trešās personas kopīgotajiem serveriem. Visi produkti, kas saskaņā ar produktu lietošanas noteikumiem (PUR) pašlaik ir piemēroti „Licences mobilitātei serveru fermās” un kam ir SA segums, ir piemēroti Licences mobilitātei, izmantojot SA. Turklāt Licences mobilitātei, izmantojot SA, ir piemēroti arī šādi Produkti:</w:t>
      </w:r>
    </w:p>
    <w:p w:rsidR="00A919B7" w:rsidRPr="00483B32" w:rsidRDefault="00A919B7" w:rsidP="00A919B7">
      <w:pPr>
        <w:pStyle w:val="BodyText"/>
        <w:numPr>
          <w:ilvl w:val="0"/>
          <w:numId w:val="16"/>
        </w:numPr>
        <w:spacing w:after="0"/>
      </w:pPr>
      <w:r>
        <w:t>System Center — visas Servera pārvaldības licences (Management Licenses — ML), tostarp SMSE un SMSD ar SA segumu un System Center 2012 Standard</w:t>
      </w:r>
      <w:r>
        <w:fldChar w:fldCharType="begin"/>
      </w:r>
      <w:r>
        <w:instrText>XE "System Center 2012 Standard"</w:instrText>
      </w:r>
      <w:r>
        <w:fldChar w:fldCharType="end"/>
      </w:r>
      <w:r>
        <w:t xml:space="preserve"> un Datacenter ar SA segumu.</w:t>
      </w:r>
    </w:p>
    <w:p w:rsidR="00A919B7" w:rsidRPr="00483B32" w:rsidRDefault="00A919B7" w:rsidP="00A919B7">
      <w:pPr>
        <w:pStyle w:val="BodyText"/>
        <w:spacing w:after="0"/>
      </w:pPr>
    </w:p>
    <w:p w:rsidR="00A919B7" w:rsidRPr="00483B32" w:rsidRDefault="00A919B7" w:rsidP="00A919B7">
      <w:pPr>
        <w:pStyle w:val="BodyText"/>
        <w:spacing w:after="0"/>
      </w:pPr>
    </w:p>
    <w:p w:rsidR="00A919B7" w:rsidRPr="00483B32" w:rsidRDefault="00A919B7" w:rsidP="00A919B7">
      <w:pPr>
        <w:pStyle w:val="BodyText"/>
        <w:numPr>
          <w:ilvl w:val="0"/>
          <w:numId w:val="16"/>
        </w:numPr>
        <w:spacing w:after="0"/>
      </w:pPr>
      <w:r>
        <w:t>Lai lietotu Licences mobilitāti, izmantojot SA, jums ir:</w:t>
      </w:r>
    </w:p>
    <w:p w:rsidR="00A919B7" w:rsidRPr="00483B32" w:rsidRDefault="00A919B7" w:rsidP="00A919B7">
      <w:pPr>
        <w:pStyle w:val="BodyText"/>
        <w:numPr>
          <w:ilvl w:val="1"/>
          <w:numId w:val="16"/>
        </w:numPr>
        <w:spacing w:after="0"/>
        <w:ind w:left="720" w:hanging="288"/>
      </w:pPr>
      <w:r>
        <w:t>jāuztur SA segums visām licencēm, saskaņā ar kurām tie darbina programmatūru vai pārvalda operētājsistēmu vides kopīgotajos trešo personu serveros, kā arī visām atbilstošajām klientu piekļuves licencēm (Client Access Licence — CAL), ārējās piekļuves licencēm un pārvaldības licencēm;</w:t>
      </w:r>
    </w:p>
    <w:p w:rsidR="00A919B7" w:rsidRPr="00483B32" w:rsidRDefault="00A919B7" w:rsidP="00A919B7">
      <w:pPr>
        <w:pStyle w:val="BodyText"/>
        <w:numPr>
          <w:ilvl w:val="1"/>
          <w:numId w:val="16"/>
        </w:numPr>
        <w:spacing w:after="0"/>
        <w:ind w:left="720" w:hanging="288"/>
      </w:pPr>
      <w:r>
        <w:t xml:space="preserve">jāizvieto savas licences tikai pie kvalificētiem Licences mobilitātei, izmantojot Software Assurance, partneriem (skatiet vietni </w:t>
      </w:r>
      <w:hyperlink r:id="rId27" w:history="1">
        <w:r>
          <w:rPr>
            <w:rStyle w:val="Hyperlink"/>
            <w:szCs w:val="18"/>
          </w:rPr>
          <w:t>http://www.microsoft.com/licensing/software-assurance/license-mobility.aspx</w:t>
        </w:r>
      </w:hyperlink>
      <w:r>
        <w:rPr>
          <w:color w:val="000000" w:themeColor="text1"/>
          <w:szCs w:val="18"/>
        </w:rPr>
        <w:t xml:space="preserve">) </w:t>
      </w:r>
    </w:p>
    <w:p w:rsidR="00A919B7" w:rsidRPr="00483B32" w:rsidRDefault="00A919B7" w:rsidP="00A919B7">
      <w:pPr>
        <w:pStyle w:val="BodyText"/>
        <w:numPr>
          <w:ilvl w:val="1"/>
          <w:numId w:val="16"/>
        </w:numPr>
        <w:spacing w:after="0"/>
        <w:ind w:left="720" w:hanging="288"/>
      </w:pPr>
      <w:r>
        <w:t>jāaizpilda un jāiesniedz Licences mobilitātes apstiprināšanas veidlapa ar katru Licences mobilitātes, izmantojot Software Assurance, partneri, kas darbinās jūsu licencēto programmatūru savos kopīgotajos serveros. Licences mobilitātes apstiprināšanas veidlapa jums būs pieejama no kvalificēta Licences mobilitātes, izmantojot Software Assurance, partnera.</w:t>
      </w:r>
    </w:p>
    <w:p w:rsidR="00A919B7" w:rsidRPr="00483B32" w:rsidRDefault="00A919B7" w:rsidP="00A919B7">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279677"/>
      <w:bookmarkEnd w:id="101"/>
      <w:bookmarkEnd w:id="102"/>
      <w:r>
        <w:lastRenderedPageBreak/>
        <w:t>Paplašinātais labojumfailu atbalsts</w:t>
      </w:r>
      <w:bookmarkEnd w:id="103"/>
      <w:bookmarkEnd w:id="104"/>
      <w:bookmarkEnd w:id="105"/>
      <w:bookmarkEnd w:id="106"/>
      <w:bookmarkEnd w:id="107"/>
      <w:bookmarkEnd w:id="108"/>
      <w:bookmarkEnd w:id="109"/>
      <w:bookmarkEnd w:id="110"/>
      <w:bookmarkEnd w:id="111"/>
      <w:bookmarkEnd w:id="112"/>
    </w:p>
    <w:p w:rsidR="00A919B7" w:rsidRPr="00483B32" w:rsidRDefault="00A919B7" w:rsidP="00A919B7">
      <w:pPr>
        <w:pStyle w:val="ProductList-Body"/>
      </w:pPr>
      <w:r>
        <w:rPr>
          <w:rFonts w:ascii="Segoe UI" w:hAnsi="Segoe UI"/>
          <w:color w:val="000000" w:themeColor="text1"/>
          <w:szCs w:val="18"/>
        </w:rPr>
        <w:t>Paplašinātais labojumfailu atbalsts jums ir pieejams, ja parakstījāt Premier vai Essential atbalsta līgumu un iegādājāties SA.</w:t>
      </w:r>
    </w:p>
    <w:p w:rsidR="00A919B7" w:rsidRPr="00483B32" w:rsidRDefault="00A919B7" w:rsidP="00A919B7">
      <w:pPr>
        <w:pStyle w:val="BodyText"/>
        <w:numPr>
          <w:ilvl w:val="0"/>
          <w:numId w:val="16"/>
        </w:numPr>
        <w:spacing w:after="0"/>
      </w:pPr>
      <w:r>
        <w:t xml:space="preserve">Ja jums ir dalības programmā Software Assurance segums Lietojumprogrammu pūlam, jūs kvalificējaties Paplašinātajam labojumfailu atbalstam attiecībā uz Lietojumprogrammu pūla produktiem. </w:t>
      </w:r>
    </w:p>
    <w:p w:rsidR="00A919B7" w:rsidRPr="00483B32" w:rsidRDefault="00A919B7" w:rsidP="00A919B7">
      <w:pPr>
        <w:pStyle w:val="BodyText"/>
        <w:numPr>
          <w:ilvl w:val="0"/>
          <w:numId w:val="16"/>
        </w:numPr>
        <w:spacing w:after="0"/>
      </w:pPr>
      <w:r>
        <w:t>Ja jums ir dalības programmā Software Assurance segums Sistēmu pūlam, jūs kvalificējaties Paplašinātajam labojumfailu atbalstam, kas paredzēts Windows darbstacijas operētājsistēmai un/vai operētājsistēmai Windows Embedded (ar dalības programmā Software Assurance segumu Windows Embedded produktā).</w:t>
      </w:r>
    </w:p>
    <w:p w:rsidR="00A919B7" w:rsidRPr="00483B32" w:rsidRDefault="00A919B7" w:rsidP="00A919B7">
      <w:pPr>
        <w:pStyle w:val="BodyText"/>
        <w:numPr>
          <w:ilvl w:val="0"/>
          <w:numId w:val="16"/>
        </w:numPr>
        <w:spacing w:after="0"/>
      </w:pPr>
      <w:r>
        <w:t>Ja jums ir SA vismaz vienā servera produktā, jūs kvalificējaties Paplašinātajam labojumfailu atbalstam, kas paredzēts Servera produktiem. Piedāvājums attiecas uz šādiem servera produktiem:</w:t>
      </w:r>
    </w:p>
    <w:p w:rsidR="00A919B7" w:rsidRPr="00483B32" w:rsidRDefault="00A919B7" w:rsidP="00A919B7">
      <w:pPr>
        <w:pStyle w:val="BodyText"/>
        <w:numPr>
          <w:ilvl w:val="1"/>
          <w:numId w:val="16"/>
        </w:numPr>
        <w:spacing w:after="0"/>
        <w:ind w:left="720" w:hanging="288"/>
      </w:pPr>
      <w:r>
        <w:t>Microsoft Exchange Server, Microsoft SQL Server, System Center 2012 un Windows Server.</w:t>
      </w:r>
    </w:p>
    <w:p w:rsidR="00A919B7" w:rsidRPr="00483B32" w:rsidRDefault="00A919B7" w:rsidP="00A919B7"/>
    <w:p w:rsidR="00A919B7" w:rsidRPr="00483B32" w:rsidRDefault="00A919B7" w:rsidP="00A919B7">
      <w:r>
        <w:rPr>
          <w:color w:val="000000" w:themeColor="text1"/>
          <w:szCs w:val="18"/>
        </w:rPr>
        <w:t xml:space="preserve">Paplašinātais labojumfailu atbalsts ir priekšrocība, kas paredzēta vecākām programmatūras versijām, kurām ir notikusi pāreja no Galvenā atbalsta un Paplašināto atbalstu. Atbilstoši Paplašinātā atbalsta līgumam piemērotā gada maksa, ja esat tiesīgs saņemt šo SA priekšrocību, tagad ir atcelta. Jūs joprojām ir atbildīgs par maksām, kas attiecas uz atsevišķiem Labojumfailiem. Ja esat tiesīgs izmatot šo priekšrocību, jums nav jāreģistrējas 90 dienu laikā, kad notiek pāreja uz Paplašinātā atbalsta nodrošināšanu produktam. Skatiet arī vietni </w:t>
      </w:r>
      <w:hyperlink r:id="rId28" w:anchor="tab=4" w:history="1">
        <w:r>
          <w:rPr>
            <w:rStyle w:val="Hyperlink"/>
          </w:rPr>
          <w:t>http://www.microsoft.com/licensing/software-assurance/by-benefits.aspx#tab=4</w:t>
        </w:r>
      </w:hyperlink>
      <w:r>
        <w:rPr>
          <w:color w:val="1F497D"/>
        </w:rPr>
        <w:t>.</w:t>
      </w:r>
    </w:p>
    <w:p w:rsidR="00A919B7" w:rsidRPr="00483B32" w:rsidRDefault="00A919B7" w:rsidP="00A919B7">
      <w:pPr>
        <w:pStyle w:val="ProductList-Body"/>
      </w:pPr>
      <w:bookmarkStart w:id="113" w:name="_Microsoft_Desktop_Optimization"/>
      <w:bookmarkStart w:id="114" w:name="_Microsoft_Dynamics_CustomerSource"/>
      <w:bookmarkStart w:id="115" w:name="_Virtualization_Rights_for"/>
      <w:bookmarkStart w:id="116" w:name="_Windows_Virtual_Desktop"/>
      <w:bookmarkEnd w:id="113"/>
      <w:bookmarkEnd w:id="114"/>
      <w:bookmarkEnd w:id="115"/>
      <w:bookmarkEnd w:id="116"/>
    </w:p>
    <w:p w:rsidR="00A919B7" w:rsidRPr="00483B32" w:rsidRDefault="00A919B7" w:rsidP="00A919B7">
      <w:pPr>
        <w:pStyle w:val="Hdg1noborder"/>
      </w:pPr>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279678"/>
      <w:bookmarkEnd w:id="117"/>
      <w:bookmarkEnd w:id="118"/>
      <w:bookmarkEnd w:id="119"/>
      <w:bookmarkEnd w:id="120"/>
      <w:bookmarkEnd w:id="121"/>
      <w:bookmarkEnd w:id="122"/>
      <w:r>
        <w:t>3. sadaļa</w:t>
      </w:r>
      <w:bookmarkEnd w:id="123"/>
      <w:bookmarkEnd w:id="124"/>
      <w:bookmarkEnd w:id="125"/>
      <w:r>
        <w:t xml:space="preserve"> </w:t>
      </w:r>
    </w:p>
    <w:p w:rsidR="00A919B7" w:rsidRPr="00483B32" w:rsidRDefault="00A919B7" w:rsidP="00A919B7">
      <w:pPr>
        <w:pStyle w:val="Hdg1noborder"/>
        <w:spacing w:before="120" w:after="120" w:line="240" w:lineRule="auto"/>
        <w:rPr>
          <w:rFonts w:eastAsiaTheme="majorEastAsia"/>
        </w:rPr>
      </w:pPr>
      <w:bookmarkStart w:id="126" w:name="_Toc403380323"/>
      <w:bookmarkStart w:id="127" w:name="_Toc403985041"/>
      <w:bookmarkStart w:id="128" w:name="_Toc428279679"/>
      <w:r>
        <w:rPr>
          <w:rFonts w:asciiTheme="majorHAnsi" w:eastAsiaTheme="majorEastAsia" w:hAnsiTheme="majorHAnsi" w:cstheme="majorBidi"/>
          <w:bCs/>
          <w:color w:val="FFC000" w:themeColor="accent4"/>
          <w:sz w:val="28"/>
          <w:szCs w:val="26"/>
        </w:rPr>
        <w:t>Produktu kopiju izveide un tiesības veidot sistēmas kopijas</w:t>
      </w:r>
      <w:bookmarkEnd w:id="126"/>
      <w:bookmarkEnd w:id="127"/>
      <w:bookmarkEnd w:id="128"/>
    </w:p>
    <w:p w:rsidR="00A919B7" w:rsidRPr="00483B32" w:rsidRDefault="00A919B7" w:rsidP="00A919B7">
      <w:pPr>
        <w:spacing w:before="120" w:line="240" w:lineRule="auto"/>
      </w:pPr>
      <w:r>
        <w:rPr>
          <w:rFonts w:eastAsia="Times New Roman" w:cs="Times New Roman"/>
          <w:color w:val="505050"/>
          <w:szCs w:val="20"/>
        </w:rPr>
        <w:t>Jūsu reģistrētie</w:t>
      </w:r>
      <w:r>
        <w:t xml:space="preserve"> </w:t>
      </w:r>
      <w:r>
        <w:rPr>
          <w:rFonts w:eastAsia="Times New Roman" w:cs="Times New Roman"/>
          <w:color w:val="505050"/>
          <w:szCs w:val="20"/>
        </w:rPr>
        <w:t>Iegādes konti drīkst izveidot tik daudz Produkta kopiju, cik nepieciešams izplatīšanai uzņēmumā. Kopijām jābūt īstām un pilnīgām (tostarp paziņojumiem par autortiesībām un preču zīmēm), kas izveidotas, izmantojot no korporācijas Microsoft apstiprināta piegādes avota iegūtas galvenās kopijas. Iegādes konti var izmantot trešās personas pakalpojumus, lai izveidotu šīs kopijas; tomēr jūs un jūsu konti joprojām ir atbildīgi par jebkurām trešās personas darbībām.</w:t>
      </w:r>
      <w:r>
        <w:t xml:space="preserve"> </w:t>
      </w:r>
    </w:p>
    <w:p w:rsidR="00A919B7" w:rsidRPr="00483B32" w:rsidRDefault="00A919B7" w:rsidP="00A919B7">
      <w:pPr>
        <w:spacing w:before="120" w:line="240" w:lineRule="auto"/>
      </w:pPr>
      <w:r>
        <w:rPr>
          <w:rFonts w:eastAsia="Times New Roman" w:cs="Times New Roman"/>
          <w:color w:val="505050"/>
          <w:szCs w:val="20"/>
        </w:rPr>
        <w:t>Noteiktos gadījumos ir atļauta sistēmas kopiju veidošana, izmantojot Produkta datu nesēju. Ja Produkts ir licencēts, (1) izmantojot oriģinālā aprīkojuma ražotāju (original equipment manufacturer — OEM), (2) kā pilnas komplektācijas Produkts, izmantojot mazumtirdzniecības avotu vai (3) izmantojot citu Microsoft programmu, tad saskaņā ar šo MPSA iegūto datu nesēju var izmantot, lai radītu kopijas izmantošanai to kopiju vietā, kas tiek izsniegtas, izmantojot konkrēto avotu. Šīs tiesības ir spēkā, ja tiek ievēroti tālāk minētie nosacījumi:</w:t>
      </w:r>
    </w:p>
    <w:p w:rsidR="00A919B7" w:rsidRPr="00483B32" w:rsidRDefault="00A919B7" w:rsidP="00A919B7">
      <w:pPr>
        <w:pStyle w:val="BodyText"/>
        <w:numPr>
          <w:ilvl w:val="0"/>
          <w:numId w:val="16"/>
        </w:numPr>
        <w:spacing w:after="0"/>
      </w:pPr>
      <w:r>
        <w:t>katram Produktam, kuram tiek veidota sistēmas kopija, no atsevišķā avota ir jāiegādājas atsevišķas Licences;</w:t>
      </w:r>
    </w:p>
    <w:p w:rsidR="00A919B7" w:rsidRPr="00483B32" w:rsidRDefault="00A919B7" w:rsidP="00A919B7">
      <w:pPr>
        <w:pStyle w:val="BodyText"/>
        <w:numPr>
          <w:ilvl w:val="0"/>
          <w:numId w:val="16"/>
        </w:numPr>
        <w:spacing w:after="0"/>
      </w:pPr>
      <w:r>
        <w:t>izgatavoto kopiju Produktam, valodai, versijai un komponentiem ir jābūt identiskiem to kopiju Produktam, valodai, versijai un visiem komponentiem, ko tās aizstāj, un pārkopētā Produkta kopiju vai kopēšanas gadījumu skaits paliek tāds pats.</w:t>
      </w:r>
    </w:p>
    <w:p w:rsidR="00A919B7" w:rsidRPr="00483B32" w:rsidRDefault="00A919B7" w:rsidP="00A919B7">
      <w:pPr>
        <w:pStyle w:val="BodyText"/>
        <w:numPr>
          <w:ilvl w:val="0"/>
          <w:numId w:val="16"/>
        </w:numPr>
        <w:spacing w:after="0"/>
      </w:pPr>
      <w:r>
        <w:t>izņemot operētājsistēmas kopijas un Produktu kopijas, kas tiek licencētas citā Microsoft programmā, pārkopētā Produkta tipam (piemēram, jauninājumam vai pilna apjoma licencei) ir jābūt identiskam tā Produkta tipam, kas ir licencēts no atsevišķa avota;</w:t>
      </w:r>
    </w:p>
    <w:p w:rsidR="00A919B7" w:rsidRPr="00483B32" w:rsidRDefault="00A919B7" w:rsidP="00A919B7">
      <w:pPr>
        <w:pStyle w:val="BodyText"/>
        <w:numPr>
          <w:ilvl w:val="0"/>
          <w:numId w:val="16"/>
        </w:numPr>
        <w:spacing w:after="0"/>
      </w:pPr>
      <w:r>
        <w:t>Iegādes kontam ir jāatbilst Produktu nosacījumos norādītajām konkrētā Produkta sistēmu kopiju veidošanas procedūrām un prasībām;</w:t>
      </w:r>
    </w:p>
    <w:p w:rsidR="00A919B7" w:rsidRPr="00483B32" w:rsidRDefault="00A919B7" w:rsidP="00A919B7">
      <w:pPr>
        <w:pStyle w:val="BodyText"/>
        <w:numPr>
          <w:ilvl w:val="0"/>
          <w:numId w:val="16"/>
        </w:numPr>
        <w:spacing w:after="0"/>
      </w:pPr>
      <w:r>
        <w:t xml:space="preserve">uz Produktiem, kuriem izveidotas sistēmas kopijas, attiecas tās licences nosacījumi un lietošanas noteikumi, kas iegūta no atsevišķā avota. </w:t>
      </w:r>
    </w:p>
    <w:p w:rsidR="00A919B7" w:rsidRPr="00483B32" w:rsidRDefault="00A919B7" w:rsidP="00A919B7">
      <w:pPr>
        <w:pStyle w:val="Thirdheading"/>
      </w:pPr>
      <w:r>
        <w:rPr>
          <w:b/>
        </w:rPr>
        <w:t xml:space="preserve">Kopijas apmācībai, novērtēšanai un dublēšanai </w:t>
      </w:r>
    </w:p>
    <w:p w:rsidR="00A919B7" w:rsidRPr="00483B32" w:rsidRDefault="00A919B7" w:rsidP="00A919B7">
      <w:pPr>
        <w:spacing w:before="120" w:line="240" w:lineRule="auto"/>
      </w:pPr>
      <w:r>
        <w:rPr>
          <w:rFonts w:eastAsia="Times New Roman" w:cs="Times New Roman"/>
          <w:color w:val="505050"/>
          <w:szCs w:val="20"/>
        </w:rPr>
        <w:t xml:space="preserve">Attiecībā uz visiem Produktiem, kas nav Tiešsaistes pakalpojumi, katrs Iegādes konts drīkst (1) speciālās apmācības telpās savā uzņēmumā lietot ne vairāk kā 20 jebkura licencēta Produkta papildkopijas attiecīgā Produkta apmācības nolūkos; (2) lietot ne vairāk kā 10 jebkura licencēta Produkta papildkopijas 60 dienu izmēģinājuma periodā; (3) lietot vienu jebkura licencēta Produkta papildkopiju dublēšanas vai arhivēšanas nolūkos katrā atsevišķā ģeogrāfiskajā atrašanās vietā. </w:t>
      </w:r>
    </w:p>
    <w:p w:rsidR="00A919B7" w:rsidRPr="00483B32" w:rsidRDefault="00A919B7" w:rsidP="00A919B7">
      <w:pPr>
        <w:pStyle w:val="Hdg1noborder"/>
        <w:spacing w:before="120" w:after="120" w:line="240" w:lineRule="auto"/>
        <w:rPr>
          <w:rFonts w:eastAsiaTheme="majorEastAsia"/>
        </w:rPr>
      </w:pPr>
      <w:bookmarkStart w:id="129" w:name="_Toc403380324"/>
      <w:bookmarkStart w:id="130" w:name="_Toc403985042"/>
      <w:bookmarkStart w:id="131" w:name="_Toc428279680"/>
      <w:r>
        <w:rPr>
          <w:rFonts w:asciiTheme="majorHAnsi" w:eastAsiaTheme="majorEastAsia" w:hAnsiTheme="majorHAnsi" w:cstheme="majorBidi"/>
          <w:bCs/>
          <w:color w:val="FFC000" w:themeColor="accent4"/>
          <w:sz w:val="28"/>
          <w:szCs w:val="26"/>
        </w:rPr>
        <w:t>Licenču nodošanas process</w:t>
      </w:r>
      <w:bookmarkEnd w:id="129"/>
      <w:bookmarkEnd w:id="130"/>
      <w:bookmarkEnd w:id="131"/>
    </w:p>
    <w:p w:rsidR="00A919B7" w:rsidRPr="00483B32" w:rsidRDefault="00A919B7" w:rsidP="00A919B7">
      <w:pPr>
        <w:pStyle w:val="BodyText"/>
      </w:pPr>
      <w:r>
        <w:t xml:space="preserve">Pirms Licences nodošanas jums par to jāpaziņo korporācijai Microsoft, aizpildot licences nodošanas veidlapu, kuru var iegūt vietnē </w:t>
      </w:r>
      <w:hyperlink r:id="rId29" w:history="1">
        <w:r>
          <w:rPr>
            <w:rStyle w:val="Hyperlink"/>
          </w:rPr>
          <w:t>http://www.microsoft.com/licensing/contracts</w:t>
        </w:r>
      </w:hyperlink>
      <w:r>
        <w:t xml:space="preserve">, un nosūtot aizpildīto veidlapu korporācijai Microsoft. Licenču nodošana nav spēkā, kamēr jūs tiesību pārņēmējam neesat nodrošinājis informāciju par piemērojamiem Produktu lietošanas noteikumiem, lietošanas un atbildības </w:t>
      </w:r>
      <w:r>
        <w:lastRenderedPageBreak/>
        <w:t>ierobežojumiem (tostarp izņēmumiem un garantijas nosacījumiem) un šajā sadaļā minētajiem nodošanas ierobežojumiem un kamēr tiesību pārņēmējs nav tiem rakstiski piekritis.</w:t>
      </w:r>
    </w:p>
    <w:p w:rsidR="00A919B7" w:rsidRPr="00483B32" w:rsidRDefault="00A919B7" w:rsidP="00A919B7">
      <w:pPr>
        <w:pStyle w:val="Hdg1noborder"/>
        <w:spacing w:before="120" w:after="120" w:line="240" w:lineRule="auto"/>
        <w:rPr>
          <w:rFonts w:eastAsiaTheme="majorEastAsia"/>
        </w:rPr>
      </w:pPr>
      <w:bookmarkStart w:id="132" w:name="_Toc428279681"/>
      <w:r>
        <w:rPr>
          <w:rFonts w:asciiTheme="majorHAnsi" w:eastAsiaTheme="majorEastAsia" w:hAnsiTheme="majorHAnsi" w:cstheme="majorBidi"/>
          <w:bCs/>
          <w:color w:val="FFC000" w:themeColor="accent4"/>
          <w:sz w:val="28"/>
          <w:szCs w:val="26"/>
        </w:rPr>
        <w:t xml:space="preserve">Atbilstības procesa pārbaude un </w:t>
      </w:r>
      <w:r>
        <w:rPr>
          <w:rFonts w:asciiTheme="majorHAnsi" w:eastAsiaTheme="majorEastAsia" w:hAnsiTheme="majorHAnsi"/>
          <w:color w:val="FFC000" w:themeColor="accent4"/>
          <w:sz w:val="28"/>
        </w:rPr>
        <w:t>ierobežojumi</w:t>
      </w:r>
      <w:bookmarkEnd w:id="132"/>
      <w:r>
        <w:rPr>
          <w:rFonts w:asciiTheme="majorHAnsi" w:eastAsiaTheme="majorEastAsia" w:hAnsiTheme="majorHAnsi"/>
          <w:color w:val="FFC000" w:themeColor="accent4"/>
          <w:sz w:val="28"/>
        </w:rPr>
        <w:t xml:space="preserve"> </w:t>
      </w:r>
    </w:p>
    <w:p w:rsidR="00A919B7" w:rsidRPr="00483B32" w:rsidRDefault="00A919B7" w:rsidP="00A919B7">
      <w:pPr>
        <w:pStyle w:val="BodyText"/>
      </w:pPr>
      <w:r>
        <w:t xml:space="preserve">Microsoft ne vēlāk kā 30 dienas iepriekš paziņos jums par nodomu pārbaudīt jūsu atbilstību to Produktu licences nosacījumiem, kurus jūs un jūsu saistītie uzņēmumi lieto vai izplata. Microsoft uzaicinās neatkarīgu auditoru, kurš būs pakļauts konfidencialitātes prasībām. Pašpārbaudes procesa gaitā iegūtā informācija tiks izmantota tikai atbilstības noteikšanai. Šāda pārbaude tiks veikta parastajā darba laikā un veidā, kas nepamatoti netraucē jūsu darbu. </w:t>
      </w:r>
    </w:p>
    <w:p w:rsidR="00A919B7" w:rsidRPr="00483B32" w:rsidRDefault="00A919B7" w:rsidP="00A919B7">
      <w:pPr>
        <w:pStyle w:val="Hdg1noborder"/>
        <w:spacing w:before="120" w:after="120" w:line="240" w:lineRule="auto"/>
        <w:rPr>
          <w:rFonts w:eastAsiaTheme="majorEastAsia"/>
        </w:rPr>
      </w:pPr>
      <w:bookmarkStart w:id="133" w:name="_Toc428279682"/>
      <w:bookmarkStart w:id="134" w:name="_Toc403380325"/>
      <w:bookmarkStart w:id="135" w:name="_Toc403985043"/>
      <w:r>
        <w:rPr>
          <w:rFonts w:asciiTheme="majorHAnsi" w:eastAsiaTheme="majorEastAsia" w:hAnsiTheme="majorHAnsi" w:cstheme="majorBidi"/>
          <w:bCs/>
          <w:color w:val="FFC000" w:themeColor="accent4"/>
          <w:sz w:val="28"/>
          <w:szCs w:val="26"/>
        </w:rPr>
        <w:t>Atsavināšana</w:t>
      </w:r>
      <w:bookmarkEnd w:id="133"/>
    </w:p>
    <w:p w:rsidR="00A919B7" w:rsidRPr="00483B32" w:rsidRDefault="00A919B7" w:rsidP="00A919B7">
      <w:pPr>
        <w:pStyle w:val="BodyText"/>
      </w:pPr>
      <w:r>
        <w:t>Ja paredzējāt nodot vairāk nekā desmit procentus no jūsu licences saistībā ar saistītā uzņēmuma, uzņēmuma nodaļas vai jebkuras jūsu saistītā uzņēmuma nodaļas atsavināšanu, korporācija Microsoft labticīgi sadarbosies ar jums, lai jūs varētu īstenot šo nodošanu.</w:t>
      </w:r>
    </w:p>
    <w:p w:rsidR="00A919B7" w:rsidRPr="002A1A26" w:rsidRDefault="00A919B7" w:rsidP="00A919B7">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6" w:name="_Toc428279683"/>
      <w:r w:rsidRPr="002A1A26">
        <w:rPr>
          <w:rFonts w:asciiTheme="majorHAnsi" w:eastAsiaTheme="majorEastAsia" w:hAnsiTheme="majorHAnsi" w:cstheme="majorBidi"/>
          <w:bCs/>
          <w:color w:val="FFC000" w:themeColor="accent4"/>
          <w:sz w:val="28"/>
          <w:szCs w:val="26"/>
        </w:rPr>
        <w:t>Dabas katastrofa</w:t>
      </w:r>
      <w:bookmarkEnd w:id="134"/>
      <w:bookmarkEnd w:id="135"/>
      <w:bookmarkEnd w:id="136"/>
      <w:r>
        <w:rPr>
          <w:rFonts w:asciiTheme="majorHAnsi" w:eastAsiaTheme="majorEastAsia" w:hAnsiTheme="majorHAnsi" w:cstheme="majorBidi"/>
          <w:bCs/>
          <w:color w:val="FFC000" w:themeColor="accent4"/>
          <w:sz w:val="28"/>
          <w:szCs w:val="26"/>
        </w:rPr>
        <w:t xml:space="preserve"> </w:t>
      </w:r>
    </w:p>
    <w:p w:rsidR="00A919B7" w:rsidRPr="00483B32" w:rsidRDefault="00A919B7" w:rsidP="00A919B7">
      <w:pPr>
        <w:pStyle w:val="BodyText"/>
      </w:pPr>
      <w:r>
        <w:t>Dabas katastrofas gadījumā korporācija Microsoft var nodrošināt papildu palīdzību vai tiesības, publicējot informāciju vietnē http://www.microsoft.com.</w:t>
      </w:r>
    </w:p>
    <w:p w:rsidR="00A919B7" w:rsidRPr="00483B32" w:rsidRDefault="00A919B7" w:rsidP="00A919B7">
      <w:pPr>
        <w:pStyle w:val="Hdg1noborder"/>
      </w:pPr>
      <w:bookmarkStart w:id="137" w:name="_Toc403380326"/>
      <w:bookmarkStart w:id="138" w:name="_Toc403985044"/>
      <w:bookmarkStart w:id="139" w:name="_Toc428279684"/>
      <w:r>
        <w:t>4. sadaļa</w:t>
      </w:r>
      <w:bookmarkEnd w:id="137"/>
      <w:bookmarkEnd w:id="138"/>
      <w:bookmarkEnd w:id="139"/>
      <w:r>
        <w:t xml:space="preserve"> </w:t>
      </w:r>
    </w:p>
    <w:p w:rsidR="00A919B7" w:rsidRPr="00483B32" w:rsidRDefault="00A919B7" w:rsidP="00A919B7">
      <w:pPr>
        <w:pStyle w:val="Hdg1noborder"/>
        <w:spacing w:before="120" w:after="120" w:line="240" w:lineRule="auto"/>
        <w:rPr>
          <w:rFonts w:eastAsiaTheme="majorEastAsia"/>
        </w:rPr>
      </w:pPr>
      <w:bookmarkStart w:id="140" w:name="_Toc403380327"/>
      <w:bookmarkStart w:id="141" w:name="_Toc403985045"/>
      <w:bookmarkStart w:id="142" w:name="_Toc428279685"/>
      <w:r>
        <w:rPr>
          <w:rFonts w:asciiTheme="majorHAnsi" w:eastAsiaTheme="majorEastAsia" w:hAnsiTheme="majorHAnsi" w:cstheme="majorBidi"/>
          <w:color w:val="FFC000" w:themeColor="accent4"/>
          <w:sz w:val="28"/>
          <w:szCs w:val="26"/>
        </w:rPr>
        <w:t>Pēdējo 12 mēnešu laikā veiktās izmaiņas licencēšanas rokasgrāmatā</w:t>
      </w:r>
      <w:bookmarkEnd w:id="140"/>
      <w:bookmarkEnd w:id="141"/>
      <w:bookmarkEnd w:id="142"/>
    </w:p>
    <w:p w:rsidR="00A919B7" w:rsidRPr="00483B32" w:rsidRDefault="00A919B7" w:rsidP="00A919B7">
      <w:pPr>
        <w:pStyle w:val="BodyText"/>
        <w:numPr>
          <w:ilvl w:val="0"/>
          <w:numId w:val="16"/>
        </w:numPr>
        <w:spacing w:after="0"/>
      </w:pPr>
      <w:r>
        <w:t xml:space="preserve">Atjaunināts 2015. gada augustā, lai ietvertu informāciju par Azure pakalpojumu, Tiešsaistes pakalpojumu un Pakotnes iegādes papildu iespējām un saskaņotu tekstu ar Produktu nosacījumu dokumenta saturu. Sākot ar 2015. gada 1. jūliju, Produktu nosacījumi ir aizstāti ar Produktu sarakstu un Produktu lietošanas noteikumu (Product Use Rights — PUR) dokumentu. </w:t>
      </w:r>
    </w:p>
    <w:p w:rsidR="00A919B7" w:rsidRPr="00483B32" w:rsidRDefault="00A919B7" w:rsidP="00A919B7">
      <w:pPr>
        <w:pStyle w:val="BodyText"/>
        <w:numPr>
          <w:ilvl w:val="0"/>
          <w:numId w:val="16"/>
        </w:numPr>
        <w:spacing w:after="0"/>
      </w:pPr>
      <w:r>
        <w:t>2015. gada maijā tika pievienota informācija par atbilstības pārbaudes procesu, licences nodošanu atsavināšanas gadījumā un SA pievienošanu OEM/FPP.</w:t>
      </w:r>
    </w:p>
    <w:p w:rsidR="00A919B7" w:rsidRPr="00483B32" w:rsidRDefault="00A919B7" w:rsidP="00A919B7">
      <w:pPr>
        <w:pStyle w:val="BodyText"/>
        <w:numPr>
          <w:ilvl w:val="0"/>
          <w:numId w:val="16"/>
        </w:numPr>
        <w:spacing w:after="0"/>
      </w:pPr>
      <w:r>
        <w:t xml:space="preserve">Atjaunināts 2015. gada februārī, lai atbalstītu Valsts un Izglītības iestāžu Iegādes kontu veidu procesu palaišanu. </w:t>
      </w:r>
    </w:p>
    <w:p w:rsidR="00A919B7" w:rsidRPr="00483B32" w:rsidRDefault="00A919B7" w:rsidP="00A919B7">
      <w:pPr>
        <w:pStyle w:val="BodyText"/>
        <w:numPr>
          <w:ilvl w:val="0"/>
          <w:numId w:val="16"/>
        </w:numPr>
        <w:spacing w:after="0"/>
      </w:pPr>
      <w:r>
        <w:t>2014. gada decembrī atjaunināta informācija par Programmu lietošanai mājās un noņemta atsauce uz Windows Companion abonēšanu.</w:t>
      </w:r>
    </w:p>
    <w:p w:rsidR="00A919B7" w:rsidRPr="00483B32" w:rsidRDefault="00A919B7" w:rsidP="00A919B7">
      <w:pPr>
        <w:pStyle w:val="BodyText"/>
        <w:numPr>
          <w:ilvl w:val="0"/>
          <w:numId w:val="16"/>
        </w:numPr>
        <w:spacing w:after="0"/>
      </w:pPr>
      <w:r>
        <w:t>2014. gada septembrī atjaunināta, lai atbalstītu Software Assurance un Software Assurance priekšrocību palaišanu.</w:t>
      </w:r>
    </w:p>
    <w:p w:rsidR="00A919B7" w:rsidRPr="00483B32" w:rsidRDefault="00A919B7" w:rsidP="00A919B7">
      <w:pPr>
        <w:pStyle w:val="Hdg1noborder"/>
      </w:pPr>
      <w:bookmarkStart w:id="143" w:name="_Toc403380328"/>
      <w:bookmarkStart w:id="144" w:name="_Toc403985046"/>
      <w:bookmarkStart w:id="145" w:name="_Toc428279686"/>
      <w:r>
        <w:t>Pielikums</w:t>
      </w:r>
      <w:bookmarkEnd w:id="143"/>
      <w:bookmarkEnd w:id="144"/>
      <w:bookmarkEnd w:id="145"/>
    </w:p>
    <w:p w:rsidR="00A919B7" w:rsidRPr="00483B32" w:rsidRDefault="00A919B7" w:rsidP="00A919B7">
      <w:pPr>
        <w:pStyle w:val="Hdg1noborder"/>
        <w:spacing w:before="120" w:after="120" w:line="240" w:lineRule="auto"/>
        <w:rPr>
          <w:rFonts w:eastAsiaTheme="majorEastAsia"/>
        </w:rPr>
      </w:pPr>
      <w:bookmarkStart w:id="146" w:name="_Toc403985047"/>
      <w:bookmarkStart w:id="147" w:name="_Toc428279687"/>
      <w:bookmarkStart w:id="148" w:name="_Toc403380329"/>
      <w:r>
        <w:rPr>
          <w:rFonts w:asciiTheme="majorHAnsi" w:eastAsiaTheme="majorEastAsia" w:hAnsiTheme="majorHAnsi" w:cstheme="majorBidi"/>
          <w:bCs/>
          <w:color w:val="FFC000" w:themeColor="accent4"/>
          <w:sz w:val="28"/>
          <w:szCs w:val="26"/>
        </w:rPr>
        <w:t>Reģionu definīcija</w:t>
      </w:r>
      <w:bookmarkEnd w:id="146"/>
      <w:bookmarkEnd w:id="147"/>
      <w:r>
        <w:rPr>
          <w:rFonts w:asciiTheme="majorHAnsi" w:eastAsiaTheme="majorEastAsia" w:hAnsiTheme="majorHAnsi" w:cstheme="majorBidi"/>
          <w:color w:val="FFC000" w:themeColor="accent4"/>
          <w:sz w:val="28"/>
          <w:szCs w:val="26"/>
        </w:rPr>
        <w:t xml:space="preserve"> </w:t>
      </w:r>
      <w:bookmarkEnd w:id="148"/>
    </w:p>
    <w:p w:rsidR="00A919B7" w:rsidRPr="00483B32" w:rsidRDefault="00A919B7" w:rsidP="00A919B7">
      <w:pPr>
        <w:pStyle w:val="BodyText"/>
      </w:pPr>
      <w:r>
        <w:t>Tālāk atrodamajā sarakstā ir norādītas valstis</w:t>
      </w:r>
      <w:r>
        <w:rPr>
          <w:color w:val="1F497D"/>
        </w:rPr>
        <w:t xml:space="preserve">, </w:t>
      </w:r>
      <w:r>
        <w:t>reģioni vai teritorijas</w:t>
      </w:r>
      <w:r>
        <w:rPr>
          <w:color w:val="FF0000"/>
        </w:rPr>
        <w:t xml:space="preserve"> </w:t>
      </w:r>
      <w:r>
        <w:t>kas ir daļa no korporācijas Microsoft definīcijas par EMEA reģionu (Eiropa, Tuvie austrumi un Āfrika), kurš var būt minēts dažos valstij atbilstošajos nosacījumos par Iegādes konta veidu. Lūdzu, ņemiet vērā, ka līgums MPSA, iespējams, nav pieejams visās valstīs.</w:t>
      </w:r>
    </w:p>
    <w:p w:rsidR="00A919B7" w:rsidRPr="00C97428" w:rsidRDefault="00A919B7" w:rsidP="00A919B7">
      <w:pPr>
        <w:pStyle w:val="BodyText"/>
        <w:rPr>
          <w:sz w:val="14"/>
          <w:szCs w:val="14"/>
        </w:rPr>
      </w:pPr>
      <w:r w:rsidRPr="00C97428">
        <w:rPr>
          <w:sz w:val="14"/>
          <w:szCs w:val="14"/>
        </w:rPr>
        <w:t>Afganistāna, Albānija, Alžīrija, Andora, Angola, Apvienotā Karaliste, Apvienotie Arābu Emirāti, Armēnija, Austrija, Azerbaidžāna, Bahreina, Baltkrievija, Beļģija, Benina, Bosnija un Hercegovina, Botsvāna, Bulgārija, Burkinafaso, Burundija, Centrālāfrikas Republika, Čada, Čehija, Dānija, Dienvidāfrika, Dienvidsudāna, Džibutija, Ēģipte, Ekvatoriālā Gvineja, Eritreja, Etiopija, Francija, Francijas Polinēzija, Gabona, Gambija, Gana, Grieķija, Gruzija, Gvineja, Gvineja-Bisava, Horvātija, Igaunija, Islande, Irāka, Izraēla, Itālija, Īrija, Jaunkaledonija, Jemena, Jordānija, Kaboverde, Kamerūna, Katara, Kazahstāna, Kenija, Kuveita, Kirgizstāna, Kipra, Komoru salas, Kongo, Kongo (KDR), Kotdivuāra, Krievija, Latvija, Libāna, Lībija, Lihtenšteina, Lietuva, Luksemburga, Maķedonija, Madagaskara, Malāvija, Mali, Malta, Mauritānija, Maurīcija, Moldova, Monako, Mongolija, Melnzeme, Maroka, Mozambika, Namībija, Nīderlande, Nigēra, Nigērija, Norvēģija, Omāna, Pakistāna, Polija, Portugāle, Rumānija, Ruanda, Sanmarīno, Saūda Arābija, Senegāla, Serbija, Seišelu salas, Sīrija, Sjerraleone, Slovākija, Slovēnija, Somija, Somālija, Spānija, Svētais krēsls (Vatikāns), Šveice, Tadžikistāna, Tanzānija, Togo, Tunisija, Turcija, Turkmenistāna, Uganda, Ukraina, Ungārija, Uzbekistāna, Vācija, Zviedrija, Zambija, Zimbabve</w:t>
      </w:r>
      <w:r w:rsidRPr="00C97428">
        <w:rPr>
          <w:rFonts w:cs="Segoe UI"/>
          <w:color w:val="1C4269"/>
          <w:sz w:val="14"/>
          <w:szCs w:val="14"/>
        </w:rPr>
        <w:t>.</w:t>
      </w:r>
    </w:p>
    <w:p w:rsidR="00A919B7" w:rsidRPr="00483B32" w:rsidRDefault="00A919B7" w:rsidP="00A919B7">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19B7" w:rsidRDefault="00A919B7" w:rsidP="00A919B7">
      <w:pPr>
        <w:spacing w:line="240" w:lineRule="auto"/>
      </w:pPr>
      <w:r>
        <w:separator/>
      </w:r>
    </w:p>
  </w:endnote>
  <w:endnote w:type="continuationSeparator" w:id="0">
    <w:p w:rsidR="00A919B7" w:rsidRDefault="00A919B7" w:rsidP="00A919B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19B7" w:rsidRPr="00175A86" w:rsidRDefault="00A919B7"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7437" w:rsidRDefault="005F70F3" w:rsidP="001007D7">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B47437" w:rsidRPr="00C537F0" w:rsidRDefault="005F70F3" w:rsidP="001007D7">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Pr>
        <w:noProof/>
      </w:rPr>
      <w:t>17</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7437" w:rsidRDefault="005F70F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19B7" w:rsidRDefault="00A919B7" w:rsidP="00A919B7">
      <w:pPr>
        <w:spacing w:line="240" w:lineRule="auto"/>
      </w:pPr>
      <w:r>
        <w:separator/>
      </w:r>
    </w:p>
  </w:footnote>
  <w:footnote w:type="continuationSeparator" w:id="0">
    <w:p w:rsidR="00A919B7" w:rsidRDefault="00A919B7" w:rsidP="00A919B7">
      <w:pPr>
        <w:spacing w:line="240" w:lineRule="auto"/>
      </w:pPr>
      <w:r>
        <w:continuationSeparator/>
      </w:r>
    </w:p>
  </w:footnote>
  <w:footnote w:id="1">
    <w:p w:rsidR="00A919B7" w:rsidRDefault="00A919B7" w:rsidP="00A919B7">
      <w:pPr>
        <w:pStyle w:val="FootnoteText"/>
      </w:pPr>
      <w:r w:rsidRPr="007B5219">
        <w:rPr>
          <w:rStyle w:val="FootnoteReference"/>
          <w:sz w:val="18"/>
        </w:rPr>
        <w:footnoteRef/>
      </w:r>
      <w:r>
        <w:rPr>
          <w:sz w:val="14"/>
        </w:rPr>
        <w:t xml:space="preserve"> </w:t>
      </w:r>
      <w:r w:rsidRPr="002A1A26">
        <w:rPr>
          <w:sz w:val="14"/>
        </w:rPr>
        <w:t>Ja nepieciešams, tiek atbalstīta elektroniski izveidotu līgumu fiziska parakstīšana.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19B7" w:rsidRPr="00175A86" w:rsidRDefault="00A919B7"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19B7" w:rsidRDefault="00A919B7"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7437" w:rsidRPr="00C537F0" w:rsidRDefault="005F70F3"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7437" w:rsidRDefault="005F70F3"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Lbp4CP9laHrYzGXs6rebyBWLxkYhtKfuQkhcPxAK3JcNz0JZLM/YatKy1IumEQPI8CjfIoZgHvcWPA1e11YtRQ==" w:salt="OcKhTWw4eLJXFh39tEVIhw=="/>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19B7"/>
    <w:rsid w:val="005F70F3"/>
    <w:rsid w:val="00A919B7"/>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1CEE11-EF38-46E8-B6B4-08921CD3B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A919B7"/>
    <w:pPr>
      <w:spacing w:after="0" w:line="240" w:lineRule="atLeast"/>
    </w:pPr>
    <w:rPr>
      <w:rFonts w:ascii="Segoe UI" w:hAnsi="Segoe UI"/>
      <w:sz w:val="18"/>
      <w:lang w:val="lv-LV" w:eastAsia="lv-LV" w:bidi="lv-LV"/>
    </w:rPr>
  </w:style>
  <w:style w:type="paragraph" w:styleId="Heading1">
    <w:name w:val="heading 1"/>
    <w:aliases w:val="Hdg 1 w/ border"/>
    <w:next w:val="Normal"/>
    <w:link w:val="Heading1Char"/>
    <w:uiPriority w:val="2"/>
    <w:qFormat/>
    <w:rsid w:val="00A919B7"/>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lv-LV" w:eastAsia="lv-LV" w:bidi="lv-LV"/>
    </w:rPr>
  </w:style>
  <w:style w:type="paragraph" w:styleId="Heading2">
    <w:name w:val="heading 2"/>
    <w:next w:val="Normal"/>
    <w:link w:val="Heading2Char"/>
    <w:uiPriority w:val="2"/>
    <w:qFormat/>
    <w:rsid w:val="00A919B7"/>
    <w:pPr>
      <w:keepNext/>
      <w:keepLines/>
      <w:spacing w:before="120" w:after="120" w:line="240" w:lineRule="auto"/>
      <w:outlineLvl w:val="1"/>
    </w:pPr>
    <w:rPr>
      <w:rFonts w:asciiTheme="majorHAnsi" w:eastAsiaTheme="majorEastAsia" w:hAnsiTheme="majorHAnsi" w:cstheme="majorBidi"/>
      <w:b/>
      <w:bCs/>
      <w:color w:val="FFC000" w:themeColor="accent4"/>
      <w:szCs w:val="18"/>
      <w:lang w:val="lv-LV" w:eastAsia="lv-LV" w:bidi="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A919B7"/>
    <w:rPr>
      <w:rFonts w:ascii="Segoe UI Light" w:eastAsia="Times New Roman" w:hAnsi="Segoe UI Light" w:cs="Times New Roman"/>
      <w:color w:val="68217A"/>
      <w:kern w:val="36"/>
      <w:sz w:val="36"/>
      <w:szCs w:val="39"/>
      <w:lang w:val="lv-LV" w:eastAsia="lv-LV" w:bidi="lv-LV"/>
    </w:rPr>
  </w:style>
  <w:style w:type="character" w:customStyle="1" w:styleId="Heading2Char">
    <w:name w:val="Heading 2 Char"/>
    <w:basedOn w:val="DefaultParagraphFont"/>
    <w:link w:val="Heading2"/>
    <w:uiPriority w:val="2"/>
    <w:rsid w:val="00A919B7"/>
    <w:rPr>
      <w:rFonts w:asciiTheme="majorHAnsi" w:eastAsiaTheme="majorEastAsia" w:hAnsiTheme="majorHAnsi" w:cstheme="majorBidi"/>
      <w:b/>
      <w:bCs/>
      <w:color w:val="FFC000" w:themeColor="accent4"/>
      <w:szCs w:val="18"/>
      <w:lang w:val="lv-LV" w:eastAsia="lv-LV" w:bidi="lv-LV"/>
    </w:rPr>
  </w:style>
  <w:style w:type="paragraph" w:styleId="BalloonText">
    <w:name w:val="Balloon Text"/>
    <w:basedOn w:val="Normal"/>
    <w:link w:val="BalloonTextChar"/>
    <w:uiPriority w:val="99"/>
    <w:semiHidden/>
    <w:unhideWhenUsed/>
    <w:rsid w:val="00A919B7"/>
    <w:rPr>
      <w:rFonts w:ascii="Tahoma" w:hAnsi="Tahoma" w:cs="Tahoma"/>
      <w:sz w:val="16"/>
      <w:szCs w:val="16"/>
    </w:rPr>
  </w:style>
  <w:style w:type="character" w:customStyle="1" w:styleId="BalloonTextChar">
    <w:name w:val="Balloon Text Char"/>
    <w:basedOn w:val="DefaultParagraphFont"/>
    <w:link w:val="BalloonText"/>
    <w:uiPriority w:val="99"/>
    <w:semiHidden/>
    <w:rsid w:val="00A919B7"/>
    <w:rPr>
      <w:rFonts w:ascii="Tahoma" w:hAnsi="Tahoma" w:cs="Tahoma"/>
      <w:sz w:val="16"/>
      <w:szCs w:val="16"/>
      <w:lang w:val="lv-LV" w:eastAsia="lv-LV" w:bidi="lv-LV"/>
    </w:rPr>
  </w:style>
  <w:style w:type="paragraph" w:customStyle="1" w:styleId="ecxmsonormal">
    <w:name w:val="ecxmsonormal"/>
    <w:basedOn w:val="Normal"/>
    <w:uiPriority w:val="98"/>
    <w:semiHidden/>
    <w:rsid w:val="00A919B7"/>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A919B7"/>
    <w:rPr>
      <w:color w:val="0563C1" w:themeColor="hyperlink"/>
      <w:u w:val="single"/>
    </w:rPr>
  </w:style>
  <w:style w:type="paragraph" w:styleId="Title">
    <w:name w:val="Title"/>
    <w:basedOn w:val="Normal"/>
    <w:next w:val="Normal"/>
    <w:link w:val="TitleChar"/>
    <w:uiPriority w:val="99"/>
    <w:unhideWhenUsed/>
    <w:rsid w:val="00A919B7"/>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A919B7"/>
    <w:rPr>
      <w:rFonts w:asciiTheme="majorHAnsi" w:eastAsiaTheme="majorEastAsia" w:hAnsiTheme="majorHAnsi" w:cstheme="majorBidi"/>
      <w:color w:val="323E4F" w:themeColor="text2" w:themeShade="BF"/>
      <w:spacing w:val="5"/>
      <w:kern w:val="28"/>
      <w:sz w:val="52"/>
      <w:szCs w:val="52"/>
      <w:lang w:val="lv-LV" w:eastAsia="lv-LV" w:bidi="lv-LV"/>
    </w:rPr>
  </w:style>
  <w:style w:type="paragraph" w:styleId="Subtitle">
    <w:name w:val="Subtitle"/>
    <w:basedOn w:val="Normal"/>
    <w:next w:val="Normal"/>
    <w:link w:val="SubtitleChar"/>
    <w:uiPriority w:val="99"/>
    <w:unhideWhenUsed/>
    <w:rsid w:val="00A919B7"/>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A919B7"/>
    <w:rPr>
      <w:rFonts w:asciiTheme="majorHAnsi" w:eastAsiaTheme="majorEastAsia" w:hAnsiTheme="majorHAnsi" w:cstheme="majorBidi"/>
      <w:i/>
      <w:iCs/>
      <w:color w:val="5B9BD5" w:themeColor="accent1"/>
      <w:spacing w:val="15"/>
      <w:sz w:val="24"/>
      <w:szCs w:val="24"/>
      <w:lang w:val="lv-LV" w:eastAsia="lv-LV" w:bidi="lv-LV"/>
    </w:rPr>
  </w:style>
  <w:style w:type="character" w:styleId="SubtleEmphasis">
    <w:name w:val="Subtle Emphasis"/>
    <w:basedOn w:val="DefaultParagraphFont"/>
    <w:uiPriority w:val="99"/>
    <w:rsid w:val="00A919B7"/>
    <w:rPr>
      <w:i/>
      <w:iCs/>
      <w:color w:val="808080" w:themeColor="text1" w:themeTint="7F"/>
    </w:rPr>
  </w:style>
  <w:style w:type="character" w:styleId="Emphasis">
    <w:name w:val="Emphasis"/>
    <w:basedOn w:val="DefaultParagraphFont"/>
    <w:uiPriority w:val="99"/>
    <w:rsid w:val="00A919B7"/>
    <w:rPr>
      <w:i/>
      <w:iCs/>
    </w:rPr>
  </w:style>
  <w:style w:type="character" w:styleId="IntenseEmphasis">
    <w:name w:val="Intense Emphasis"/>
    <w:basedOn w:val="DefaultParagraphFont"/>
    <w:uiPriority w:val="21"/>
    <w:unhideWhenUsed/>
    <w:rsid w:val="00A919B7"/>
    <w:rPr>
      <w:b/>
      <w:bCs/>
      <w:i/>
      <w:iCs/>
      <w:color w:val="5B9BD5" w:themeColor="accent1"/>
    </w:rPr>
  </w:style>
  <w:style w:type="character" w:styleId="Strong">
    <w:name w:val="Strong"/>
    <w:basedOn w:val="DefaultParagraphFont"/>
    <w:uiPriority w:val="22"/>
    <w:unhideWhenUsed/>
    <w:rsid w:val="00A919B7"/>
    <w:rPr>
      <w:b/>
      <w:bCs/>
    </w:rPr>
  </w:style>
  <w:style w:type="paragraph" w:styleId="Quote">
    <w:name w:val="Quote"/>
    <w:basedOn w:val="Normal"/>
    <w:next w:val="Normal"/>
    <w:link w:val="QuoteChar"/>
    <w:uiPriority w:val="29"/>
    <w:unhideWhenUsed/>
    <w:rsid w:val="00A919B7"/>
    <w:rPr>
      <w:i/>
      <w:iCs/>
      <w:color w:val="000000" w:themeColor="text1"/>
    </w:rPr>
  </w:style>
  <w:style w:type="character" w:customStyle="1" w:styleId="QuoteChar">
    <w:name w:val="Quote Char"/>
    <w:basedOn w:val="DefaultParagraphFont"/>
    <w:link w:val="Quote"/>
    <w:uiPriority w:val="29"/>
    <w:rsid w:val="00A919B7"/>
    <w:rPr>
      <w:rFonts w:ascii="Segoe UI" w:hAnsi="Segoe UI"/>
      <w:i/>
      <w:iCs/>
      <w:color w:val="000000" w:themeColor="text1"/>
      <w:sz w:val="18"/>
      <w:lang w:val="lv-LV" w:eastAsia="lv-LV" w:bidi="lv-LV"/>
    </w:rPr>
  </w:style>
  <w:style w:type="paragraph" w:styleId="IntenseQuote">
    <w:name w:val="Intense Quote"/>
    <w:basedOn w:val="Normal"/>
    <w:next w:val="Normal"/>
    <w:link w:val="IntenseQuoteChar"/>
    <w:uiPriority w:val="30"/>
    <w:unhideWhenUsed/>
    <w:rsid w:val="00A919B7"/>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A919B7"/>
    <w:rPr>
      <w:rFonts w:ascii="Segoe UI" w:hAnsi="Segoe UI"/>
      <w:b/>
      <w:bCs/>
      <w:i/>
      <w:iCs/>
      <w:color w:val="5B9BD5" w:themeColor="accent1"/>
      <w:sz w:val="18"/>
      <w:lang w:val="lv-LV" w:eastAsia="lv-LV" w:bidi="lv-LV"/>
    </w:rPr>
  </w:style>
  <w:style w:type="character" w:styleId="SubtleReference">
    <w:name w:val="Subtle Reference"/>
    <w:basedOn w:val="DefaultParagraphFont"/>
    <w:uiPriority w:val="31"/>
    <w:unhideWhenUsed/>
    <w:rsid w:val="00A919B7"/>
    <w:rPr>
      <w:smallCaps/>
      <w:color w:val="ED7D31" w:themeColor="accent2"/>
      <w:u w:val="single"/>
    </w:rPr>
  </w:style>
  <w:style w:type="character" w:styleId="IntenseReference">
    <w:name w:val="Intense Reference"/>
    <w:basedOn w:val="DefaultParagraphFont"/>
    <w:uiPriority w:val="32"/>
    <w:unhideWhenUsed/>
    <w:rsid w:val="00A919B7"/>
    <w:rPr>
      <w:b/>
      <w:bCs/>
      <w:smallCaps/>
      <w:color w:val="ED7D31" w:themeColor="accent2"/>
      <w:spacing w:val="5"/>
      <w:u w:val="single"/>
    </w:rPr>
  </w:style>
  <w:style w:type="character" w:styleId="BookTitle">
    <w:name w:val="Book Title"/>
    <w:basedOn w:val="DefaultParagraphFont"/>
    <w:uiPriority w:val="33"/>
    <w:unhideWhenUsed/>
    <w:rsid w:val="00A919B7"/>
    <w:rPr>
      <w:b/>
      <w:bCs/>
      <w:smallCaps/>
      <w:spacing w:val="5"/>
    </w:rPr>
  </w:style>
  <w:style w:type="paragraph" w:styleId="ListParagraph">
    <w:name w:val="List Paragraph"/>
    <w:basedOn w:val="Normal"/>
    <w:uiPriority w:val="34"/>
    <w:unhideWhenUsed/>
    <w:qFormat/>
    <w:rsid w:val="00A919B7"/>
  </w:style>
  <w:style w:type="paragraph" w:styleId="NoSpacing">
    <w:name w:val="No Spacing"/>
    <w:uiPriority w:val="98"/>
    <w:rsid w:val="00A919B7"/>
    <w:pPr>
      <w:spacing w:after="0" w:line="240" w:lineRule="auto"/>
    </w:pPr>
    <w:rPr>
      <w:rFonts w:ascii="Arial" w:hAnsi="Arial"/>
      <w:lang w:val="lv-LV" w:eastAsia="lv-LV" w:bidi="lv-LV"/>
    </w:rPr>
  </w:style>
  <w:style w:type="table" w:styleId="TableGrid">
    <w:name w:val="Table Grid"/>
    <w:basedOn w:val="TableNormal"/>
    <w:uiPriority w:val="39"/>
    <w:rsid w:val="00A919B7"/>
    <w:pPr>
      <w:spacing w:after="0" w:line="240" w:lineRule="auto"/>
    </w:pPr>
    <w:rPr>
      <w:rFonts w:ascii="Arial" w:hAnsi="Arial"/>
      <w:sz w:val="20"/>
      <w:lang w:val="lv-LV" w:eastAsia="lv-LV" w:bidi="lv-LV"/>
    </w:rPr>
    <w:tblPr>
      <w:tblCellMar>
        <w:left w:w="0" w:type="dxa"/>
        <w:right w:w="0" w:type="dxa"/>
      </w:tblCellMar>
    </w:tblPr>
    <w:trPr>
      <w:cantSplit/>
    </w:trPr>
  </w:style>
  <w:style w:type="paragraph" w:customStyle="1" w:styleId="BodyTextIndented">
    <w:name w:val="Body Text Indented"/>
    <w:basedOn w:val="BodyText"/>
    <w:uiPriority w:val="6"/>
    <w:qFormat/>
    <w:rsid w:val="00A919B7"/>
    <w:pPr>
      <w:ind w:left="3168"/>
    </w:pPr>
  </w:style>
  <w:style w:type="paragraph" w:styleId="Header">
    <w:name w:val="header"/>
    <w:basedOn w:val="Normal"/>
    <w:link w:val="HeaderChar"/>
    <w:uiPriority w:val="99"/>
    <w:unhideWhenUsed/>
    <w:rsid w:val="00A919B7"/>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A919B7"/>
    <w:rPr>
      <w:rFonts w:asciiTheme="majorHAnsi" w:hAnsiTheme="majorHAnsi"/>
      <w:color w:val="68217A"/>
      <w:sz w:val="40"/>
      <w:lang w:val="lv-LV" w:eastAsia="lv-LV" w:bidi="lv-LV"/>
    </w:rPr>
  </w:style>
  <w:style w:type="paragraph" w:styleId="Footer">
    <w:name w:val="footer"/>
    <w:link w:val="FooterChar"/>
    <w:uiPriority w:val="99"/>
    <w:unhideWhenUsed/>
    <w:rsid w:val="00A919B7"/>
    <w:pPr>
      <w:pBdr>
        <w:top w:val="single" w:sz="4" w:space="5" w:color="969696"/>
      </w:pBdr>
      <w:tabs>
        <w:tab w:val="center" w:pos="4680"/>
        <w:tab w:val="right" w:pos="9360"/>
      </w:tabs>
      <w:spacing w:after="0" w:line="240" w:lineRule="auto"/>
    </w:pPr>
    <w:rPr>
      <w:rFonts w:ascii="Segoe UI" w:hAnsi="Segoe UI"/>
      <w:color w:val="505050"/>
      <w:sz w:val="18"/>
      <w:lang w:val="lv-LV" w:eastAsia="lv-LV" w:bidi="lv-LV"/>
    </w:rPr>
  </w:style>
  <w:style w:type="character" w:customStyle="1" w:styleId="FooterChar">
    <w:name w:val="Footer Char"/>
    <w:basedOn w:val="DefaultParagraphFont"/>
    <w:link w:val="Footer"/>
    <w:uiPriority w:val="99"/>
    <w:rsid w:val="00A919B7"/>
    <w:rPr>
      <w:rFonts w:ascii="Segoe UI" w:hAnsi="Segoe UI"/>
      <w:color w:val="505050"/>
      <w:sz w:val="18"/>
      <w:lang w:val="lv-LV" w:eastAsia="lv-LV" w:bidi="lv-LV"/>
    </w:rPr>
  </w:style>
  <w:style w:type="paragraph" w:customStyle="1" w:styleId="DocTitle">
    <w:name w:val="DocTitle"/>
    <w:rsid w:val="00A919B7"/>
    <w:pPr>
      <w:spacing w:after="0" w:line="880" w:lineRule="atLeast"/>
      <w:ind w:left="2430" w:right="14"/>
    </w:pPr>
    <w:rPr>
      <w:rFonts w:ascii="Segoe UI Light" w:eastAsia="Times New Roman" w:hAnsi="Segoe UI Light" w:cs="Times New Roman"/>
      <w:color w:val="B4009E"/>
      <w:sz w:val="80"/>
      <w:szCs w:val="20"/>
      <w:lang w:val="lv-LV" w:eastAsia="lv-LV" w:bidi="lv-LV"/>
    </w:rPr>
  </w:style>
  <w:style w:type="paragraph" w:customStyle="1" w:styleId="TOCHeadingV1">
    <w:name w:val="TOC Heading V1"/>
    <w:uiPriority w:val="19"/>
    <w:rsid w:val="00A919B7"/>
    <w:pPr>
      <w:pageBreakBefore/>
      <w:pBdr>
        <w:bottom w:val="single" w:sz="36" w:space="6" w:color="68217A"/>
      </w:pBdr>
      <w:spacing w:before="1320" w:after="720" w:line="240" w:lineRule="auto"/>
      <w:ind w:right="1440"/>
    </w:pPr>
    <w:rPr>
      <w:rFonts w:ascii="Segoe UI" w:hAnsi="Segoe UI"/>
      <w:color w:val="68217A"/>
      <w:sz w:val="32"/>
      <w:lang w:val="lv-LV" w:eastAsia="lv-LV" w:bidi="lv-LV"/>
    </w:rPr>
  </w:style>
  <w:style w:type="paragraph" w:styleId="Caption">
    <w:name w:val="caption"/>
    <w:aliases w:val="Caption underneath"/>
    <w:basedOn w:val="Normal"/>
    <w:uiPriority w:val="9"/>
    <w:qFormat/>
    <w:rsid w:val="00A919B7"/>
    <w:pPr>
      <w:spacing w:before="60" w:after="300" w:line="180" w:lineRule="atLeast"/>
    </w:pPr>
    <w:rPr>
      <w:i/>
      <w:sz w:val="14"/>
    </w:rPr>
  </w:style>
  <w:style w:type="paragraph" w:customStyle="1" w:styleId="Legalese">
    <w:name w:val="Legalese"/>
    <w:uiPriority w:val="13"/>
    <w:qFormat/>
    <w:rsid w:val="00A919B7"/>
    <w:pPr>
      <w:spacing w:after="120" w:line="180" w:lineRule="atLeast"/>
    </w:pPr>
    <w:rPr>
      <w:rFonts w:ascii="Segoe UI" w:eastAsia="Times New Roman" w:hAnsi="Segoe UI" w:cs="Times New Roman"/>
      <w:color w:val="000000" w:themeColor="text1"/>
      <w:sz w:val="14"/>
      <w:szCs w:val="20"/>
      <w:lang w:val="lv-LV" w:eastAsia="lv-LV" w:bidi="lv-LV"/>
    </w:rPr>
  </w:style>
  <w:style w:type="paragraph" w:styleId="TOC1">
    <w:name w:val="toc 1"/>
    <w:basedOn w:val="Normal"/>
    <w:next w:val="Normal"/>
    <w:uiPriority w:val="39"/>
    <w:unhideWhenUsed/>
    <w:rsid w:val="00A919B7"/>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A919B7"/>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A919B7"/>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A919B7"/>
    <w:pPr>
      <w:spacing w:after="0" w:line="240" w:lineRule="auto"/>
    </w:pPr>
    <w:rPr>
      <w:sz w:val="18"/>
      <w:lang w:val="lv-LV" w:eastAsia="lv-LV" w:bidi="lv-LV"/>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A919B7"/>
    <w:pPr>
      <w:keepNext/>
    </w:pPr>
    <w:rPr>
      <w:color w:val="FFFFFF"/>
      <w:sz w:val="22"/>
    </w:rPr>
  </w:style>
  <w:style w:type="paragraph" w:customStyle="1" w:styleId="Hdg1noborder">
    <w:name w:val="Hdg 1 no border"/>
    <w:basedOn w:val="Heading1"/>
    <w:uiPriority w:val="2"/>
    <w:qFormat/>
    <w:rsid w:val="00A919B7"/>
    <w:pPr>
      <w:pBdr>
        <w:top w:val="none" w:sz="0" w:space="0" w:color="auto"/>
      </w:pBdr>
      <w:spacing w:before="360"/>
    </w:pPr>
    <w:rPr>
      <w:rFonts w:ascii="Segoe UI" w:hAnsi="Segoe UI"/>
      <w:b/>
      <w:szCs w:val="20"/>
    </w:rPr>
  </w:style>
  <w:style w:type="paragraph" w:customStyle="1" w:styleId="DocSubtitle">
    <w:name w:val="DocSubtitle"/>
    <w:next w:val="DocTitle"/>
    <w:rsid w:val="00A919B7"/>
    <w:pPr>
      <w:pageBreakBefore/>
      <w:spacing w:before="1080" w:after="0" w:line="340" w:lineRule="atLeast"/>
      <w:ind w:left="2434"/>
    </w:pPr>
    <w:rPr>
      <w:rFonts w:ascii="Segoe UI" w:eastAsia="Times New Roman" w:hAnsi="Segoe UI" w:cs="Times New Roman"/>
      <w:color w:val="68217A"/>
      <w:sz w:val="30"/>
      <w:szCs w:val="20"/>
      <w:lang w:val="lv-LV" w:eastAsia="lv-LV" w:bidi="lv-LV"/>
    </w:rPr>
  </w:style>
  <w:style w:type="paragraph" w:styleId="BodyText">
    <w:name w:val="Body Text"/>
    <w:basedOn w:val="Normal"/>
    <w:link w:val="BodyTextChar"/>
    <w:uiPriority w:val="3"/>
    <w:qFormat/>
    <w:rsid w:val="00A919B7"/>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A919B7"/>
    <w:rPr>
      <w:rFonts w:ascii="Segoe UI" w:eastAsia="Times New Roman" w:hAnsi="Segoe UI" w:cs="Times New Roman"/>
      <w:color w:val="505050"/>
      <w:sz w:val="18"/>
      <w:szCs w:val="20"/>
      <w:lang w:val="lv-LV" w:eastAsia="lv-LV" w:bidi="lv-LV"/>
    </w:rPr>
  </w:style>
  <w:style w:type="paragraph" w:customStyle="1" w:styleId="Imagetablespacerrows">
    <w:name w:val="Image table spacer rows"/>
    <w:uiPriority w:val="8"/>
    <w:qFormat/>
    <w:rsid w:val="00A919B7"/>
    <w:pPr>
      <w:keepNext/>
      <w:spacing w:after="0" w:line="240" w:lineRule="auto"/>
    </w:pPr>
    <w:rPr>
      <w:rFonts w:ascii="Segoe UI" w:eastAsia="Times New Roman" w:hAnsi="Segoe UI" w:cs="Times New Roman"/>
      <w:noProof/>
      <w:color w:val="000000" w:themeColor="text1"/>
      <w:sz w:val="16"/>
      <w:szCs w:val="20"/>
      <w:lang w:val="lv-LV" w:eastAsia="lv-LV" w:bidi="lv-LV"/>
    </w:rPr>
  </w:style>
  <w:style w:type="paragraph" w:customStyle="1" w:styleId="Sidebarheading">
    <w:name w:val="Sidebar heading"/>
    <w:uiPriority w:val="7"/>
    <w:qFormat/>
    <w:rsid w:val="00A919B7"/>
    <w:pPr>
      <w:spacing w:after="180" w:line="290" w:lineRule="exact"/>
    </w:pPr>
    <w:rPr>
      <w:rFonts w:ascii="Segoe UI" w:eastAsia="Times New Roman" w:hAnsi="Segoe UI" w:cs="Times New Roman"/>
      <w:color w:val="68217A"/>
      <w:sz w:val="24"/>
      <w:szCs w:val="20"/>
      <w:lang w:val="lv-LV" w:eastAsia="lv-LV" w:bidi="lv-LV"/>
    </w:rPr>
  </w:style>
  <w:style w:type="paragraph" w:customStyle="1" w:styleId="DocTitlewhite">
    <w:name w:val="DocTitle white"/>
    <w:uiPriority w:val="1"/>
    <w:rsid w:val="00A919B7"/>
    <w:pPr>
      <w:spacing w:after="0" w:line="880" w:lineRule="atLeast"/>
      <w:ind w:left="-144"/>
    </w:pPr>
    <w:rPr>
      <w:rFonts w:ascii="Segoe UI Light" w:eastAsia="Times New Roman" w:hAnsi="Segoe UI Light" w:cs="Times New Roman"/>
      <w:color w:val="FFFFFF"/>
      <w:sz w:val="80"/>
      <w:szCs w:val="20"/>
      <w:lang w:val="lv-LV" w:eastAsia="lv-LV" w:bidi="lv-LV"/>
    </w:rPr>
  </w:style>
  <w:style w:type="paragraph" w:customStyle="1" w:styleId="DocSubtitlewhite">
    <w:name w:val="DocSubtitle white"/>
    <w:basedOn w:val="DocSubtitle"/>
    <w:next w:val="DocTitlewhite"/>
    <w:uiPriority w:val="1"/>
    <w:rsid w:val="00A919B7"/>
    <w:pPr>
      <w:spacing w:before="3000"/>
      <w:ind w:left="-144"/>
    </w:pPr>
    <w:rPr>
      <w:color w:val="FFFFFF"/>
    </w:rPr>
  </w:style>
  <w:style w:type="paragraph" w:customStyle="1" w:styleId="SpacerafterToChdgV3">
    <w:name w:val="Spacer after ToC hdg V3"/>
    <w:uiPriority w:val="20"/>
    <w:rsid w:val="00A919B7"/>
    <w:pPr>
      <w:spacing w:after="0" w:line="240" w:lineRule="auto"/>
    </w:pPr>
    <w:rPr>
      <w:rFonts w:ascii="Segoe UI" w:eastAsia="Times New Roman" w:hAnsi="Segoe UI" w:cs="Times New Roman"/>
      <w:sz w:val="8"/>
      <w:szCs w:val="20"/>
      <w:lang w:val="lv-LV" w:eastAsia="lv-LV" w:bidi="lv-LV"/>
    </w:rPr>
  </w:style>
  <w:style w:type="paragraph" w:customStyle="1" w:styleId="Hdg1wborderindented">
    <w:name w:val="Hdg 1 w/ border indented"/>
    <w:basedOn w:val="Heading1"/>
    <w:uiPriority w:val="4"/>
    <w:qFormat/>
    <w:rsid w:val="00A919B7"/>
    <w:pPr>
      <w:ind w:left="3150"/>
    </w:pPr>
    <w:rPr>
      <w:szCs w:val="20"/>
    </w:rPr>
  </w:style>
  <w:style w:type="paragraph" w:customStyle="1" w:styleId="Hdg1noborderindented">
    <w:name w:val="Hdg 1 no border indented"/>
    <w:basedOn w:val="Hdg1noborder"/>
    <w:uiPriority w:val="4"/>
    <w:qFormat/>
    <w:rsid w:val="00A919B7"/>
    <w:pPr>
      <w:ind w:left="3150"/>
    </w:pPr>
  </w:style>
  <w:style w:type="paragraph" w:customStyle="1" w:styleId="Heading2indented">
    <w:name w:val="Heading 2 indented"/>
    <w:basedOn w:val="Heading2"/>
    <w:uiPriority w:val="5"/>
    <w:qFormat/>
    <w:rsid w:val="00A919B7"/>
    <w:pPr>
      <w:ind w:left="3150"/>
    </w:pPr>
    <w:rPr>
      <w:rFonts w:eastAsia="Times New Roman" w:cs="Times New Roman"/>
      <w:szCs w:val="20"/>
    </w:rPr>
  </w:style>
  <w:style w:type="paragraph" w:customStyle="1" w:styleId="Bullet">
    <w:name w:val="Bullet"/>
    <w:basedOn w:val="BodyText"/>
    <w:uiPriority w:val="3"/>
    <w:qFormat/>
    <w:rsid w:val="00A919B7"/>
    <w:pPr>
      <w:numPr>
        <w:numId w:val="12"/>
      </w:numPr>
    </w:pPr>
  </w:style>
  <w:style w:type="paragraph" w:customStyle="1" w:styleId="Bulletindented">
    <w:name w:val="Bullet indented"/>
    <w:basedOn w:val="Bullet"/>
    <w:uiPriority w:val="7"/>
    <w:qFormat/>
    <w:rsid w:val="00A919B7"/>
    <w:pPr>
      <w:ind w:left="3528"/>
    </w:pPr>
  </w:style>
  <w:style w:type="paragraph" w:customStyle="1" w:styleId="Bulletnexttosidebar">
    <w:name w:val="Bullet next to sidebar"/>
    <w:basedOn w:val="Bulletindented"/>
    <w:uiPriority w:val="7"/>
    <w:qFormat/>
    <w:rsid w:val="00A919B7"/>
    <w:pPr>
      <w:ind w:left="3442" w:hanging="3442"/>
    </w:pPr>
  </w:style>
  <w:style w:type="paragraph" w:customStyle="1" w:styleId="TOCHeadingV2">
    <w:name w:val="TOC Heading V2"/>
    <w:basedOn w:val="TOCHeadingV1"/>
    <w:uiPriority w:val="19"/>
    <w:qFormat/>
    <w:rsid w:val="00A919B7"/>
    <w:pPr>
      <w:pBdr>
        <w:bottom w:val="none" w:sz="0" w:space="0" w:color="auto"/>
      </w:pBdr>
      <w:spacing w:before="1440" w:after="120"/>
      <w:ind w:left="1440"/>
    </w:pPr>
  </w:style>
  <w:style w:type="paragraph" w:customStyle="1" w:styleId="TOCHeadingV3">
    <w:name w:val="TOC Heading V3"/>
    <w:basedOn w:val="TOCHeadingV1"/>
    <w:uiPriority w:val="19"/>
    <w:qFormat/>
    <w:rsid w:val="00A919B7"/>
    <w:pPr>
      <w:pBdr>
        <w:bottom w:val="none" w:sz="0" w:space="0" w:color="auto"/>
      </w:pBdr>
      <w:spacing w:before="120" w:after="0"/>
    </w:pPr>
    <w:rPr>
      <w:sz w:val="40"/>
    </w:rPr>
  </w:style>
  <w:style w:type="paragraph" w:customStyle="1" w:styleId="Tablespacerrows">
    <w:name w:val="Table spacer rows"/>
    <w:uiPriority w:val="12"/>
    <w:qFormat/>
    <w:rsid w:val="00A919B7"/>
    <w:pPr>
      <w:keepNext/>
      <w:spacing w:after="0" w:line="240" w:lineRule="auto"/>
    </w:pPr>
    <w:rPr>
      <w:rFonts w:ascii="Segoe UI" w:eastAsia="Times New Roman" w:hAnsi="Segoe UI" w:cs="Times New Roman"/>
      <w:noProof/>
      <w:color w:val="000000" w:themeColor="text1"/>
      <w:sz w:val="16"/>
      <w:szCs w:val="20"/>
      <w:lang w:val="lv-LV" w:eastAsia="lv-LV" w:bidi="lv-LV"/>
    </w:rPr>
  </w:style>
  <w:style w:type="paragraph" w:customStyle="1" w:styleId="Captiontotheleft">
    <w:name w:val="Caption to the left"/>
    <w:basedOn w:val="Caption"/>
    <w:uiPriority w:val="9"/>
    <w:rsid w:val="00A919B7"/>
    <w:pPr>
      <w:spacing w:after="120"/>
    </w:pPr>
    <w:rPr>
      <w:rFonts w:eastAsia="Times New Roman" w:cs="Times New Roman"/>
      <w:iCs/>
      <w:szCs w:val="20"/>
    </w:rPr>
  </w:style>
  <w:style w:type="paragraph" w:customStyle="1" w:styleId="VLBodyBullet">
    <w:name w:val="VL Body Bullet"/>
    <w:basedOn w:val="Normal"/>
    <w:qFormat/>
    <w:rsid w:val="00A919B7"/>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A919B7"/>
    <w:pPr>
      <w:spacing w:after="0" w:line="240" w:lineRule="auto"/>
    </w:pPr>
    <w:rPr>
      <w:sz w:val="24"/>
      <w:szCs w:val="24"/>
      <w:lang w:val="lv-LV" w:eastAsia="lv-LV" w:bidi="lv-LV"/>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A919B7"/>
    <w:pPr>
      <w:spacing w:before="60" w:after="60" w:line="240" w:lineRule="auto"/>
    </w:pPr>
    <w:rPr>
      <w:b/>
      <w:bCs/>
      <w:color w:val="FFFFFF" w:themeColor="background1"/>
    </w:rPr>
  </w:style>
  <w:style w:type="paragraph" w:customStyle="1" w:styleId="VLTableBullets">
    <w:name w:val="VL Table Bullets"/>
    <w:basedOn w:val="VLBodyBullet"/>
    <w:rsid w:val="00A919B7"/>
    <w:pPr>
      <w:spacing w:line="200" w:lineRule="exact"/>
      <w:ind w:left="432"/>
    </w:pPr>
    <w:rPr>
      <w:spacing w:val="-2"/>
      <w:sz w:val="17"/>
    </w:rPr>
  </w:style>
  <w:style w:type="paragraph" w:customStyle="1" w:styleId="VLTabletext">
    <w:name w:val="VL Table text"/>
    <w:basedOn w:val="Normal"/>
    <w:rsid w:val="00A919B7"/>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A919B7"/>
    <w:pPr>
      <w:spacing w:after="0" w:line="240" w:lineRule="auto"/>
    </w:pPr>
    <w:rPr>
      <w:rFonts w:ascii="Arial" w:hAnsi="Arial"/>
      <w:lang w:val="lv-LV" w:eastAsia="lv-LV" w:bidi="lv-LV"/>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A919B7"/>
    <w:pPr>
      <w:spacing w:after="0" w:line="240" w:lineRule="auto"/>
    </w:pPr>
    <w:rPr>
      <w:rFonts w:ascii="Arial" w:hAnsi="Arial"/>
      <w:lang w:val="lv-LV" w:eastAsia="lv-LV" w:bidi="lv-LV"/>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A919B7"/>
    <w:pPr>
      <w:numPr>
        <w:numId w:val="14"/>
      </w:numPr>
      <w:spacing w:after="60" w:line="240" w:lineRule="auto"/>
    </w:pPr>
    <w:rPr>
      <w:rFonts w:ascii="Segoe Light" w:eastAsia="Times New Roman" w:hAnsi="Segoe Light" w:cs="Times New Roman"/>
      <w:sz w:val="14"/>
      <w:szCs w:val="24"/>
      <w:lang w:val="lv-LV" w:eastAsia="lv-LV" w:bidi="lv-LV"/>
    </w:rPr>
  </w:style>
  <w:style w:type="character" w:styleId="FollowedHyperlink">
    <w:name w:val="FollowedHyperlink"/>
    <w:basedOn w:val="DefaultParagraphFont"/>
    <w:uiPriority w:val="99"/>
    <w:semiHidden/>
    <w:unhideWhenUsed/>
    <w:rsid w:val="00A919B7"/>
    <w:rPr>
      <w:color w:val="954F72" w:themeColor="followedHyperlink"/>
      <w:u w:val="single"/>
    </w:rPr>
  </w:style>
  <w:style w:type="paragraph" w:customStyle="1" w:styleId="VLBodyCopy2">
    <w:name w:val="VL Body Copy 2"/>
    <w:basedOn w:val="Normal"/>
    <w:next w:val="Normal"/>
    <w:link w:val="VLBodyCopy2Char"/>
    <w:qFormat/>
    <w:rsid w:val="00A919B7"/>
    <w:pPr>
      <w:spacing w:line="240" w:lineRule="auto"/>
    </w:pPr>
    <w:rPr>
      <w:color w:val="595959" w:themeColor="text1" w:themeTint="A6"/>
      <w:sz w:val="19"/>
    </w:rPr>
  </w:style>
  <w:style w:type="character" w:customStyle="1" w:styleId="VLBodyCopy2Char">
    <w:name w:val="VL Body Copy 2 Char"/>
    <w:basedOn w:val="DefaultParagraphFont"/>
    <w:link w:val="VLBodyCopy2"/>
    <w:rsid w:val="00A919B7"/>
    <w:rPr>
      <w:rFonts w:ascii="Segoe UI" w:hAnsi="Segoe UI"/>
      <w:color w:val="595959" w:themeColor="text1" w:themeTint="A6"/>
      <w:sz w:val="19"/>
      <w:lang w:val="lv-LV" w:eastAsia="lv-LV" w:bidi="lv-LV"/>
    </w:rPr>
  </w:style>
  <w:style w:type="character" w:styleId="CommentReference">
    <w:name w:val="annotation reference"/>
    <w:basedOn w:val="DefaultParagraphFont"/>
    <w:unhideWhenUsed/>
    <w:rsid w:val="00A919B7"/>
    <w:rPr>
      <w:sz w:val="16"/>
      <w:szCs w:val="16"/>
    </w:rPr>
  </w:style>
  <w:style w:type="paragraph" w:styleId="CommentText">
    <w:name w:val="annotation text"/>
    <w:basedOn w:val="Normal"/>
    <w:link w:val="CommentTextChar"/>
    <w:uiPriority w:val="99"/>
    <w:semiHidden/>
    <w:unhideWhenUsed/>
    <w:rsid w:val="00A919B7"/>
    <w:pPr>
      <w:spacing w:line="240" w:lineRule="auto"/>
    </w:pPr>
    <w:rPr>
      <w:sz w:val="20"/>
      <w:szCs w:val="20"/>
    </w:rPr>
  </w:style>
  <w:style w:type="character" w:customStyle="1" w:styleId="CommentTextChar">
    <w:name w:val="Comment Text Char"/>
    <w:basedOn w:val="DefaultParagraphFont"/>
    <w:link w:val="CommentText"/>
    <w:uiPriority w:val="99"/>
    <w:semiHidden/>
    <w:rsid w:val="00A919B7"/>
    <w:rPr>
      <w:rFonts w:ascii="Segoe UI" w:hAnsi="Segoe UI"/>
      <w:sz w:val="20"/>
      <w:szCs w:val="20"/>
      <w:lang w:val="lv-LV" w:eastAsia="lv-LV" w:bidi="lv-LV"/>
    </w:rPr>
  </w:style>
  <w:style w:type="paragraph" w:styleId="CommentSubject">
    <w:name w:val="annotation subject"/>
    <w:basedOn w:val="CommentText"/>
    <w:next w:val="CommentText"/>
    <w:link w:val="CommentSubjectChar"/>
    <w:uiPriority w:val="99"/>
    <w:semiHidden/>
    <w:unhideWhenUsed/>
    <w:rsid w:val="00A919B7"/>
    <w:rPr>
      <w:b/>
      <w:bCs/>
    </w:rPr>
  </w:style>
  <w:style w:type="character" w:customStyle="1" w:styleId="CommentSubjectChar">
    <w:name w:val="Comment Subject Char"/>
    <w:basedOn w:val="CommentTextChar"/>
    <w:link w:val="CommentSubject"/>
    <w:uiPriority w:val="99"/>
    <w:semiHidden/>
    <w:rsid w:val="00A919B7"/>
    <w:rPr>
      <w:rFonts w:ascii="Segoe UI" w:hAnsi="Segoe UI"/>
      <w:b/>
      <w:bCs/>
      <w:sz w:val="20"/>
      <w:szCs w:val="20"/>
      <w:lang w:val="lv-LV" w:eastAsia="lv-LV" w:bidi="lv-LV"/>
    </w:rPr>
  </w:style>
  <w:style w:type="paragraph" w:styleId="NormalWeb">
    <w:name w:val="Normal (Web)"/>
    <w:basedOn w:val="Normal"/>
    <w:uiPriority w:val="99"/>
    <w:unhideWhenUsed/>
    <w:rsid w:val="00A919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A919B7"/>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A919B7"/>
    <w:rPr>
      <w:rFonts w:ascii="Segoe UI" w:hAnsi="Segoe UI"/>
      <w:color w:val="5B9BD5" w:themeColor="accent1"/>
      <w:sz w:val="25"/>
      <w:szCs w:val="24"/>
      <w:lang w:val="lv-LV" w:eastAsia="lv-LV" w:bidi="lv-LV"/>
    </w:rPr>
  </w:style>
  <w:style w:type="paragraph" w:styleId="FootnoteText">
    <w:name w:val="footnote text"/>
    <w:basedOn w:val="Normal"/>
    <w:link w:val="FootnoteTextChar"/>
    <w:uiPriority w:val="99"/>
    <w:semiHidden/>
    <w:unhideWhenUsed/>
    <w:rsid w:val="00A919B7"/>
    <w:pPr>
      <w:spacing w:line="240" w:lineRule="auto"/>
    </w:pPr>
    <w:rPr>
      <w:sz w:val="20"/>
      <w:szCs w:val="20"/>
    </w:rPr>
  </w:style>
  <w:style w:type="character" w:customStyle="1" w:styleId="FootnoteTextChar">
    <w:name w:val="Footnote Text Char"/>
    <w:basedOn w:val="DefaultParagraphFont"/>
    <w:link w:val="FootnoteText"/>
    <w:uiPriority w:val="99"/>
    <w:semiHidden/>
    <w:rsid w:val="00A919B7"/>
    <w:rPr>
      <w:rFonts w:ascii="Segoe UI" w:hAnsi="Segoe UI"/>
      <w:sz w:val="20"/>
      <w:szCs w:val="20"/>
      <w:lang w:val="lv-LV" w:eastAsia="lv-LV" w:bidi="lv-LV"/>
    </w:rPr>
  </w:style>
  <w:style w:type="character" w:styleId="FootnoteReference">
    <w:name w:val="footnote reference"/>
    <w:basedOn w:val="DefaultParagraphFont"/>
    <w:uiPriority w:val="99"/>
    <w:semiHidden/>
    <w:unhideWhenUsed/>
    <w:rsid w:val="00A919B7"/>
    <w:rPr>
      <w:vertAlign w:val="superscript"/>
    </w:rPr>
  </w:style>
  <w:style w:type="paragraph" w:customStyle="1" w:styleId="AppendixTableHeadings">
    <w:name w:val="Appendix Table Headings"/>
    <w:basedOn w:val="AppendixTableText"/>
    <w:rsid w:val="00A919B7"/>
    <w:rPr>
      <w:b/>
      <w:bCs/>
    </w:rPr>
  </w:style>
  <w:style w:type="paragraph" w:customStyle="1" w:styleId="AppendixTableText">
    <w:name w:val="Appendix Table Text"/>
    <w:basedOn w:val="Normal"/>
    <w:rsid w:val="00A919B7"/>
    <w:pPr>
      <w:jc w:val="center"/>
    </w:pPr>
    <w:rPr>
      <w:rFonts w:ascii="Trebuchet MS" w:eastAsia="MS Mincho" w:hAnsi="Trebuchet MS" w:cs="Arial"/>
      <w:szCs w:val="18"/>
    </w:rPr>
  </w:style>
  <w:style w:type="paragraph" w:styleId="Revision">
    <w:name w:val="Revision"/>
    <w:hidden/>
    <w:uiPriority w:val="99"/>
    <w:semiHidden/>
    <w:rsid w:val="00A919B7"/>
    <w:pPr>
      <w:spacing w:after="0" w:line="240" w:lineRule="auto"/>
    </w:pPr>
    <w:rPr>
      <w:rFonts w:ascii="Segoe UI" w:hAnsi="Segoe UI"/>
      <w:sz w:val="18"/>
      <w:lang w:val="lv-LV" w:eastAsia="lv-LV" w:bidi="lv-LV"/>
    </w:rPr>
  </w:style>
  <w:style w:type="table" w:customStyle="1" w:styleId="GridTable4-Accent41">
    <w:name w:val="Grid Table 4 - Accent 41"/>
    <w:basedOn w:val="TableNormal"/>
    <w:uiPriority w:val="49"/>
    <w:rsid w:val="00A919B7"/>
    <w:pPr>
      <w:spacing w:after="0" w:line="240" w:lineRule="auto"/>
    </w:pPr>
    <w:rPr>
      <w:rFonts w:ascii="Arial" w:hAnsi="Arial"/>
      <w:lang w:val="lv-LV" w:eastAsia="lv-LV" w:bidi="lv-LV"/>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A919B7"/>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A919B7"/>
    <w:rPr>
      <w:rFonts w:ascii="Segoe UI Semibold" w:hAnsi="Segoe UI Semibold"/>
      <w:color w:val="404040" w:themeColor="text1" w:themeTint="BF"/>
      <w:sz w:val="19"/>
      <w:lang w:val="lv-LV" w:eastAsia="lv-LV" w:bidi="lv-LV"/>
    </w:rPr>
  </w:style>
  <w:style w:type="paragraph" w:customStyle="1" w:styleId="tableheading">
    <w:name w:val="table heading"/>
    <w:basedOn w:val="BodyText"/>
    <w:next w:val="Hdg1noborder"/>
    <w:link w:val="tableheadingChar"/>
    <w:uiPriority w:val="11"/>
    <w:qFormat/>
    <w:rsid w:val="00A919B7"/>
    <w:pPr>
      <w:spacing w:before="120"/>
    </w:pPr>
    <w:rPr>
      <w:color w:val="68217A"/>
      <w:sz w:val="40"/>
    </w:rPr>
  </w:style>
  <w:style w:type="paragraph" w:customStyle="1" w:styleId="newheading2shurley">
    <w:name w:val="new heading 2 shurley"/>
    <w:basedOn w:val="Heading2"/>
    <w:link w:val="newheading2shurleyChar"/>
    <w:uiPriority w:val="11"/>
    <w:qFormat/>
    <w:rsid w:val="00A919B7"/>
    <w:rPr>
      <w:b w:val="0"/>
      <w:sz w:val="28"/>
    </w:rPr>
  </w:style>
  <w:style w:type="character" w:customStyle="1" w:styleId="tableheadingChar">
    <w:name w:val="table heading Char"/>
    <w:basedOn w:val="BodyTextChar"/>
    <w:link w:val="tableheading"/>
    <w:uiPriority w:val="11"/>
    <w:rsid w:val="00A919B7"/>
    <w:rPr>
      <w:rFonts w:ascii="Segoe UI" w:eastAsia="Times New Roman" w:hAnsi="Segoe UI" w:cs="Times New Roman"/>
      <w:color w:val="68217A"/>
      <w:sz w:val="40"/>
      <w:szCs w:val="20"/>
      <w:lang w:val="lv-LV" w:eastAsia="lv-LV" w:bidi="lv-LV"/>
    </w:rPr>
  </w:style>
  <w:style w:type="paragraph" w:customStyle="1" w:styleId="Thirdheading">
    <w:name w:val="Third heading"/>
    <w:basedOn w:val="BodyText"/>
    <w:link w:val="ThirdheadingChar"/>
    <w:uiPriority w:val="11"/>
    <w:qFormat/>
    <w:rsid w:val="00A919B7"/>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A919B7"/>
    <w:rPr>
      <w:rFonts w:asciiTheme="majorHAnsi" w:eastAsiaTheme="majorEastAsia" w:hAnsiTheme="majorHAnsi" w:cstheme="majorBidi"/>
      <w:b w:val="0"/>
      <w:bCs/>
      <w:color w:val="FFC000" w:themeColor="accent4"/>
      <w:sz w:val="28"/>
      <w:szCs w:val="18"/>
      <w:lang w:val="lv-LV" w:eastAsia="lv-LV" w:bidi="lv-LV"/>
    </w:rPr>
  </w:style>
  <w:style w:type="character" w:customStyle="1" w:styleId="ThirdheadingChar">
    <w:name w:val="Third heading Char"/>
    <w:basedOn w:val="BodyTextChar"/>
    <w:link w:val="Thirdheading"/>
    <w:uiPriority w:val="11"/>
    <w:rsid w:val="00A919B7"/>
    <w:rPr>
      <w:rFonts w:asciiTheme="majorHAnsi" w:eastAsia="Times New Roman" w:hAnsiTheme="majorHAnsi" w:cstheme="majorHAnsi"/>
      <w:color w:val="68217A"/>
      <w:sz w:val="20"/>
      <w:szCs w:val="24"/>
      <w:lang w:val="lv-LV" w:eastAsia="lv-LV" w:bidi="lv-LV"/>
    </w:rPr>
  </w:style>
  <w:style w:type="paragraph" w:customStyle="1" w:styleId="ProductList-Body">
    <w:name w:val="Product List - Body"/>
    <w:basedOn w:val="Normal"/>
    <w:link w:val="ProductList-BodyChar"/>
    <w:qFormat/>
    <w:rsid w:val="00A919B7"/>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919B7"/>
    <w:rPr>
      <w:sz w:val="18"/>
      <w:lang w:val="lv-LV" w:eastAsia="lv-LV" w:bidi="lv-LV"/>
    </w:rPr>
  </w:style>
  <w:style w:type="paragraph" w:customStyle="1" w:styleId="ProductList-Offering1Heading">
    <w:name w:val="Product List - Offering 1 Heading"/>
    <w:basedOn w:val="ProductList-Body"/>
    <w:next w:val="ProductList-Body"/>
    <w:link w:val="ProductList-Offering1HeadingChar"/>
    <w:qFormat/>
    <w:rsid w:val="00A919B7"/>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A919B7"/>
    <w:rPr>
      <w:rFonts w:asciiTheme="majorHAnsi" w:hAnsiTheme="majorHAnsi"/>
      <w:b/>
      <w:sz w:val="28"/>
      <w:lang w:val="lv-LV" w:eastAsia="lv-LV" w:bidi="lv-LV"/>
    </w:rPr>
  </w:style>
  <w:style w:type="paragraph" w:customStyle="1" w:styleId="ProductList-SubSubSectionHeading">
    <w:name w:val="Product List - SubSubSection Heading"/>
    <w:basedOn w:val="ProductList-Body"/>
    <w:link w:val="ProductList-SubSubSectionHeadingChar"/>
    <w:qFormat/>
    <w:rsid w:val="00A919B7"/>
  </w:style>
  <w:style w:type="character" w:customStyle="1" w:styleId="ProductList-SubSubSectionHeadingChar">
    <w:name w:val="Product List - SubSubSection Heading Char"/>
    <w:basedOn w:val="ProductList-BodyChar"/>
    <w:link w:val="ProductList-SubSubSectionHeading"/>
    <w:rsid w:val="00A919B7"/>
    <w:rPr>
      <w:sz w:val="18"/>
      <w:lang w:val="lv-LV" w:eastAsia="lv-LV" w:bidi="lv-LV"/>
    </w:rPr>
  </w:style>
  <w:style w:type="paragraph" w:styleId="TOC5">
    <w:name w:val="toc 5"/>
    <w:basedOn w:val="Normal"/>
    <w:next w:val="Normal"/>
    <w:autoRedefine/>
    <w:uiPriority w:val="39"/>
    <w:semiHidden/>
    <w:unhideWhenUsed/>
    <w:rsid w:val="00A919B7"/>
    <w:pPr>
      <w:spacing w:after="100"/>
      <w:ind w:left="720"/>
    </w:pPr>
  </w:style>
  <w:style w:type="table" w:customStyle="1" w:styleId="PlainTable11">
    <w:name w:val="Plain Table 11"/>
    <w:basedOn w:val="TableNormal"/>
    <w:uiPriority w:val="41"/>
    <w:rsid w:val="00A919B7"/>
    <w:pPr>
      <w:spacing w:after="0" w:line="240" w:lineRule="auto"/>
    </w:pPr>
    <w:rPr>
      <w:rFonts w:ascii="Arial" w:hAnsi="Arial"/>
      <w:lang w:val="lv-LV" w:eastAsia="lv-LV" w:bidi="lv-LV"/>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A919B7"/>
    <w:rPr>
      <w:rFonts w:ascii="Courier New" w:hAnsi="Courier New" w:cs="Courier New"/>
      <w:b w:val="0"/>
      <w:i w:val="0"/>
      <w:color w:val="FF0000"/>
      <w:sz w:val="18"/>
    </w:rPr>
  </w:style>
  <w:style w:type="character" w:customStyle="1" w:styleId="LogoportDoNotTranslate">
    <w:name w:val="LogoportDoNotTranslate"/>
    <w:basedOn w:val="DefaultParagraphFont"/>
    <w:rsid w:val="00A919B7"/>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9804</Words>
  <Characters>55883</Characters>
  <Application>Microsoft Office Word</Application>
  <DocSecurity>0</DocSecurity>
  <Lines>465</Lines>
  <Paragraphs>131</Paragraphs>
  <ScaleCrop>false</ScaleCrop>
  <Company/>
  <LinksUpToDate>false</LinksUpToDate>
  <CharactersWithSpaces>65556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2015-09-15T16:54:00Z</dcterms:created>
  <dcterms:modified xsi:type="dcterms:W3CDTF">2015-09-15T16:54:00Z</dcterms:modified>
</cp:coreProperties>
</file>