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Licencjonowanie Zbiorowe Microsoft </w:t>
      </w:r>
    </w:p>
    <w:p w14:paraId="5A22EF86" w14:textId="77777777" w:rsidR="00C415FE" w:rsidRPr="00AD0463" w:rsidRDefault="003B5822" w:rsidP="00AD0463">
      <w:pPr>
        <w:pStyle w:val="DocTitle"/>
        <w:spacing w:line="192" w:lineRule="auto"/>
        <w:ind w:left="2434"/>
        <w:rPr>
          <w:spacing w:val="-4"/>
        </w:rPr>
      </w:pPr>
      <w:r w:rsidRPr="00AD0463">
        <w:rPr>
          <w:spacing w:val="-4"/>
        </w:rPr>
        <w:t>Podręcznik Licencjonowania dotyczący Umowy Microsoft Products and Services Agreement</w:t>
      </w:r>
    </w:p>
    <w:p w14:paraId="094BDD3F" w14:textId="77777777" w:rsidR="00C415FE" w:rsidRPr="00610DAF" w:rsidRDefault="00C415FE" w:rsidP="00AD0463">
      <w:pPr>
        <w:pStyle w:val="DocTitle"/>
        <w:spacing w:line="192" w:lineRule="auto"/>
        <w:ind w:left="2434"/>
        <w:rPr>
          <w:spacing w:val="-4"/>
          <w:sz w:val="24"/>
          <w:szCs w:val="24"/>
        </w:rPr>
      </w:pPr>
    </w:p>
    <w:p w14:paraId="3E736D23" w14:textId="25D397D1" w:rsidR="001D1377" w:rsidRPr="00AD0463" w:rsidRDefault="003355F7" w:rsidP="00AD0463">
      <w:pPr>
        <w:pStyle w:val="DocTitle"/>
        <w:spacing w:line="192" w:lineRule="auto"/>
        <w:ind w:left="2434"/>
        <w:rPr>
          <w:spacing w:val="-4"/>
        </w:rPr>
      </w:pPr>
      <w:r w:rsidRPr="00AD0463">
        <w:rPr>
          <w:spacing w:val="-4"/>
        </w:rPr>
        <w:t>sierpień 2016 r.</w:t>
      </w:r>
    </w:p>
    <w:p w14:paraId="6D2EBAD8" w14:textId="77777777" w:rsidR="001D1377" w:rsidRPr="00AD0463" w:rsidRDefault="001D1377" w:rsidP="00AD0463">
      <w:pPr>
        <w:spacing w:line="216" w:lineRule="auto"/>
        <w:rPr>
          <w:spacing w:val="-4"/>
        </w:rPr>
      </w:pPr>
    </w:p>
    <w:p w14:paraId="34C2D639" w14:textId="77777777" w:rsidR="002322E1" w:rsidRPr="00AD0463" w:rsidRDefault="002322E1" w:rsidP="00AD0463">
      <w:pPr>
        <w:spacing w:line="216" w:lineRule="auto"/>
        <w:rPr>
          <w:spacing w:val="-4"/>
        </w:rPr>
      </w:pPr>
    </w:p>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Spis treści</w:t>
      </w:r>
    </w:p>
    <w:p w14:paraId="06972D7D" w14:textId="77777777" w:rsidR="00845A96"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1451" w:history="1">
        <w:r w:rsidR="00845A96" w:rsidRPr="00787476">
          <w:rPr>
            <w:rStyle w:val="Hyperlink"/>
          </w:rPr>
          <w:t>Cel dokumentu i zasoby</w:t>
        </w:r>
        <w:r w:rsidR="00845A96">
          <w:rPr>
            <w:webHidden/>
          </w:rPr>
          <w:tab/>
        </w:r>
        <w:r w:rsidR="00845A96">
          <w:rPr>
            <w:webHidden/>
          </w:rPr>
          <w:fldChar w:fldCharType="begin"/>
        </w:r>
        <w:r w:rsidR="00845A96">
          <w:rPr>
            <w:webHidden/>
          </w:rPr>
          <w:instrText xml:space="preserve"> PAGEREF _Toc457851451 \h </w:instrText>
        </w:r>
        <w:r w:rsidR="00845A96">
          <w:rPr>
            <w:webHidden/>
          </w:rPr>
        </w:r>
        <w:r w:rsidR="00845A96">
          <w:rPr>
            <w:webHidden/>
          </w:rPr>
          <w:fldChar w:fldCharType="separate"/>
        </w:r>
        <w:r w:rsidR="00E22BFE">
          <w:rPr>
            <w:webHidden/>
          </w:rPr>
          <w:t>1</w:t>
        </w:r>
        <w:r w:rsidR="00845A96">
          <w:rPr>
            <w:webHidden/>
          </w:rPr>
          <w:fldChar w:fldCharType="end"/>
        </w:r>
      </w:hyperlink>
    </w:p>
    <w:p w14:paraId="70B8BC0B" w14:textId="77777777" w:rsidR="00845A96" w:rsidRDefault="00F4434E">
      <w:pPr>
        <w:pStyle w:val="TOC1"/>
        <w:rPr>
          <w:rFonts w:asciiTheme="minorHAnsi" w:eastAsiaTheme="minorEastAsia" w:hAnsiTheme="minorHAnsi"/>
          <w:color w:val="auto"/>
          <w:sz w:val="22"/>
          <w:lang w:val="en-US" w:eastAsia="en-US" w:bidi="ar-SA"/>
        </w:rPr>
      </w:pPr>
      <w:hyperlink w:anchor="_Toc457851452" w:history="1">
        <w:r w:rsidR="00845A96" w:rsidRPr="00787476">
          <w:rPr>
            <w:rStyle w:val="Hyperlink"/>
          </w:rPr>
          <w:t>Punkt 1</w:t>
        </w:r>
        <w:r w:rsidR="00845A96">
          <w:rPr>
            <w:webHidden/>
          </w:rPr>
          <w:tab/>
        </w:r>
        <w:r w:rsidR="00845A96">
          <w:rPr>
            <w:webHidden/>
          </w:rPr>
          <w:fldChar w:fldCharType="begin"/>
        </w:r>
        <w:r w:rsidR="00845A96">
          <w:rPr>
            <w:webHidden/>
          </w:rPr>
          <w:instrText xml:space="preserve"> PAGEREF _Toc457851452 \h </w:instrText>
        </w:r>
        <w:r w:rsidR="00845A96">
          <w:rPr>
            <w:webHidden/>
          </w:rPr>
        </w:r>
        <w:r w:rsidR="00845A96">
          <w:rPr>
            <w:webHidden/>
          </w:rPr>
          <w:fldChar w:fldCharType="separate"/>
        </w:r>
        <w:r w:rsidR="00E22BFE">
          <w:rPr>
            <w:webHidden/>
          </w:rPr>
          <w:t>2</w:t>
        </w:r>
        <w:r w:rsidR="00845A96">
          <w:rPr>
            <w:webHidden/>
          </w:rPr>
          <w:fldChar w:fldCharType="end"/>
        </w:r>
      </w:hyperlink>
    </w:p>
    <w:p w14:paraId="7A12F591" w14:textId="77777777" w:rsidR="00845A96" w:rsidRDefault="00F4434E">
      <w:pPr>
        <w:pStyle w:val="TOC1"/>
        <w:rPr>
          <w:rFonts w:asciiTheme="minorHAnsi" w:eastAsiaTheme="minorEastAsia" w:hAnsiTheme="minorHAnsi"/>
          <w:color w:val="auto"/>
          <w:sz w:val="22"/>
          <w:lang w:val="en-US" w:eastAsia="en-US" w:bidi="ar-SA"/>
        </w:rPr>
      </w:pPr>
      <w:hyperlink w:anchor="_Toc457851453" w:history="1">
        <w:r w:rsidR="00845A96" w:rsidRPr="00787476">
          <w:rPr>
            <w:rStyle w:val="Hyperlink"/>
            <w:rFonts w:asciiTheme="majorHAnsi" w:eastAsiaTheme="majorEastAsia" w:hAnsiTheme="majorHAnsi" w:cstheme="majorBidi"/>
            <w:bCs/>
          </w:rPr>
          <w:t>Zasady funkcjonowania Umowy Microsoft Products and Services Agreement</w:t>
        </w:r>
        <w:r w:rsidR="00845A96">
          <w:rPr>
            <w:webHidden/>
          </w:rPr>
          <w:tab/>
        </w:r>
        <w:r w:rsidR="00845A96">
          <w:rPr>
            <w:webHidden/>
          </w:rPr>
          <w:fldChar w:fldCharType="begin"/>
        </w:r>
        <w:r w:rsidR="00845A96">
          <w:rPr>
            <w:webHidden/>
          </w:rPr>
          <w:instrText xml:space="preserve"> PAGEREF _Toc457851453 \h </w:instrText>
        </w:r>
        <w:r w:rsidR="00845A96">
          <w:rPr>
            <w:webHidden/>
          </w:rPr>
        </w:r>
        <w:r w:rsidR="00845A96">
          <w:rPr>
            <w:webHidden/>
          </w:rPr>
          <w:fldChar w:fldCharType="separate"/>
        </w:r>
        <w:r w:rsidR="00E22BFE">
          <w:rPr>
            <w:webHidden/>
          </w:rPr>
          <w:t>2</w:t>
        </w:r>
        <w:r w:rsidR="00845A96">
          <w:rPr>
            <w:webHidden/>
          </w:rPr>
          <w:fldChar w:fldCharType="end"/>
        </w:r>
      </w:hyperlink>
    </w:p>
    <w:p w14:paraId="4463BA61" w14:textId="77777777" w:rsidR="00845A96" w:rsidRDefault="00F4434E">
      <w:pPr>
        <w:pStyle w:val="TOC1"/>
        <w:rPr>
          <w:rFonts w:asciiTheme="minorHAnsi" w:eastAsiaTheme="minorEastAsia" w:hAnsiTheme="minorHAnsi"/>
          <w:color w:val="auto"/>
          <w:sz w:val="22"/>
          <w:lang w:val="en-US" w:eastAsia="en-US" w:bidi="ar-SA"/>
        </w:rPr>
      </w:pPr>
      <w:hyperlink w:anchor="_Toc457851454" w:history="1">
        <w:r w:rsidR="00845A96" w:rsidRPr="00787476">
          <w:rPr>
            <w:rStyle w:val="Hyperlink"/>
            <w:rFonts w:asciiTheme="majorHAnsi" w:eastAsiaTheme="majorEastAsia" w:hAnsiTheme="majorHAnsi" w:cstheme="majorBidi"/>
            <w:bCs/>
          </w:rPr>
          <w:t>Zakupy transakcyjne</w:t>
        </w:r>
        <w:r w:rsidR="00845A96">
          <w:rPr>
            <w:webHidden/>
          </w:rPr>
          <w:tab/>
        </w:r>
        <w:r w:rsidR="00845A96">
          <w:rPr>
            <w:webHidden/>
          </w:rPr>
          <w:fldChar w:fldCharType="begin"/>
        </w:r>
        <w:r w:rsidR="00845A96">
          <w:rPr>
            <w:webHidden/>
          </w:rPr>
          <w:instrText xml:space="preserve"> PAGEREF _Toc457851454 \h </w:instrText>
        </w:r>
        <w:r w:rsidR="00845A96">
          <w:rPr>
            <w:webHidden/>
          </w:rPr>
        </w:r>
        <w:r w:rsidR="00845A96">
          <w:rPr>
            <w:webHidden/>
          </w:rPr>
          <w:fldChar w:fldCharType="separate"/>
        </w:r>
        <w:r w:rsidR="00E22BFE">
          <w:rPr>
            <w:webHidden/>
          </w:rPr>
          <w:t>3</w:t>
        </w:r>
        <w:r w:rsidR="00845A96">
          <w:rPr>
            <w:webHidden/>
          </w:rPr>
          <w:fldChar w:fldCharType="end"/>
        </w:r>
      </w:hyperlink>
    </w:p>
    <w:p w14:paraId="40F1FB12" w14:textId="77777777" w:rsidR="00845A96" w:rsidRDefault="00F4434E">
      <w:pPr>
        <w:pStyle w:val="TOC1"/>
        <w:rPr>
          <w:rFonts w:asciiTheme="minorHAnsi" w:eastAsiaTheme="minorEastAsia" w:hAnsiTheme="minorHAnsi"/>
          <w:color w:val="auto"/>
          <w:sz w:val="22"/>
          <w:lang w:val="en-US" w:eastAsia="en-US" w:bidi="ar-SA"/>
        </w:rPr>
      </w:pPr>
      <w:hyperlink w:anchor="_Toc457851455" w:history="1">
        <w:r w:rsidR="00845A96" w:rsidRPr="00787476">
          <w:rPr>
            <w:rStyle w:val="Hyperlink"/>
          </w:rPr>
          <w:t>Punkt 2</w:t>
        </w:r>
        <w:r w:rsidR="00845A96">
          <w:rPr>
            <w:webHidden/>
          </w:rPr>
          <w:tab/>
        </w:r>
        <w:r w:rsidR="00845A96">
          <w:rPr>
            <w:webHidden/>
          </w:rPr>
          <w:fldChar w:fldCharType="begin"/>
        </w:r>
        <w:r w:rsidR="00845A96">
          <w:rPr>
            <w:webHidden/>
          </w:rPr>
          <w:instrText xml:space="preserve"> PAGEREF _Toc457851455 \h </w:instrText>
        </w:r>
        <w:r w:rsidR="00845A96">
          <w:rPr>
            <w:webHidden/>
          </w:rPr>
        </w:r>
        <w:r w:rsidR="00845A96">
          <w:rPr>
            <w:webHidden/>
          </w:rPr>
          <w:fldChar w:fldCharType="separate"/>
        </w:r>
        <w:r w:rsidR="00E22BFE">
          <w:rPr>
            <w:webHidden/>
          </w:rPr>
          <w:t>6</w:t>
        </w:r>
        <w:r w:rsidR="00845A96">
          <w:rPr>
            <w:webHidden/>
          </w:rPr>
          <w:fldChar w:fldCharType="end"/>
        </w:r>
      </w:hyperlink>
    </w:p>
    <w:p w14:paraId="1E39C798" w14:textId="77777777" w:rsidR="00845A96" w:rsidRDefault="00F4434E">
      <w:pPr>
        <w:pStyle w:val="TOC1"/>
        <w:rPr>
          <w:rFonts w:asciiTheme="minorHAnsi" w:eastAsiaTheme="minorEastAsia" w:hAnsiTheme="minorHAnsi"/>
          <w:color w:val="auto"/>
          <w:sz w:val="22"/>
          <w:lang w:val="en-US" w:eastAsia="en-US" w:bidi="ar-SA"/>
        </w:rPr>
      </w:pPr>
      <w:hyperlink w:anchor="_Toc457851456" w:history="1">
        <w:r w:rsidR="00845A96" w:rsidRPr="00787476">
          <w:rPr>
            <w:rStyle w:val="Hyperlink"/>
            <w:rFonts w:asciiTheme="majorHAnsi" w:eastAsiaTheme="majorEastAsia" w:hAnsiTheme="majorHAnsi" w:cstheme="majorBidi"/>
            <w:bCs/>
          </w:rPr>
          <w:t>Kopiowanie Produktów i prawo do sporządzenia kopii zamiennej</w:t>
        </w:r>
        <w:r w:rsidR="00845A96">
          <w:rPr>
            <w:webHidden/>
          </w:rPr>
          <w:tab/>
        </w:r>
        <w:r w:rsidR="00845A96">
          <w:rPr>
            <w:webHidden/>
          </w:rPr>
          <w:fldChar w:fldCharType="begin"/>
        </w:r>
        <w:r w:rsidR="00845A96">
          <w:rPr>
            <w:webHidden/>
          </w:rPr>
          <w:instrText xml:space="preserve"> PAGEREF _Toc457851456 \h </w:instrText>
        </w:r>
        <w:r w:rsidR="00845A96">
          <w:rPr>
            <w:webHidden/>
          </w:rPr>
        </w:r>
        <w:r w:rsidR="00845A96">
          <w:rPr>
            <w:webHidden/>
          </w:rPr>
          <w:fldChar w:fldCharType="separate"/>
        </w:r>
        <w:r w:rsidR="00E22BFE">
          <w:rPr>
            <w:webHidden/>
          </w:rPr>
          <w:t>6</w:t>
        </w:r>
        <w:r w:rsidR="00845A96">
          <w:rPr>
            <w:webHidden/>
          </w:rPr>
          <w:fldChar w:fldCharType="end"/>
        </w:r>
      </w:hyperlink>
    </w:p>
    <w:p w14:paraId="29AAD4D5" w14:textId="77777777" w:rsidR="00845A96" w:rsidRDefault="00F4434E">
      <w:pPr>
        <w:pStyle w:val="TOC1"/>
        <w:rPr>
          <w:rFonts w:asciiTheme="minorHAnsi" w:eastAsiaTheme="minorEastAsia" w:hAnsiTheme="minorHAnsi"/>
          <w:color w:val="auto"/>
          <w:sz w:val="22"/>
          <w:lang w:val="en-US" w:eastAsia="en-US" w:bidi="ar-SA"/>
        </w:rPr>
      </w:pPr>
      <w:hyperlink w:anchor="_Toc457851457" w:history="1">
        <w:r w:rsidR="00845A96" w:rsidRPr="00787476">
          <w:rPr>
            <w:rStyle w:val="Hyperlink"/>
            <w:rFonts w:asciiTheme="majorHAnsi" w:eastAsiaTheme="majorEastAsia" w:hAnsiTheme="majorHAnsi" w:cstheme="majorBidi"/>
            <w:bCs/>
          </w:rPr>
          <w:t>Proces Przeniesienia Licencji</w:t>
        </w:r>
        <w:r w:rsidR="00845A96">
          <w:rPr>
            <w:webHidden/>
          </w:rPr>
          <w:tab/>
        </w:r>
        <w:r w:rsidR="00845A96">
          <w:rPr>
            <w:webHidden/>
          </w:rPr>
          <w:fldChar w:fldCharType="begin"/>
        </w:r>
        <w:r w:rsidR="00845A96">
          <w:rPr>
            <w:webHidden/>
          </w:rPr>
          <w:instrText xml:space="preserve"> PAGEREF _Toc457851457 \h </w:instrText>
        </w:r>
        <w:r w:rsidR="00845A96">
          <w:rPr>
            <w:webHidden/>
          </w:rPr>
        </w:r>
        <w:r w:rsidR="00845A96">
          <w:rPr>
            <w:webHidden/>
          </w:rPr>
          <w:fldChar w:fldCharType="separate"/>
        </w:r>
        <w:r w:rsidR="00E22BFE">
          <w:rPr>
            <w:webHidden/>
          </w:rPr>
          <w:t>6</w:t>
        </w:r>
        <w:r w:rsidR="00845A96">
          <w:rPr>
            <w:webHidden/>
          </w:rPr>
          <w:fldChar w:fldCharType="end"/>
        </w:r>
      </w:hyperlink>
    </w:p>
    <w:p w14:paraId="19B3B537" w14:textId="77777777" w:rsidR="00845A96" w:rsidRDefault="00F4434E">
      <w:pPr>
        <w:pStyle w:val="TOC1"/>
        <w:rPr>
          <w:rFonts w:asciiTheme="minorHAnsi" w:eastAsiaTheme="minorEastAsia" w:hAnsiTheme="minorHAnsi"/>
          <w:color w:val="auto"/>
          <w:sz w:val="22"/>
          <w:lang w:val="en-US" w:eastAsia="en-US" w:bidi="ar-SA"/>
        </w:rPr>
      </w:pPr>
      <w:hyperlink w:anchor="_Toc457851458" w:history="1">
        <w:r w:rsidR="00845A96" w:rsidRPr="00787476">
          <w:rPr>
            <w:rStyle w:val="Hyperlink"/>
            <w:rFonts w:asciiTheme="majorHAnsi" w:eastAsiaTheme="majorEastAsia" w:hAnsiTheme="majorHAnsi" w:cstheme="majorBidi"/>
            <w:bCs/>
          </w:rPr>
          <w:t xml:space="preserve">Kontrola przestrzegania postanowień i </w:t>
        </w:r>
        <w:r w:rsidR="00845A96" w:rsidRPr="00787476">
          <w:rPr>
            <w:rStyle w:val="Hyperlink"/>
            <w:rFonts w:asciiTheme="majorHAnsi" w:eastAsiaTheme="majorEastAsia" w:hAnsiTheme="majorHAnsi"/>
          </w:rPr>
          <w:t>jej ograniczenia</w:t>
        </w:r>
        <w:r w:rsidR="00845A96">
          <w:rPr>
            <w:webHidden/>
          </w:rPr>
          <w:tab/>
        </w:r>
        <w:r w:rsidR="00845A96">
          <w:rPr>
            <w:webHidden/>
          </w:rPr>
          <w:fldChar w:fldCharType="begin"/>
        </w:r>
        <w:r w:rsidR="00845A96">
          <w:rPr>
            <w:webHidden/>
          </w:rPr>
          <w:instrText xml:space="preserve"> PAGEREF _Toc457851458 \h </w:instrText>
        </w:r>
        <w:r w:rsidR="00845A96">
          <w:rPr>
            <w:webHidden/>
          </w:rPr>
        </w:r>
        <w:r w:rsidR="00845A96">
          <w:rPr>
            <w:webHidden/>
          </w:rPr>
          <w:fldChar w:fldCharType="separate"/>
        </w:r>
        <w:r w:rsidR="00E22BFE">
          <w:rPr>
            <w:webHidden/>
          </w:rPr>
          <w:t>6</w:t>
        </w:r>
        <w:r w:rsidR="00845A96">
          <w:rPr>
            <w:webHidden/>
          </w:rPr>
          <w:fldChar w:fldCharType="end"/>
        </w:r>
      </w:hyperlink>
    </w:p>
    <w:p w14:paraId="1E3BBD8C" w14:textId="77777777" w:rsidR="00845A96" w:rsidRDefault="00F4434E">
      <w:pPr>
        <w:pStyle w:val="TOC1"/>
        <w:rPr>
          <w:rFonts w:asciiTheme="minorHAnsi" w:eastAsiaTheme="minorEastAsia" w:hAnsiTheme="minorHAnsi"/>
          <w:color w:val="auto"/>
          <w:sz w:val="22"/>
          <w:lang w:val="en-US" w:eastAsia="en-US" w:bidi="ar-SA"/>
        </w:rPr>
      </w:pPr>
      <w:hyperlink w:anchor="_Toc457851459" w:history="1">
        <w:r w:rsidR="00845A96" w:rsidRPr="00787476">
          <w:rPr>
            <w:rStyle w:val="Hyperlink"/>
            <w:rFonts w:asciiTheme="majorHAnsi" w:eastAsiaTheme="majorEastAsia" w:hAnsiTheme="majorHAnsi" w:cstheme="majorBidi"/>
            <w:bCs/>
          </w:rPr>
          <w:t>Zbycie</w:t>
        </w:r>
        <w:r w:rsidR="00845A96">
          <w:rPr>
            <w:webHidden/>
          </w:rPr>
          <w:tab/>
        </w:r>
        <w:r w:rsidR="00845A96">
          <w:rPr>
            <w:webHidden/>
          </w:rPr>
          <w:fldChar w:fldCharType="begin"/>
        </w:r>
        <w:r w:rsidR="00845A96">
          <w:rPr>
            <w:webHidden/>
          </w:rPr>
          <w:instrText xml:space="preserve"> PAGEREF _Toc457851459 \h </w:instrText>
        </w:r>
        <w:r w:rsidR="00845A96">
          <w:rPr>
            <w:webHidden/>
          </w:rPr>
        </w:r>
        <w:r w:rsidR="00845A96">
          <w:rPr>
            <w:webHidden/>
          </w:rPr>
          <w:fldChar w:fldCharType="separate"/>
        </w:r>
        <w:r w:rsidR="00E22BFE">
          <w:rPr>
            <w:webHidden/>
          </w:rPr>
          <w:t>7</w:t>
        </w:r>
        <w:r w:rsidR="00845A96">
          <w:rPr>
            <w:webHidden/>
          </w:rPr>
          <w:fldChar w:fldCharType="end"/>
        </w:r>
      </w:hyperlink>
    </w:p>
    <w:p w14:paraId="74E37108" w14:textId="77777777" w:rsidR="00845A96" w:rsidRDefault="00F4434E">
      <w:pPr>
        <w:pStyle w:val="TOC1"/>
        <w:rPr>
          <w:rFonts w:asciiTheme="minorHAnsi" w:eastAsiaTheme="minorEastAsia" w:hAnsiTheme="minorHAnsi"/>
          <w:color w:val="auto"/>
          <w:sz w:val="22"/>
          <w:lang w:val="en-US" w:eastAsia="en-US" w:bidi="ar-SA"/>
        </w:rPr>
      </w:pPr>
      <w:hyperlink w:anchor="_Toc457851460" w:history="1">
        <w:r w:rsidR="00845A96" w:rsidRPr="00787476">
          <w:rPr>
            <w:rStyle w:val="Hyperlink"/>
            <w:rFonts w:asciiTheme="majorHAnsi" w:eastAsiaTheme="majorEastAsia" w:hAnsiTheme="majorHAnsi" w:cstheme="majorBidi"/>
            <w:bCs/>
          </w:rPr>
          <w:t>Katastrofy naturalne</w:t>
        </w:r>
        <w:r w:rsidR="00845A96">
          <w:rPr>
            <w:webHidden/>
          </w:rPr>
          <w:tab/>
        </w:r>
        <w:r w:rsidR="00845A96">
          <w:rPr>
            <w:webHidden/>
          </w:rPr>
          <w:fldChar w:fldCharType="begin"/>
        </w:r>
        <w:r w:rsidR="00845A96">
          <w:rPr>
            <w:webHidden/>
          </w:rPr>
          <w:instrText xml:space="preserve"> PAGEREF _Toc457851460 \h </w:instrText>
        </w:r>
        <w:r w:rsidR="00845A96">
          <w:rPr>
            <w:webHidden/>
          </w:rPr>
        </w:r>
        <w:r w:rsidR="00845A96">
          <w:rPr>
            <w:webHidden/>
          </w:rPr>
          <w:fldChar w:fldCharType="separate"/>
        </w:r>
        <w:r w:rsidR="00E22BFE">
          <w:rPr>
            <w:webHidden/>
          </w:rPr>
          <w:t>7</w:t>
        </w:r>
        <w:r w:rsidR="00845A96">
          <w:rPr>
            <w:webHidden/>
          </w:rPr>
          <w:fldChar w:fldCharType="end"/>
        </w:r>
      </w:hyperlink>
    </w:p>
    <w:p w14:paraId="5474438E" w14:textId="77777777" w:rsidR="00845A96" w:rsidRDefault="00F4434E">
      <w:pPr>
        <w:pStyle w:val="TOC1"/>
        <w:rPr>
          <w:rFonts w:asciiTheme="minorHAnsi" w:eastAsiaTheme="minorEastAsia" w:hAnsiTheme="minorHAnsi"/>
          <w:color w:val="auto"/>
          <w:sz w:val="22"/>
          <w:lang w:val="en-US" w:eastAsia="en-US" w:bidi="ar-SA"/>
        </w:rPr>
      </w:pPr>
      <w:hyperlink w:anchor="_Toc457851461" w:history="1">
        <w:r w:rsidR="00845A96" w:rsidRPr="00787476">
          <w:rPr>
            <w:rStyle w:val="Hyperlink"/>
          </w:rPr>
          <w:t>Punkt 3</w:t>
        </w:r>
        <w:r w:rsidR="00845A96">
          <w:rPr>
            <w:webHidden/>
          </w:rPr>
          <w:tab/>
        </w:r>
        <w:r w:rsidR="00845A96">
          <w:rPr>
            <w:webHidden/>
          </w:rPr>
          <w:fldChar w:fldCharType="begin"/>
        </w:r>
        <w:r w:rsidR="00845A96">
          <w:rPr>
            <w:webHidden/>
          </w:rPr>
          <w:instrText xml:space="preserve"> PAGEREF _Toc457851461 \h </w:instrText>
        </w:r>
        <w:r w:rsidR="00845A96">
          <w:rPr>
            <w:webHidden/>
          </w:rPr>
        </w:r>
        <w:r w:rsidR="00845A96">
          <w:rPr>
            <w:webHidden/>
          </w:rPr>
          <w:fldChar w:fldCharType="separate"/>
        </w:r>
        <w:r w:rsidR="00E22BFE">
          <w:rPr>
            <w:webHidden/>
          </w:rPr>
          <w:t>7</w:t>
        </w:r>
        <w:r w:rsidR="00845A96">
          <w:rPr>
            <w:webHidden/>
          </w:rPr>
          <w:fldChar w:fldCharType="end"/>
        </w:r>
      </w:hyperlink>
    </w:p>
    <w:p w14:paraId="0B507DF9" w14:textId="77777777" w:rsidR="00845A96" w:rsidRDefault="00F4434E">
      <w:pPr>
        <w:pStyle w:val="TOC1"/>
        <w:rPr>
          <w:rFonts w:asciiTheme="minorHAnsi" w:eastAsiaTheme="minorEastAsia" w:hAnsiTheme="minorHAnsi"/>
          <w:color w:val="auto"/>
          <w:sz w:val="22"/>
          <w:lang w:val="en-US" w:eastAsia="en-US" w:bidi="ar-SA"/>
        </w:rPr>
      </w:pPr>
      <w:hyperlink w:anchor="_Toc457851462" w:history="1">
        <w:r w:rsidR="00845A96" w:rsidRPr="00787476">
          <w:rPr>
            <w:rStyle w:val="Hyperlink"/>
            <w:rFonts w:asciiTheme="majorHAnsi" w:eastAsiaTheme="majorEastAsia" w:hAnsiTheme="majorHAnsi" w:cstheme="majorBidi"/>
          </w:rPr>
          <w:t>Zmiany w Podręczniku Licencjonowania w okresie ostatnich 12 miesięcy</w:t>
        </w:r>
        <w:r w:rsidR="00845A96">
          <w:rPr>
            <w:webHidden/>
          </w:rPr>
          <w:tab/>
        </w:r>
        <w:r w:rsidR="00845A96">
          <w:rPr>
            <w:webHidden/>
          </w:rPr>
          <w:fldChar w:fldCharType="begin"/>
        </w:r>
        <w:r w:rsidR="00845A96">
          <w:rPr>
            <w:webHidden/>
          </w:rPr>
          <w:instrText xml:space="preserve"> PAGEREF _Toc457851462 \h </w:instrText>
        </w:r>
        <w:r w:rsidR="00845A96">
          <w:rPr>
            <w:webHidden/>
          </w:rPr>
        </w:r>
        <w:r w:rsidR="00845A96">
          <w:rPr>
            <w:webHidden/>
          </w:rPr>
          <w:fldChar w:fldCharType="separate"/>
        </w:r>
        <w:r w:rsidR="00E22BFE">
          <w:rPr>
            <w:webHidden/>
          </w:rPr>
          <w:t>7</w:t>
        </w:r>
        <w:r w:rsidR="00845A96">
          <w:rPr>
            <w:webHidden/>
          </w:rPr>
          <w:fldChar w:fldCharType="end"/>
        </w:r>
      </w:hyperlink>
    </w:p>
    <w:p w14:paraId="29FD75B3" w14:textId="77777777" w:rsidR="00845A96" w:rsidRDefault="00F4434E">
      <w:pPr>
        <w:pStyle w:val="TOC1"/>
        <w:rPr>
          <w:rFonts w:asciiTheme="minorHAnsi" w:eastAsiaTheme="minorEastAsia" w:hAnsiTheme="minorHAnsi"/>
          <w:color w:val="auto"/>
          <w:sz w:val="22"/>
          <w:lang w:val="en-US" w:eastAsia="en-US" w:bidi="ar-SA"/>
        </w:rPr>
      </w:pPr>
      <w:hyperlink w:anchor="_Toc457851463" w:history="1">
        <w:r w:rsidR="00845A96" w:rsidRPr="00787476">
          <w:rPr>
            <w:rStyle w:val="Hyperlink"/>
          </w:rPr>
          <w:t>Załącznik</w:t>
        </w:r>
        <w:r w:rsidR="00845A96">
          <w:rPr>
            <w:webHidden/>
          </w:rPr>
          <w:tab/>
        </w:r>
        <w:r w:rsidR="00845A96">
          <w:rPr>
            <w:webHidden/>
          </w:rPr>
          <w:fldChar w:fldCharType="begin"/>
        </w:r>
        <w:r w:rsidR="00845A96">
          <w:rPr>
            <w:webHidden/>
          </w:rPr>
          <w:instrText xml:space="preserve"> PAGEREF _Toc457851463 \h </w:instrText>
        </w:r>
        <w:r w:rsidR="00845A96">
          <w:rPr>
            <w:webHidden/>
          </w:rPr>
        </w:r>
        <w:r w:rsidR="00845A96">
          <w:rPr>
            <w:webHidden/>
          </w:rPr>
          <w:fldChar w:fldCharType="separate"/>
        </w:r>
        <w:r w:rsidR="00E22BFE">
          <w:rPr>
            <w:webHidden/>
          </w:rPr>
          <w:t>8</w:t>
        </w:r>
        <w:r w:rsidR="00845A96">
          <w:rPr>
            <w:webHidden/>
          </w:rPr>
          <w:fldChar w:fldCharType="end"/>
        </w:r>
      </w:hyperlink>
    </w:p>
    <w:p w14:paraId="7B992F5D" w14:textId="77777777" w:rsidR="00845A96" w:rsidRDefault="00F4434E">
      <w:pPr>
        <w:pStyle w:val="TOC1"/>
        <w:rPr>
          <w:rFonts w:asciiTheme="minorHAnsi" w:eastAsiaTheme="minorEastAsia" w:hAnsiTheme="minorHAnsi"/>
          <w:color w:val="auto"/>
          <w:sz w:val="22"/>
          <w:lang w:val="en-US" w:eastAsia="en-US" w:bidi="ar-SA"/>
        </w:rPr>
      </w:pPr>
      <w:hyperlink w:anchor="_Toc457851464" w:history="1">
        <w:r w:rsidR="00845A96" w:rsidRPr="00787476">
          <w:rPr>
            <w:rStyle w:val="Hyperlink"/>
            <w:rFonts w:asciiTheme="majorHAnsi" w:eastAsiaTheme="majorEastAsia" w:hAnsiTheme="majorHAnsi" w:cstheme="majorBidi"/>
            <w:bCs/>
          </w:rPr>
          <w:t>Definicja r</w:t>
        </w:r>
        <w:r w:rsidR="00845A96" w:rsidRPr="00787476">
          <w:rPr>
            <w:rStyle w:val="Hyperlink"/>
            <w:rFonts w:asciiTheme="majorHAnsi" w:eastAsiaTheme="majorEastAsia" w:hAnsiTheme="majorHAnsi" w:cstheme="majorBidi"/>
          </w:rPr>
          <w:t>egionów</w:t>
        </w:r>
        <w:r w:rsidR="00845A96">
          <w:rPr>
            <w:webHidden/>
          </w:rPr>
          <w:tab/>
        </w:r>
        <w:r w:rsidR="00845A96">
          <w:rPr>
            <w:webHidden/>
          </w:rPr>
          <w:fldChar w:fldCharType="begin"/>
        </w:r>
        <w:r w:rsidR="00845A96">
          <w:rPr>
            <w:webHidden/>
          </w:rPr>
          <w:instrText xml:space="preserve"> PAGEREF _Toc457851464 \h </w:instrText>
        </w:r>
        <w:r w:rsidR="00845A96">
          <w:rPr>
            <w:webHidden/>
          </w:rPr>
        </w:r>
        <w:r w:rsidR="00845A96">
          <w:rPr>
            <w:webHidden/>
          </w:rPr>
          <w:fldChar w:fldCharType="separate"/>
        </w:r>
        <w:r w:rsidR="00E22BFE">
          <w:rPr>
            <w:webHidden/>
          </w:rPr>
          <w:t>8</w:t>
        </w:r>
        <w:r w:rsidR="00845A96">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1451"/>
      <w:r>
        <w:t>Cel dokumentu i zasoby</w:t>
      </w:r>
      <w:bookmarkEnd w:id="1"/>
      <w:bookmarkEnd w:id="2"/>
      <w:bookmarkEnd w:id="3"/>
    </w:p>
    <w:p w14:paraId="0AAB290E" w14:textId="6DC02717" w:rsidR="0038541A" w:rsidRPr="001165AA" w:rsidRDefault="00BC6802" w:rsidP="00551301">
      <w:pPr>
        <w:pStyle w:val="BodyText"/>
      </w:pPr>
      <w:r>
        <w:t>Niniejszy Podręcznik Licencjonowania zawiera informacje dodatkowe przeznaczone dla klientów, którzy zawarli Umowę Microsoft Products and Services Agreement (MPSA), dotyczące struktury konta, procesów zamawiania, ceny, a także innych postanowień.</w:t>
      </w:r>
      <w:r w:rsidR="00A23237">
        <w:t xml:space="preserve"> </w:t>
      </w:r>
      <w:r>
        <w:t>Terminy, których poszczególne wyrazy rozpoczynają się wielkimi literami i które zostały użyte w niniejszym Podręczniku Licencjonowania, lecz nie zostały w nim zdefiniowane, mają znaczenie przypisane im w Umowie MPSA, w tym w Postanowieniach dotyczących Produktów.</w:t>
      </w:r>
    </w:p>
    <w:p w14:paraId="6352A80B" w14:textId="00F3BCAC" w:rsidR="00BC6802" w:rsidRPr="001165AA" w:rsidRDefault="00BC6802" w:rsidP="00551301">
      <w:pPr>
        <w:pStyle w:val="BodyText"/>
      </w:pPr>
      <w:r>
        <w:t xml:space="preserve">Ogólny przegląd Umowy MPSA można znaleźć na stronie </w:t>
      </w:r>
      <w:hyperlink r:id="rId15" w:history="1">
        <w:r>
          <w:rPr>
            <w:rStyle w:val="Hyperlink"/>
          </w:rPr>
          <w:t>http://www.microsoft.com/licensing/mpsa/</w:t>
        </w:r>
      </w:hyperlink>
      <w:r w:rsidRPr="002910BC">
        <w:rPr>
          <w:rStyle w:val="Hyperlink"/>
          <w:color w:val="auto"/>
          <w:u w:val="none"/>
        </w:rPr>
        <w:t>.</w:t>
      </w:r>
      <w:r w:rsidR="00A23237">
        <w:rPr>
          <w:rStyle w:val="Hyperlink"/>
        </w:rPr>
        <w:t xml:space="preserve"> </w:t>
      </w:r>
    </w:p>
    <w:p w14:paraId="7505A368" w14:textId="213B57D7" w:rsidR="00BC6802" w:rsidRPr="001165AA" w:rsidRDefault="00BC6802" w:rsidP="00BC6802">
      <w:pPr>
        <w:pStyle w:val="BodyText"/>
      </w:pPr>
      <w:r>
        <w:t xml:space="preserve">Najnowszą wersję tego dokumentu, szczegółowe informacje na temat praw do używania oraz Postanowienia dotyczące Produktów można znaleźć na stronie </w:t>
      </w:r>
      <w:hyperlink r:id="rId16" w:history="1">
        <w:r>
          <w:rPr>
            <w:rStyle w:val="Hyperlink"/>
          </w:rPr>
          <w:t>http://www.microsoft.com/licensing/contracts</w:t>
        </w:r>
      </w:hyperlink>
      <w:r w:rsidRPr="002910BC">
        <w:rPr>
          <w:rStyle w:val="Hyperlink"/>
          <w:color w:val="auto"/>
          <w:u w:val="none"/>
        </w:rPr>
        <w:t>.</w:t>
      </w:r>
      <w:r w:rsidR="00A23237">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1452"/>
      <w:r>
        <w:lastRenderedPageBreak/>
        <w:t>Punkt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1453"/>
      <w:r>
        <w:rPr>
          <w:rFonts w:asciiTheme="majorHAnsi" w:eastAsiaTheme="majorEastAsia" w:hAnsiTheme="majorHAnsi" w:cstheme="majorBidi"/>
          <w:bCs/>
          <w:color w:val="8064A2" w:themeColor="accent4"/>
          <w:sz w:val="28"/>
          <w:szCs w:val="26"/>
        </w:rPr>
        <w:t>Zasady funkcjonowania Umowy Microsoft Products and Services Agreement</w:t>
      </w:r>
      <w:bookmarkEnd w:id="7"/>
      <w:bookmarkEnd w:id="8"/>
      <w:bookmarkEnd w:id="9"/>
    </w:p>
    <w:p w14:paraId="3D0499DA" w14:textId="77777777" w:rsidR="00EE5D60" w:rsidRPr="001165AA" w:rsidRDefault="00FD4C65" w:rsidP="00CC6A48">
      <w:pPr>
        <w:pStyle w:val="Thirdheading"/>
      </w:pPr>
      <w:r>
        <w:rPr>
          <w:b/>
        </w:rPr>
        <w:t>Struktura konta</w:t>
      </w:r>
    </w:p>
    <w:p w14:paraId="748F15FC" w14:textId="1A105219" w:rsidR="002B4822" w:rsidRPr="001165AA" w:rsidRDefault="002B4822" w:rsidP="002B4822">
      <w:pPr>
        <w:pStyle w:val="BodyText"/>
      </w:pPr>
      <w:r>
        <w:t>Umowa Microsoft Products and Services Agreement zapewnia możliwość elastycznego konfigurowania odpowiedniej struktury zakupów</w:t>
      </w:r>
      <w:r w:rsidR="00024884">
        <w:t> </w:t>
      </w:r>
      <w:r>
        <w:t>w ramach Licencjonowania Zbiorowego przy użyciu Kont Zakupów.</w:t>
      </w:r>
      <w:r w:rsidR="00A23237">
        <w:t xml:space="preserve"> </w:t>
      </w:r>
      <w:r>
        <w:t>Konto Zakupów oznacza dowolną jednostkę w organizacji Licencjobiorcy, która ma dysponować możliwością zakupu zarówno Oprogramowania, jak i Usług Online.</w:t>
      </w:r>
      <w:r w:rsidR="00A23237">
        <w:t xml:space="preserve"> </w:t>
      </w:r>
      <w:r>
        <w:t>Konta Zakupów są powiązane z Umową MPSA organizacji za pośrednictwem zdefiniowanego podmiotu prawnego określonego w formularzu rejestracji Konta Zakupów.</w:t>
      </w:r>
    </w:p>
    <w:p w14:paraId="71AABA69" w14:textId="169DBADE" w:rsidR="00551301" w:rsidRPr="001165AA" w:rsidRDefault="00986457" w:rsidP="00551301">
      <w:pPr>
        <w:pStyle w:val="BodyText"/>
      </w:pPr>
      <w:r>
        <w:t>Dla różnych typów Klientów są obsługiwane trzy typy Kont Zakupów: Komercyjne, Rządowe i Akademickie.</w:t>
      </w:r>
      <w:r w:rsidR="00A23237">
        <w:t xml:space="preserve"> </w:t>
      </w:r>
      <w:r>
        <w:t>Aby zakwalifikować się do korzystania z Rządowego lub Akademickiego Konta Zakupów, organizacja musi spełniać stosowne kryteria kwalifikacji przedstawione na</w:t>
      </w:r>
      <w:r w:rsidR="00024884">
        <w:t> </w:t>
      </w:r>
      <w:r>
        <w:t xml:space="preserve">stronie </w:t>
      </w:r>
      <w:hyperlink r:id="rId17" w:history="1">
        <w:r>
          <w:rPr>
            <w:rStyle w:val="Hyperlink"/>
          </w:rPr>
          <w:t>http://www.microsoftvolumelicensing.com/contracts</w:t>
        </w:r>
      </w:hyperlink>
      <w:r w:rsidRPr="002910BC">
        <w:rPr>
          <w:color w:val="auto"/>
        </w:rPr>
        <w:t>.</w:t>
      </w:r>
    </w:p>
    <w:p w14:paraId="57454CD8" w14:textId="4A921EB5" w:rsidR="002B4822" w:rsidRPr="001165AA" w:rsidRDefault="002B4822" w:rsidP="002B4822">
      <w:pPr>
        <w:pStyle w:val="BodyText"/>
      </w:pPr>
      <w:r>
        <w:t>Elastyczna struktura Konta Zakupów umożliwia definiowanie i modyfikowanie konfiguracji zakupów organizacji w oparciu o jej potrzeby biznesowe.</w:t>
      </w:r>
      <w:r w:rsidR="00A23237">
        <w:t xml:space="preserve"> </w:t>
      </w:r>
      <w:r>
        <w:t>Konta można ustanowić na poziomie organizacji, podmiotu stowarzyszonego, działu lub nawet podzbioru pracowników.</w:t>
      </w:r>
    </w:p>
    <w:p w14:paraId="18A1DAD4" w14:textId="5213310D" w:rsidR="003B5822" w:rsidRPr="001165AA" w:rsidRDefault="002B4822" w:rsidP="002B4822">
      <w:pPr>
        <w:pStyle w:val="BodyText"/>
      </w:pPr>
      <w:r>
        <w:t>Najpierw należy określić sposób zakupu Produktów przez organizację Licencjobiorcy.</w:t>
      </w:r>
      <w:r w:rsidR="00A23237">
        <w:t xml:space="preserve"> </w:t>
      </w:r>
      <w:r>
        <w:t>Pomoże to określić strukturę ustanowioną dla zakupów transakcji Licencjonowania Zbiorowego.</w:t>
      </w:r>
      <w:r w:rsidR="00A23237">
        <w:t xml:space="preserve"> </w:t>
      </w:r>
    </w:p>
    <w:p w14:paraId="1454C11F" w14:textId="4FD79AA7" w:rsidR="00EE5D60" w:rsidRPr="001165AA" w:rsidRDefault="00EE5D60" w:rsidP="003B5822">
      <w:pPr>
        <w:pStyle w:val="BodyText"/>
      </w:pPr>
      <w:r>
        <w:t>Jeśli na przykład zakupy mają być zarządzane centralnie, można zarejestrować jedno Konto Zakupów:</w:t>
      </w:r>
      <w:r w:rsidR="00A23237">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KONTO ZAKUPÓW</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UMOWA MPSA</w:t>
            </w:r>
          </w:p>
        </w:tc>
      </w:tr>
    </w:tbl>
    <w:p w14:paraId="25394166" w14:textId="5AE00E1A" w:rsidR="002C6347" w:rsidRPr="001165AA" w:rsidRDefault="001273AD" w:rsidP="00EF5842">
      <w:pPr>
        <w:pStyle w:val="BodyText"/>
        <w:spacing w:before="240"/>
      </w:pPr>
      <w:r>
        <w:t>Aby zastosować podejście mniej scentralizowane, Licencjobiorca może też zarejestrować wiele Kont Zakupów i posiadać różne typy Kont Zakupów w ramach jednej Umowy MPSA:</w:t>
      </w:r>
      <w:r w:rsidR="00A23237">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KONTO ZAKUPÓW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szkolne</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UMOWA 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KONTO ZAKUPÓW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komercyjne</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KONTO ZAKUPÓW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komercyjne</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UMOWA 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Miesiąc rocznicy Konta Zakupów</w:t>
      </w:r>
    </w:p>
    <w:p w14:paraId="716531FB" w14:textId="72057ED7" w:rsidR="00BA0D95" w:rsidRPr="001165AA" w:rsidRDefault="00F55CB5" w:rsidP="000F6294">
      <w:pPr>
        <w:pStyle w:val="BodyText"/>
      </w:pPr>
      <w:r>
        <w:t>Podczas rejestracji każdego Konta Zakupów Licencjobiorca może wybrać miesiąc, do którego mają być dopasowywane zakupy z okresem subskrypcji, co pozwala zapewnić jedną, stałą rocznicę odnowień.</w:t>
      </w:r>
      <w:r w:rsidR="00A23237">
        <w:t xml:space="preserve"> </w:t>
      </w:r>
      <w:r>
        <w:t>Jeśli na przykład na jednym z kont styczeń zostanie wybrany jako miesiąc rocznicy, wszelkie zakupy Usług Online dokonywane w ramach tego konta będą dopasowywane do tego terminu.</w:t>
      </w:r>
      <w:r w:rsidR="00024884">
        <w:t> </w:t>
      </w:r>
      <w:r>
        <w:t>Odnowienie Usług Online na tym koncie będzie następować co rok w styczniu.</w:t>
      </w:r>
      <w:r w:rsidR="00A23237">
        <w:t xml:space="preserve"> </w:t>
      </w:r>
      <w:r>
        <w:t>Licencjobiorca może zmienić wyznaczony termin odpowiednio do potrzeb organizacji w witrynie Microsoft Business Center.</w:t>
      </w:r>
      <w:r w:rsidR="00A23237">
        <w:t xml:space="preserve"> </w:t>
      </w:r>
      <w:r>
        <w:t>Wszelkie zmiany będą miały zastosowanie tylko do</w:t>
      </w:r>
      <w:r w:rsidR="00024884">
        <w:t> </w:t>
      </w:r>
      <w:r>
        <w:t>przyszłych zamówień.</w:t>
      </w:r>
    </w:p>
    <w:p w14:paraId="523B666A" w14:textId="71360650" w:rsidR="009C6617" w:rsidRPr="001165AA" w:rsidRDefault="00351635" w:rsidP="000F6294">
      <w:pPr>
        <w:pStyle w:val="BodyText"/>
      </w:pPr>
      <w:r>
        <w:t>W przypadku Rządowych i Akademickich Kont Zakupów można określić datę wygaśnięcia zakupów.</w:t>
      </w:r>
      <w:r w:rsidR="00A23237">
        <w:t xml:space="preserve"> </w:t>
      </w:r>
      <w:r>
        <w:t>Po wybraniu tej opcji terminy subskrypcji nie będą wykraczać poza określoną datę.</w:t>
      </w:r>
      <w:r w:rsidR="00A23237">
        <w:t xml:space="preserve"> </w:t>
      </w:r>
      <w:r>
        <w:t>W razie potrzeby termin może zostać przedłużony.</w:t>
      </w:r>
      <w:r w:rsidR="00A23237">
        <w:t xml:space="preserve"> </w:t>
      </w:r>
    </w:p>
    <w:p w14:paraId="3E54FF24" w14:textId="77777777" w:rsidR="00EE5D60" w:rsidRPr="001165AA" w:rsidRDefault="00EE5D60" w:rsidP="00CC6A48">
      <w:pPr>
        <w:pStyle w:val="Thirdheading"/>
      </w:pPr>
      <w:r>
        <w:rPr>
          <w:b/>
        </w:rPr>
        <w:t>Administrator Umowy</w:t>
      </w:r>
    </w:p>
    <w:p w14:paraId="5DCCE091" w14:textId="54FFB0C0" w:rsidR="00EE5D60" w:rsidRPr="001165AA" w:rsidRDefault="00B60D55" w:rsidP="00EE5D60">
      <w:pPr>
        <w:pStyle w:val="BodyText"/>
      </w:pPr>
      <w:r>
        <w:t>Każda Umowa MPSA wymaga podpisania przez podmiot prawny, tj. „Klienta”. Klient wyznaczy jedno Konto Zakupów jako Administratora Umowy.</w:t>
      </w:r>
      <w:r w:rsidR="00A23237">
        <w:t xml:space="preserve"> </w:t>
      </w:r>
      <w:r>
        <w:t>Możliwe jest dodanie innych Kont Zakupów i powiązanie ich z Administratorem Umowy.</w:t>
      </w:r>
      <w:r w:rsidR="00A23237">
        <w:t xml:space="preserve"> </w:t>
      </w:r>
      <w:r>
        <w:t xml:space="preserve">Dzięki temu </w:t>
      </w:r>
      <w:r>
        <w:lastRenderedPageBreak/>
        <w:t>Administrator Umowy będzie mieć pełny widok wszystkich zasobów w organizacji i będzie dysponować jednym, wygodnym źródłem umożliwiającym zarządzanie wszystkimi Kontami Zakupów.</w:t>
      </w:r>
      <w:r w:rsidR="00A23237">
        <w:t xml:space="preserve"> </w:t>
      </w:r>
      <w:r>
        <w:t>Konto Administratora Umowy:</w:t>
      </w:r>
    </w:p>
    <w:p w14:paraId="17D00860" w14:textId="77777777" w:rsidR="00EE5D60" w:rsidRPr="001165AA" w:rsidRDefault="00EE5D60" w:rsidP="00732568">
      <w:pPr>
        <w:pStyle w:val="BodyText"/>
        <w:numPr>
          <w:ilvl w:val="0"/>
          <w:numId w:val="16"/>
        </w:numPr>
        <w:spacing w:after="0"/>
      </w:pPr>
      <w:r>
        <w:t>ma pełny widok zasobów na wszystkich Kontach Zakupów;</w:t>
      </w:r>
    </w:p>
    <w:p w14:paraId="22DDFB5B" w14:textId="5DF06EAD" w:rsidR="00EE5D60" w:rsidRPr="001165AA" w:rsidRDefault="00EE5D60" w:rsidP="00732568">
      <w:pPr>
        <w:pStyle w:val="BodyText"/>
        <w:numPr>
          <w:ilvl w:val="0"/>
          <w:numId w:val="16"/>
        </w:numPr>
        <w:spacing w:after="0"/>
      </w:pPr>
      <w:r>
        <w:t>otrzymuje powiadomienie, gdy Konto Zakupów zostaje powiązane z Umową MPSA.</w:t>
      </w:r>
    </w:p>
    <w:p w14:paraId="3900998A" w14:textId="77777777" w:rsidR="00EE5D60" w:rsidRPr="001165AA" w:rsidRDefault="00EE5D60" w:rsidP="00732568">
      <w:pPr>
        <w:pStyle w:val="BodyText"/>
        <w:numPr>
          <w:ilvl w:val="0"/>
          <w:numId w:val="16"/>
        </w:numPr>
        <w:spacing w:after="0"/>
      </w:pPr>
      <w:r>
        <w:t>może wypowiedzieć powiązanie dowolnego Konta Zakupów z Umową MPSA;</w:t>
      </w:r>
    </w:p>
    <w:p w14:paraId="670F27E9" w14:textId="77777777" w:rsidR="00EE5D60" w:rsidRPr="001165AA" w:rsidRDefault="00EE5D60" w:rsidP="00732568">
      <w:pPr>
        <w:pStyle w:val="BodyText"/>
        <w:numPr>
          <w:ilvl w:val="0"/>
          <w:numId w:val="16"/>
        </w:numPr>
        <w:spacing w:after="0"/>
      </w:pPr>
      <w:r>
        <w:t>może wypowiedzieć Umowę MPSA;</w:t>
      </w:r>
    </w:p>
    <w:p w14:paraId="4B7AFB3F" w14:textId="77777777" w:rsidR="00732568" w:rsidRPr="001165AA" w:rsidRDefault="00732568" w:rsidP="00A80953">
      <w:pPr>
        <w:pStyle w:val="BodyText"/>
        <w:numPr>
          <w:ilvl w:val="0"/>
          <w:numId w:val="16"/>
        </w:numPr>
        <w:spacing w:after="0"/>
      </w:pPr>
      <w:r>
        <w:t xml:space="preserve">nie może być używane do składania zamówień na rzecz innych Kont Zakupów ani zarządzania ich zasobami. </w:t>
      </w:r>
    </w:p>
    <w:p w14:paraId="4805856A" w14:textId="7316D0FD" w:rsidR="00E66243" w:rsidRPr="001165AA" w:rsidRDefault="00E66243" w:rsidP="008073E9">
      <w:pPr>
        <w:pStyle w:val="BodyText"/>
        <w:spacing w:before="120" w:after="0"/>
      </w:pPr>
      <w:r>
        <w:t>Klient (podmiot prawny) Administratora Umowy jest używany do zdefiniowania Podmiotu Stowarzyszonego w Umowie MPSA.</w:t>
      </w:r>
    </w:p>
    <w:p w14:paraId="16DC1212" w14:textId="77777777" w:rsidR="00BA0D95" w:rsidRPr="001165AA" w:rsidRDefault="00BA0D95" w:rsidP="002123CF">
      <w:pPr>
        <w:pStyle w:val="Thirdheading"/>
        <w:spacing w:line="240" w:lineRule="auto"/>
      </w:pPr>
      <w:r>
        <w:rPr>
          <w:b/>
        </w:rPr>
        <w:t>Partnerzy</w:t>
      </w:r>
    </w:p>
    <w:p w14:paraId="13ADF8DC" w14:textId="2B332D33" w:rsidR="00BA0D95" w:rsidRPr="001165AA" w:rsidRDefault="00DF4813" w:rsidP="00CF38B4">
      <w:pPr>
        <w:pStyle w:val="BodyText"/>
        <w:spacing w:after="0"/>
      </w:pPr>
      <w:r>
        <w:t>Licencjobiorca może składać zamówienia przez Konto Zakupów w ramach Umowy MPSA za pośrednictwem Partnera Licensing Solution Partner (LSP) upoważnionego do odsprzedaży Produktów Microsoft w ramach Umowy MPSA.</w:t>
      </w:r>
      <w:r w:rsidR="00A23237">
        <w:t xml:space="preserve"> </w:t>
      </w:r>
      <w:r>
        <w:t>Każde Konto Zakupów może wybrać określonego Partnera ds. Licencjonowania, który podejmie współpracę z Licencjobiorcą w celu zarejestrowania Kont Zakupów i zawarcia umowy w formie elektronicznej z podpisem elektronicznym</w:t>
      </w:r>
      <w:r w:rsidR="00024884">
        <w:rPr>
          <w:rStyle w:val="FootnoteReference"/>
        </w:rPr>
        <w:footnoteReference w:id="2"/>
      </w:r>
      <w:r>
        <w:t>.</w:t>
      </w:r>
      <w:r w:rsidR="00A23237">
        <w:t xml:space="preserve"> </w:t>
      </w:r>
      <w:r>
        <w:t>Partnerów ds. Licencjonowania można później dodawać do kont Licencjobiorcy odpowiednio do potrzeb transakcyjnych.</w:t>
      </w:r>
      <w:r w:rsidR="00A23237">
        <w:t xml:space="preserve"> </w:t>
      </w:r>
      <w:r>
        <w:t xml:space="preserve">Więcej informacji o Partnerach z całego świata, którzy świadczą usługi w lokalizacji Licencjobiorcy, można znaleźć na stronie </w:t>
      </w:r>
      <w:hyperlink r:id="rId18" w:history="1">
        <w:r>
          <w:rPr>
            <w:rStyle w:val="Hyperlink"/>
          </w:rPr>
          <w:t>http://pinpoint.microsoft.com</w:t>
        </w:r>
      </w:hyperlink>
      <w:r w:rsidRPr="002910BC">
        <w:rPr>
          <w:color w:val="auto"/>
        </w:rPr>
        <w:t>.</w:t>
      </w:r>
    </w:p>
    <w:p w14:paraId="1E9FBD4F" w14:textId="19C7971B" w:rsidR="00F360FC" w:rsidRPr="001165AA" w:rsidRDefault="00F360FC" w:rsidP="00F360FC">
      <w:pPr>
        <w:pStyle w:val="Thirdheading"/>
        <w:spacing w:line="240" w:lineRule="auto"/>
      </w:pPr>
      <w:r>
        <w:rPr>
          <w:b/>
        </w:rPr>
        <w:t>Sprzedaż bezpośrednia</w:t>
      </w:r>
    </w:p>
    <w:p w14:paraId="712E4874" w14:textId="31A6A88A" w:rsidR="00F360FC" w:rsidRPr="001165AA" w:rsidRDefault="000273F6" w:rsidP="00F360FC">
      <w:pPr>
        <w:pStyle w:val="BodyText"/>
        <w:spacing w:after="0"/>
      </w:pPr>
      <w:r>
        <w:t>Określeni sprzedawcy Microsoft są uprawnieni do oferowania Produktów w ramach Umowy MPSA i mogą podjąć współpracę z</w:t>
      </w:r>
      <w:r w:rsidR="00472A30">
        <w:t> </w:t>
      </w:r>
      <w:r>
        <w:t>Licencjobiorcą w celu rejestracji Kont Zakupów.</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1454"/>
      <w:r>
        <w:rPr>
          <w:rFonts w:asciiTheme="majorHAnsi" w:eastAsiaTheme="majorEastAsia" w:hAnsiTheme="majorHAnsi" w:cstheme="majorBidi"/>
          <w:bCs/>
          <w:color w:val="8064A2" w:themeColor="accent4"/>
          <w:sz w:val="28"/>
          <w:szCs w:val="26"/>
        </w:rPr>
        <w:t>Zakupy transakcyjne</w:t>
      </w:r>
      <w:bookmarkEnd w:id="10"/>
      <w:bookmarkEnd w:id="11"/>
      <w:bookmarkEnd w:id="12"/>
    </w:p>
    <w:p w14:paraId="2A578B5E" w14:textId="77777777" w:rsidR="009D6481" w:rsidRPr="001165AA" w:rsidRDefault="00FD50F2" w:rsidP="00CC6A48">
      <w:pPr>
        <w:pStyle w:val="Thirdheading"/>
      </w:pPr>
      <w:r>
        <w:rPr>
          <w:b/>
        </w:rPr>
        <w:t>Produkty</w:t>
      </w:r>
    </w:p>
    <w:p w14:paraId="7B8A6817" w14:textId="2D565DE9" w:rsidR="009D6481" w:rsidRPr="001165AA" w:rsidRDefault="00C72F37" w:rsidP="009D6481">
      <w:pPr>
        <w:pStyle w:val="BodyText"/>
      </w:pPr>
      <w:r>
        <w:t>Większość Produktów podlegających Licencjonowaniu Zbiorowemu Microsoft można zamawiać w ramach Umowy MPSA.</w:t>
      </w:r>
      <w:r w:rsidR="00A23237">
        <w:t xml:space="preserve"> </w:t>
      </w:r>
      <w:r>
        <w:t xml:space="preserve">Pełną listę Produktów dostępnych w ramach Umowy MPSA można znaleźć w Postanowieniach dotyczących Produktów pod adresem </w:t>
      </w:r>
      <w:hyperlink r:id="rId19" w:history="1">
        <w:r>
          <w:rPr>
            <w:rStyle w:val="Hyperlink"/>
          </w:rPr>
          <w:t>http://www.microsoft.com/licensing/contracts</w:t>
        </w:r>
      </w:hyperlink>
      <w:r w:rsidRPr="002910BC">
        <w:rPr>
          <w:color w:val="auto"/>
        </w:rPr>
        <w:t>.</w:t>
      </w:r>
      <w:r w:rsidR="00A23237">
        <w:t xml:space="preserve"> </w:t>
      </w:r>
    </w:p>
    <w:p w14:paraId="07C83D7C" w14:textId="77777777" w:rsidR="009D6481" w:rsidRPr="001165AA" w:rsidRDefault="00FD50F2" w:rsidP="00CC6A48">
      <w:pPr>
        <w:pStyle w:val="Thirdheading"/>
      </w:pPr>
      <w:r>
        <w:rPr>
          <w:b/>
        </w:rPr>
        <w:t>Dostęp do materiałów do pobrania i informacji o koncie</w:t>
      </w:r>
    </w:p>
    <w:p w14:paraId="27EB6CBB" w14:textId="5103DFFA" w:rsidR="009D6481" w:rsidRPr="001165AA" w:rsidRDefault="003732E1" w:rsidP="00994CAB">
      <w:pPr>
        <w:pStyle w:val="BodyText"/>
      </w:pPr>
      <w:r>
        <w:t>Licencjobiorca będzie mieć dostęp do witryny Microsoft Business Center, w której można pobrać Oprogramowanie, uzyskać dostęp do</w:t>
      </w:r>
      <w:r w:rsidR="002D3136">
        <w:t> </w:t>
      </w:r>
      <w:r>
        <w:t>kluczy Produktów, przeglądać dane o kupionych licencjach i usługach oraz przydzielać zasoby do Usług Online.</w:t>
      </w:r>
      <w:r w:rsidR="00A23237">
        <w:t xml:space="preserve"> </w:t>
      </w:r>
      <w:r>
        <w:t xml:space="preserve">Witryna Microsoft Business Center jest dostępna pod adresem </w:t>
      </w:r>
      <w:hyperlink r:id="rId20" w:history="1">
        <w:r>
          <w:rPr>
            <w:rStyle w:val="Hyperlink"/>
          </w:rPr>
          <w:t>https://licensing.microsoft.com/customer/</w:t>
        </w:r>
      </w:hyperlink>
      <w:r w:rsidRPr="002910BC">
        <w:rPr>
          <w:color w:val="auto"/>
        </w:rPr>
        <w:t>.</w:t>
      </w:r>
    </w:p>
    <w:p w14:paraId="0DB6FBA2" w14:textId="0E9DB4C2" w:rsidR="008E77D5" w:rsidRPr="001165AA" w:rsidRDefault="0020545D" w:rsidP="00CC6A48">
      <w:pPr>
        <w:pStyle w:val="Thirdheading"/>
      </w:pPr>
      <w:r>
        <w:rPr>
          <w:b/>
        </w:rPr>
        <w:t>Poziomy cenowe</w:t>
      </w:r>
    </w:p>
    <w:p w14:paraId="3FE02415" w14:textId="2CB3BB09" w:rsidR="00D17BBE" w:rsidRPr="001165AA" w:rsidRDefault="009D5624" w:rsidP="00E30CB7">
      <w:pPr>
        <w:pStyle w:val="BodyText"/>
      </w:pPr>
      <w:r>
        <w:t>Aby osiągnąć pułap kwalifikujący do zamówienia Produktów w określonej Puli Produktów, Licencjobiorca musi uzyskać co najmniej 500 punktów na daną Pulę Produktów w ciągu roku.</w:t>
      </w:r>
      <w:r w:rsidR="00A23237">
        <w:t xml:space="preserve"> </w:t>
      </w:r>
      <w:r>
        <w:t>Licencjobiorca może też uzyskać taką kwalifikację w wyniku zamówienia Usług Online za co najmniej 250 punktów w danej Puli Produktów lub powiązania aktywnej umowy uprawniającej (Rejestracji Enterprise, Rejestracji Enterprise Subscription lub Umowy Select Plus) z Umową MPSA.</w:t>
      </w:r>
      <w:r w:rsidR="00A23237">
        <w:t xml:space="preserve"> </w:t>
      </w:r>
      <w:r>
        <w:t>W odniesieniu do każdej Puli Produktów Licencjobiorca może skorzystać z innej umowy uprawniającej.</w:t>
      </w:r>
      <w:r w:rsidR="00A23237">
        <w:t xml:space="preserve"> </w:t>
      </w:r>
      <w:r>
        <w:t>Niemniej jednak aby powiązać umowę uprawniającą z Umową MPSA, Licencjobiorca musi (1) być Podmiotem Stowarzyszonym z Klientem, który zawarł umowę uprawniającą, i (2) uzyskać zgodę tego Klienta na takie powiązanie.</w:t>
      </w:r>
      <w:r w:rsidR="00A23237">
        <w:t xml:space="preserve"> </w:t>
      </w:r>
      <w:r>
        <w:t>Licencjobiorca może korzystać z Usług Microsoft Azure bez spełnienia wymogu minimalnej liczby punktów.</w:t>
      </w:r>
    </w:p>
    <w:p w14:paraId="14D5163E" w14:textId="4185F1D5" w:rsidR="00BC6802" w:rsidRDefault="00433D47" w:rsidP="00E30CB7">
      <w:pPr>
        <w:pStyle w:val="BodyText"/>
      </w:pPr>
      <w:r>
        <w:t>Komercyjne Konta Zakupów mają dostęp do czterech poziomów cenowych dostępnych według Puli Produktów zgodnie z poniższymi definicjami.</w:t>
      </w:r>
      <w:r w:rsidR="00A23237">
        <w:t xml:space="preserve"> </w:t>
      </w:r>
      <w:r>
        <w:t>Liczba punktów na poszczególnych poziomach cenowych dla Komercyjnych Kont Zakupów jest przedstawiona w poniższej</w:t>
      </w:r>
      <w:r w:rsidR="002D3136">
        <w:t> </w:t>
      </w:r>
      <w:r>
        <w:t>tabeli.</w:t>
      </w:r>
      <w:r w:rsidR="00A23237">
        <w:t xml:space="preserve"> </w:t>
      </w:r>
    </w:p>
    <w:p w14:paraId="0A1F4F6A" w14:textId="77777777" w:rsidR="00F86B8B" w:rsidRDefault="00F86B8B" w:rsidP="00E30CB7">
      <w:pPr>
        <w:pStyle w:val="BodyText"/>
      </w:pPr>
    </w:p>
    <w:p w14:paraId="6E364C47" w14:textId="77777777" w:rsidR="00F86B8B" w:rsidRPr="001165AA" w:rsidRDefault="00F86B8B" w:rsidP="00E30CB7">
      <w:pPr>
        <w:pStyle w:val="BodyText"/>
      </w:pP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lastRenderedPageBreak/>
              <w:t>Poziom cenowy — komercyjne</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Minimalna liczba punktów rocznie na daną Pulę Produktów</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lub 250 tylko na Usługi Online</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Domyślnie początkowym poziomem cenowym w momencie podpisania umowy jest poziom A. Organizacja automatycznie przechodzi na bardziej korzystny poziom cenowy, jeśli wystąpi jedno z następujących zdarzeń:</w:t>
      </w:r>
    </w:p>
    <w:p w14:paraId="4CE0D1CA" w14:textId="20870693" w:rsidR="00A80953" w:rsidRPr="001165AA" w:rsidRDefault="008E77D5" w:rsidP="00A80953">
      <w:pPr>
        <w:pStyle w:val="BodyText"/>
        <w:numPr>
          <w:ilvl w:val="0"/>
          <w:numId w:val="16"/>
        </w:numPr>
        <w:spacing w:after="0"/>
      </w:pPr>
      <w:r>
        <w:t>Licencjobiorca złoży zamówienie na liczbę punktów wystarczającą do zakwalifikowania się na następny poziom cenowy dla danej Puli Produktów.</w:t>
      </w:r>
    </w:p>
    <w:p w14:paraId="67DCFF8F" w14:textId="48660B9F" w:rsidR="00A80953" w:rsidRPr="001165AA" w:rsidRDefault="00A80953" w:rsidP="00A80953">
      <w:pPr>
        <w:pStyle w:val="BodyText"/>
        <w:numPr>
          <w:ilvl w:val="0"/>
          <w:numId w:val="16"/>
        </w:numPr>
        <w:spacing w:after="0"/>
      </w:pPr>
      <w:r>
        <w:t xml:space="preserve">Licencjobiorca powiąże aktywną umowę uprawniającą, do której przypisany jest korzystniejszy poziom cenowy dla Puli Produktów niż poziom odpowiadający danej Puli Produktów w Umowie MPSA, w którym to przypadku do przyszłych zamówień będzie stosowany taki korzystniejszy poziom cenowy dla Puli Produktów. </w:t>
      </w:r>
    </w:p>
    <w:p w14:paraId="0374531C" w14:textId="457FAB11" w:rsidR="00D17BBE" w:rsidRPr="001165AA" w:rsidRDefault="00D17BBE" w:rsidP="008073E9">
      <w:pPr>
        <w:pStyle w:val="BodyText"/>
        <w:spacing w:before="120"/>
      </w:pPr>
      <w:r>
        <w:t>Zarówno Rządowe, jak i Akademickie Konta Zakupów korzystają z jednego poziomu cenowego odzwierciedlającego najkorzystniejszą cenę, jaką Microsoft może zaoferować tym typom Klientów w ramach Umowy MPSA.</w:t>
      </w:r>
      <w:r w:rsidR="00A23237">
        <w:t xml:space="preserve"> </w:t>
      </w:r>
      <w:r>
        <w:t>W przypadku Klientów Rządowych poziom ten odpowiada komercyjnemu poziomowi cenowemu D.</w:t>
      </w:r>
    </w:p>
    <w:p w14:paraId="20A50E73" w14:textId="77777777" w:rsidR="00CE4C53" w:rsidRPr="001165AA" w:rsidRDefault="0020545D" w:rsidP="00A80953">
      <w:pPr>
        <w:pStyle w:val="Thirdheading"/>
      </w:pPr>
      <w:r>
        <w:rPr>
          <w:b/>
        </w:rPr>
        <w:t>Punkty</w:t>
      </w:r>
    </w:p>
    <w:p w14:paraId="77280ADF" w14:textId="6A4E89B1" w:rsidR="00CE4C53" w:rsidRPr="001165AA" w:rsidRDefault="0020545D" w:rsidP="00CE4C53">
      <w:pPr>
        <w:pStyle w:val="BodyText"/>
      </w:pPr>
      <w:r>
        <w:t>Microsoft dzieli Produkty na trzy odrębne Pule Produktów</w:t>
      </w:r>
      <w:r>
        <w:rPr>
          <w:szCs w:val="22"/>
        </w:rPr>
        <w:t xml:space="preserve"> o warstwowych poziomach cenowych. Są to</w:t>
      </w:r>
      <w:r>
        <w:t>: Aplikacje, Systemy i Serwery.</w:t>
      </w:r>
      <w:r w:rsidR="00A23237">
        <w:t xml:space="preserve"> </w:t>
      </w:r>
      <w:r>
        <w:t>Poziom cenowy każdej Puli Produktów zależy od liczby punktów uzyskanych za zakupy w ramach danej Puli Produktów.</w:t>
      </w:r>
      <w:r w:rsidR="00A23237">
        <w:t xml:space="preserve"> </w:t>
      </w:r>
      <w:r>
        <w:t>Punkty są zliczane dla wszystkich Kont Zakupów tego samego typu (</w:t>
      </w:r>
      <w:r>
        <w:rPr>
          <w:i/>
        </w:rPr>
        <w:t>np.</w:t>
      </w:r>
      <w:r>
        <w:t xml:space="preserve"> komercyjnych). </w:t>
      </w:r>
    </w:p>
    <w:p w14:paraId="5635F696" w14:textId="6A639909" w:rsidR="00CE4C53" w:rsidRPr="001165AA" w:rsidRDefault="00CE4C53" w:rsidP="00A80953">
      <w:pPr>
        <w:pStyle w:val="BodyText"/>
        <w:numPr>
          <w:ilvl w:val="0"/>
          <w:numId w:val="16"/>
        </w:numPr>
        <w:spacing w:after="0"/>
      </w:pPr>
      <w:r>
        <w:t>Aplikacje.</w:t>
      </w:r>
      <w:r w:rsidR="00A23237">
        <w:t xml:space="preserve"> </w:t>
      </w:r>
      <w:r>
        <w:t>Do przykładów Produktów z Puli Aplikacji należą pakiet Microsoft Office Professional, klient Microsoft Lync i usługa Office</w:t>
      </w:r>
      <w:r w:rsidR="00A23237">
        <w:t> </w:t>
      </w:r>
      <w:r>
        <w:t xml:space="preserve">365. </w:t>
      </w:r>
    </w:p>
    <w:p w14:paraId="6F41AFC8" w14:textId="30461F1D" w:rsidR="00372F76" w:rsidRPr="001165AA" w:rsidRDefault="00CE4C53" w:rsidP="00A80953">
      <w:pPr>
        <w:pStyle w:val="BodyText"/>
        <w:numPr>
          <w:ilvl w:val="0"/>
          <w:numId w:val="16"/>
        </w:numPr>
        <w:spacing w:after="0"/>
      </w:pPr>
      <w:r>
        <w:t>Systemy.</w:t>
      </w:r>
      <w:r w:rsidR="00A23237">
        <w:t xml:space="preserve"> </w:t>
      </w:r>
      <w:r>
        <w:t>Przykładem Produktów systemowych jest uaktualnienie systemu operacyjnego Windows, takie jak Windows Enterprise.</w:t>
      </w:r>
    </w:p>
    <w:p w14:paraId="46017CF3" w14:textId="4750BCBC" w:rsidR="00461D21" w:rsidRPr="001165AA" w:rsidRDefault="00CE4C53" w:rsidP="00A80953">
      <w:pPr>
        <w:pStyle w:val="BodyText"/>
        <w:numPr>
          <w:ilvl w:val="0"/>
          <w:numId w:val="16"/>
        </w:numPr>
        <w:spacing w:after="0"/>
      </w:pPr>
      <w:r>
        <w:t>Serwery.</w:t>
      </w:r>
      <w:r w:rsidR="00A23237">
        <w:t xml:space="preserve"> </w:t>
      </w:r>
      <w:r>
        <w:t>Przykłady Produktów serwerowych obejmują system Windows Server, program Microsoft Exchange Server, oprogramowanie baz danych Microsoft SQL Server, usługę Intune i powiązane Licencje Dostępowe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Przykłady:</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2"/>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Aplikacje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Systemy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Serwery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Punkty</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Uaktualnienie do systemu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Aby uzyskać więcej informacji, prosimy zapoznać się z Postanowieniami dotyczącymi Produktów na stronie </w:t>
      </w:r>
      <w:hyperlink r:id="rId21" w:history="1">
        <w:r>
          <w:rPr>
            <w:rStyle w:val="Hyperlink"/>
          </w:rPr>
          <w:t>http://www.microsoft.com/licensing/contracts</w:t>
        </w:r>
      </w:hyperlink>
      <w:r>
        <w:rPr>
          <w:bCs/>
        </w:rPr>
        <w:t xml:space="preserve"> lub skontaktować się z Partnerem lub sprzedawcą Microsoft.</w:t>
      </w:r>
    </w:p>
    <w:bookmarkEnd w:id="13"/>
    <w:p w14:paraId="05817D9E" w14:textId="35BEB6B1" w:rsidR="008E77D5" w:rsidRPr="001165AA" w:rsidRDefault="008E77D5" w:rsidP="00CC6A48">
      <w:pPr>
        <w:pStyle w:val="Thirdheading"/>
      </w:pPr>
      <w:r>
        <w:rPr>
          <w:b/>
        </w:rPr>
        <w:t>Korygowanie poziomów cenowych</w:t>
      </w:r>
    </w:p>
    <w:p w14:paraId="53BCC1C8" w14:textId="08FBE369" w:rsidR="00E30CB7" w:rsidRPr="001165AA" w:rsidRDefault="00E30CB7" w:rsidP="00E30CB7">
      <w:pPr>
        <w:pStyle w:val="BodyText"/>
      </w:pPr>
      <w:r>
        <w:t>Przejście na kolejny poziom cenowy dla Puli Produktów następuje w momencie, gdy organizacja uzyska odpowiednią roczną minimalną liczbę punktów.</w:t>
      </w:r>
      <w:r w:rsidR="00A23237">
        <w:t xml:space="preserve"> </w:t>
      </w:r>
      <w:r>
        <w:t>Do zamówienia kwalifikującego do przejścia na następny poziom cenowy (np. z poziomu A na poziom B) będzie stosowana cena odpowiadająca temu poziomowi.</w:t>
      </w:r>
      <w:r w:rsidR="00A23237">
        <w:t xml:space="preserve"> </w:t>
      </w:r>
      <w:r>
        <w:t>Poziomy cenowe dla poszczególnych Pul Produktów będą weryfikowane co roku w miesiącu rocznicy obowiązywania umowy, określonym na podstawie miesiąca aktywacji Umowy MPSA.</w:t>
      </w:r>
      <w:r w:rsidR="00A23237">
        <w:t xml:space="preserve"> </w:t>
      </w:r>
      <w:r>
        <w:t>Punkty uzyskane w danym roku, które stanowią nadwyżkę w stosunku do bieżącego poziomu cenowego, ale ich liczba jest zbyt mała do przejścia na kolejny poziom cenowy, zostaną przeniesione na następny rok i zaliczone na poczet obowiązywania umowy w tym roku.</w:t>
      </w:r>
    </w:p>
    <w:p w14:paraId="0B62F604" w14:textId="52285FB1" w:rsidR="000720F7" w:rsidRPr="001165AA" w:rsidRDefault="00BB2634" w:rsidP="000720F7">
      <w:pPr>
        <w:pStyle w:val="BodyText"/>
      </w:pPr>
      <w:r>
        <w:t>Jeśli w miesiącu rocznicy obowiązywania umowy liczba zebranych punktów spadnie poniżej minimalnej rocznej liczby punktów dla Puli</w:t>
      </w:r>
      <w:r w:rsidR="00F86B8B">
        <w:t> </w:t>
      </w:r>
      <w:r>
        <w:t>Produktów, poziom cenowy organizacji zostanie obniżony o jeden poziom (</w:t>
      </w:r>
      <w:r>
        <w:rPr>
          <w:i/>
        </w:rPr>
        <w:t>np.</w:t>
      </w:r>
      <w:r>
        <w:t xml:space="preserve"> z Poziomu C do poziomu B) dla tej Puli Produktów i żadne punkty nie zostaną przeniesione na następny rok.</w:t>
      </w:r>
      <w:r w:rsidR="00A23237">
        <w:t xml:space="preserve"> </w:t>
      </w:r>
      <w:r>
        <w:t>Poziom cenowy może zostać obniżony o maksymalnie jeden poziom w</w:t>
      </w:r>
      <w:r w:rsidR="00F86B8B">
        <w:t> </w:t>
      </w:r>
      <w:r>
        <w:t>każdym roku.</w:t>
      </w:r>
      <w:r w:rsidR="00A23237">
        <w:t xml:space="preserve"> </w:t>
      </w:r>
      <w:r>
        <w:t xml:space="preserve">W przypadku gdy Licencjobiorca nie jest w stanie osiągnąć minimalnego pułapu kwalifikującego do zamówienia Produktów w danej Puli Produktów, nie będzie mieć możliwości składania zamówień na Produkty z danej Puli Produktów do momentu złożenia zamówienia spełniającego ten minimalny wymóg kwalifikacyjny. </w:t>
      </w:r>
    </w:p>
    <w:p w14:paraId="6E84C18E" w14:textId="56AF92E6" w:rsidR="005E1FDC" w:rsidRPr="001165AA" w:rsidRDefault="00A708FB" w:rsidP="000720F7">
      <w:pPr>
        <w:pStyle w:val="BodyText"/>
      </w:pPr>
      <w:r>
        <w:lastRenderedPageBreak/>
        <w:t>W przypadku powiązania z Umową MPSA aktywnej umowy uprawniającej, do której jest przypisany poziom cenowy dla Puli Produktów korzystniejszy niż poziom odpowiadający danej Puli Produktów w Umowie MPSA, taki korzystniejszy poziom cenowy dla Puli Produktów będzie stosowany do zamówień w ramach Umowy MPSA.</w:t>
      </w:r>
    </w:p>
    <w:p w14:paraId="76025713" w14:textId="77777777" w:rsidR="00245EA6" w:rsidRPr="001165AA" w:rsidRDefault="000323FD" w:rsidP="00CC6A48">
      <w:pPr>
        <w:pStyle w:val="Thirdheading"/>
      </w:pPr>
      <w:r>
        <w:rPr>
          <w:b/>
        </w:rPr>
        <w:t>Mechanizmy zamówienia</w:t>
      </w:r>
    </w:p>
    <w:p w14:paraId="1AC9F3E3" w14:textId="62245D26" w:rsidR="009D1152" w:rsidRPr="001165AA" w:rsidRDefault="00203D81" w:rsidP="00E10622">
      <w:pPr>
        <w:pStyle w:val="BodyText"/>
      </w:pPr>
      <w:r>
        <w:t>Licencjobiorca może składać zamówienia na Produkty w ramach Umowy MPSA u wybranych Partnerów Licensing Solution Partner lub u sprzedawców Microsoft.</w:t>
      </w:r>
      <w:r w:rsidR="00A23237">
        <w:t xml:space="preserve"> </w:t>
      </w:r>
      <w:r>
        <w:t>Cena i warunki płatności dotyczące wszystkich zamówień złożonych za pośrednictwem Partnera zostaną określone w umowie zawartej pomiędzy Licencjobiorcą a Partnerem.</w:t>
      </w:r>
      <w:r w:rsidR="00A23237">
        <w:t xml:space="preserve"> </w:t>
      </w:r>
      <w:r>
        <w:t>Podczas składania zamówień należy określić wszystkie kraje, w których organizacja będzie używać Produktów.</w:t>
      </w:r>
    </w:p>
    <w:p w14:paraId="1696708D" w14:textId="7C9CF763" w:rsidR="004840AE" w:rsidRPr="001165AA" w:rsidRDefault="008E740A" w:rsidP="00E10622">
      <w:pPr>
        <w:pStyle w:val="BodyText"/>
      </w:pPr>
      <w:r>
        <w:t>W chwili składania każdego zamówienia na licencje subskrypcyjne na Pakiet Software Assurance lub Oprogramowanie Licencjobiorca może wybrać, czy datą wygaśnięcia tych subskrypcji ma być dzień poprzedzający trzecią rocznicę właściwą dla Konta Zakupów czy też ostatni dzień okresu 36 pełnych miesięcy kalendarzowych.</w:t>
      </w:r>
      <w:r w:rsidR="00A23237">
        <w:t xml:space="preserve"> </w:t>
      </w:r>
      <w:r>
        <w:t>Licencjobiorca może uiszczać płatności za te subskrypcje (1) w całości w momencie złożenia zamówienia albo (2) w częściach rocznych płatnych z góry, fakturowanych co roku w dniu rocznicy Konta Zakupów albo rocznicy zamówienia.</w:t>
      </w:r>
    </w:p>
    <w:p w14:paraId="06E80410" w14:textId="3F2196CE" w:rsidR="00E04AD6" w:rsidRPr="001165AA" w:rsidRDefault="001A4514" w:rsidP="00E10622">
      <w:pPr>
        <w:pStyle w:val="BodyText"/>
      </w:pPr>
      <w:r>
        <w:t>Datą wygaśnięcia zamówienia dotyczącego okresu początkowego lub okresu obowiązywania odnowienia subskrypcji Usług Online lub Pakietów może być (1) dzień poprzedzający następną, drugą lub trzecią rocznicę Konta Zakupów; lub (2) ostatni dzień okresu 12, 24 lub 36 miesięcy wybranego przez Licencjobiorcę w chwili składania zamówienia.</w:t>
      </w:r>
      <w:r w:rsidR="00A23237">
        <w:t xml:space="preserve"> </w:t>
      </w:r>
      <w:r>
        <w:t>Dodatkowe zamówienia na subskrypcje danego Produktu złożone w tym okresie na tym samym Koncie Zakupów zostaną automatycznie dostosowane do tej samej daty wygaśnięcia.</w:t>
      </w:r>
      <w:r w:rsidR="00A23237">
        <w:t xml:space="preserve"> </w:t>
      </w:r>
      <w:r>
        <w:t>Microsoft może udostępnić tylko wybrane opcje dotyczące początkowej lub odnowionej części okresu obowiązywania subskrypcji w zależności od</w:t>
      </w:r>
      <w:r w:rsidR="00F86B8B">
        <w:t> </w:t>
      </w:r>
      <w:r>
        <w:t>wybranego Produktu.</w:t>
      </w:r>
    </w:p>
    <w:p w14:paraId="31EA8E50" w14:textId="49A55C7E" w:rsidR="00E10622" w:rsidRPr="001165AA" w:rsidRDefault="001A4514" w:rsidP="00E10622">
      <w:pPr>
        <w:pStyle w:val="BodyText"/>
      </w:pPr>
      <w:r>
        <w:t>Subskrypcje Usług Online lub Produktów mogą być rozliczane (1) w całości w momencie złożenia zamówienia albo (2) w częściach rocznych płatnych z góry, fakturowanych w dniu rocznicy Konta Zakupów albo rocznicy zamówienia.</w:t>
      </w:r>
      <w:r w:rsidR="00A23237">
        <w:t xml:space="preserve"> </w:t>
      </w:r>
      <w:r>
        <w:t>Ceny obowiązujące w przypadku dodatkowych zamówień na subskrypcję będą takie same jak ceny obowiązujące dla zamówienia początkowego na subskrypcję, chyba że</w:t>
      </w:r>
      <w:r w:rsidR="00F86B8B">
        <w:t> </w:t>
      </w:r>
      <w:r>
        <w:t>w momencie składania zamówienia będzie obowiązywać korzystniejsza promocja cenowa.</w:t>
      </w:r>
      <w:r w:rsidR="00A23237">
        <w:t xml:space="preserve"> </w:t>
      </w:r>
      <w:r>
        <w:t>Jeśli okres obowiązywania subskrypcji był</w:t>
      </w:r>
      <w:r w:rsidR="00F86B8B">
        <w:t> </w:t>
      </w:r>
      <w:r>
        <w:t>dłuższy niż rok, w przypadku dodatkowych zamówień będzie stosowana cena obowiązująca w momencie składania dodatkowego zamówienia albo cena z zamówienia początkowego — w zależności od tego, która z nich jest korzystniejsza.</w:t>
      </w:r>
      <w:r w:rsidR="00A23237">
        <w:t xml:space="preserve"> </w:t>
      </w:r>
      <w:r>
        <w:t xml:space="preserve">Ceny podlegają ponownemu ustaleniu w momencie odnowienia okresu obowiązywania subskrypcji. </w:t>
      </w:r>
    </w:p>
    <w:p w14:paraId="46DEAF93" w14:textId="35A797DC" w:rsidR="00770503" w:rsidRPr="001165AA" w:rsidRDefault="00FA2ABF" w:rsidP="00E10622">
      <w:pPr>
        <w:pStyle w:val="BodyText"/>
      </w:pPr>
      <w:r>
        <w:t>W uzupełnieniu powyższych opcji niektóre Usługi Online można dodatkowo zamówić w ramach subskrypcji krótkoterminowej.</w:t>
      </w:r>
      <w:r w:rsidR="00A23237">
        <w:t xml:space="preserve"> </w:t>
      </w:r>
      <w:r>
        <w:t>Subskrypcje krótkoterminowe mogą obejmować okres od jednego miesiąca do jedenastu miesięcy, bez automatycznego dostosowania do istniejących subskrypcji tego samego Produktu.</w:t>
      </w:r>
      <w:r w:rsidR="00A23237">
        <w:t xml:space="preserve"> </w:t>
      </w:r>
      <w:r>
        <w:t>Ceny zamówień subskrypcji krótkoterminowych różnią się od cen opcji obejmujących inne okresy i są ustalane w momencie składania zamówienia.</w:t>
      </w:r>
    </w:p>
    <w:p w14:paraId="6C746BD2" w14:textId="4D1638CD" w:rsidR="00E64636" w:rsidRPr="001165AA" w:rsidRDefault="00E64636" w:rsidP="00E64636">
      <w:pPr>
        <w:pStyle w:val="BodyText"/>
      </w:pPr>
      <w:r>
        <w:t>W przypadku zakupu Usług Microsoft Azure w ramach Umowy MPSA faktury będą wystawiane z dołu na podstawie użycia usług przez</w:t>
      </w:r>
      <w:r w:rsidR="00F86B8B">
        <w:t> </w:t>
      </w:r>
      <w:r>
        <w:t>Licencjobiorcę w danym okresie rozliczeniowym.</w:t>
      </w:r>
      <w:r w:rsidR="00A23237">
        <w:t xml:space="preserve"> </w:t>
      </w:r>
      <w:r>
        <w:t>W przypadku Usług Microsoft Azure obowiązuje kwartalny okres rozliczeniowy dostosowany do rocznicy Konta Zakupów, kiedy rozpoczęła się subskrypcja Usług Microsoft Azure.</w:t>
      </w:r>
    </w:p>
    <w:p w14:paraId="598812A0" w14:textId="17C1CD9E" w:rsidR="00E770FC" w:rsidRPr="001165AA" w:rsidRDefault="00E770FC" w:rsidP="00D11874">
      <w:pPr>
        <w:pStyle w:val="BodyText"/>
      </w:pPr>
      <w:r>
        <w:t>Licencjobiorca może również zmieniać typy licencji objęte pakietem Software Assurance lub typy licencji subskrypcyjnych w ramach Umowy MPSA, uzyskując dostęp do bardziej zaawansowanej wersji produktu albo dokonując zmiany z licencji na urządzenie na licencję na użytkownika lub odwrotnie.</w:t>
      </w:r>
      <w:r w:rsidR="00A23237">
        <w:t xml:space="preserve"> </w:t>
      </w:r>
      <w:r>
        <w:t>Części takich zmian, na przykład przejścia na bardziej zaawansowaną wersję produktu, można dokonać w momencie odnowienia albo w okresie subskrypcji lub obowiązywania pakietu Software Assurance, natomiast innych, na przykład zmiany modelu licencjonowania z licencji na urządzenie na licencję na użytkownika i odwrotnie, można dokonać wyłącznie w momencie odnowienia.</w:t>
      </w:r>
      <w:r w:rsidR="00A23237">
        <w:t xml:space="preserve"> </w:t>
      </w:r>
      <w:r>
        <w:t>Aby uzyskać więcej informacji na temat opcji zmian, prosimy skontaktować się z Partnerem lub sprzedawcą Microsoft.</w:t>
      </w:r>
    </w:p>
    <w:p w14:paraId="0E6252FB" w14:textId="501BF112" w:rsidR="00D11874" w:rsidRPr="001165AA" w:rsidRDefault="00EF3BBE" w:rsidP="00D11874">
      <w:pPr>
        <w:pStyle w:val="BodyText"/>
      </w:pPr>
      <w:r>
        <w:t xml:space="preserve">W przyszłości Microsoft może oferować inne opcje fakturowania lub dostosowywania w ramach Umowy MPSA. </w:t>
      </w:r>
    </w:p>
    <w:p w14:paraId="6D161856" w14:textId="5FA52E64" w:rsidR="00A90CD0" w:rsidRPr="001165AA" w:rsidRDefault="00A90CD0" w:rsidP="00D11874">
      <w:pPr>
        <w:pStyle w:val="BodyText"/>
      </w:pPr>
      <w:r>
        <w:t>Po zaakceptowaniu rejestracji Konta Zakupów przez Microsoft Licencjobiorca ma prawo używać dowolnego Produktu, jak gdyby był on objęty licencją na mocy niniejszej Umowy MPSA, pod warunkiem, że w tym samym miesiącu kalendarzowym, w którym Produkt został użyty po raz pierwszy, prześle zamówienie na liczbę licencji wystarczającą do autoryzowania używania Produktu przez Licencjobiorcę.</w:t>
      </w:r>
      <w:r w:rsidR="00A23237">
        <w:t xml:space="preserve"> </w:t>
      </w:r>
      <w:r>
        <w:t>W</w:t>
      </w:r>
      <w:r w:rsidR="00F86B8B">
        <w:t> </w:t>
      </w:r>
      <w:r>
        <w:t>przypadku zwiększenia liczby wystąpień licencjonowanego Produktu Licencjobiorca powinien złożyć zamówienie w miesiącu, w</w:t>
      </w:r>
      <w:r w:rsidR="00F86B8B">
        <w:t> </w:t>
      </w:r>
      <w:r>
        <w:t>którym dodatkowe wystąpienia Produktu zostały użyte po raz pierwszy.</w:t>
      </w:r>
      <w:r w:rsidR="00A23237">
        <w:t xml:space="preserve"> </w:t>
      </w:r>
      <w:r>
        <w:t>W przypadku subskrypcji Usług Online, które wymagają zamówienia uzgadniającego, dane dotyczące liczby takich wystąpień Licencjobiorca może znaleźć w witrynie Microsoft Business Center lub uzyskać od Partnera lub sprzedawcy Microsoft.</w:t>
      </w:r>
      <w:r w:rsidR="00A23237">
        <w:t xml:space="preserve"> </w:t>
      </w:r>
    </w:p>
    <w:p w14:paraId="03B07B14" w14:textId="0C20A168" w:rsidR="0037779D" w:rsidRPr="001165AA" w:rsidRDefault="00D84DF6" w:rsidP="00D11874">
      <w:pPr>
        <w:pStyle w:val="BodyText"/>
      </w:pPr>
      <w:r>
        <w:lastRenderedPageBreak/>
        <w:t>Microsoft może zmienić Produkty dostępne w ramach Umowy MPSA, a także odmówić przyjęcia zamówienia, jeśli uzasadniają to względy natury handlowej.</w:t>
      </w:r>
    </w:p>
    <w:p w14:paraId="246E6E08" w14:textId="754D2BC3" w:rsidR="0037779D" w:rsidRPr="001165AA" w:rsidRDefault="00D84DF6" w:rsidP="002123CF">
      <w:pPr>
        <w:pStyle w:val="BodyText"/>
      </w:pPr>
      <w:r>
        <w:t xml:space="preserve">Informacje na temat zamówień otrzymanych i przetwarzanych przez Microsoft można uzyskać od Partnera lub znaleźć w witrynie Microsoft Business Center pod adresem </w:t>
      </w:r>
      <w:hyperlink r:id="rId22" w:history="1">
        <w:r>
          <w:rPr>
            <w:rStyle w:val="Hyperlink"/>
          </w:rPr>
          <w:t>https://licensing.microsoft.com/customer</w:t>
        </w:r>
      </w:hyperlink>
      <w:r w:rsidRPr="002910BC">
        <w:rPr>
          <w:color w:val="auto"/>
        </w:rPr>
        <w:t>.</w:t>
      </w:r>
      <w:r w:rsidR="00A23237">
        <w:t xml:space="preserve"> </w:t>
      </w:r>
      <w:r>
        <w:t>Po dokonaniu rejestracji osoba kontaktowa Konta</w:t>
      </w:r>
      <w:r w:rsidR="00F86B8B">
        <w:t> </w:t>
      </w:r>
      <w:r>
        <w:t>Zakupów uzyska dostęp do witryny Microsoft Business Center, a wyznaczone konto Administratora Umowy otrzyma dostęp do</w:t>
      </w:r>
      <w:r w:rsidR="00F86B8B">
        <w:t> </w:t>
      </w:r>
      <w:r>
        <w:t>informacji o wszystkich Kontach Zakupów.</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1455"/>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Punkt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1456"/>
      <w:r>
        <w:rPr>
          <w:rFonts w:asciiTheme="majorHAnsi" w:eastAsiaTheme="majorEastAsia" w:hAnsiTheme="majorHAnsi" w:cstheme="majorBidi"/>
          <w:bCs/>
          <w:color w:val="8064A2" w:themeColor="accent4"/>
          <w:sz w:val="28"/>
          <w:szCs w:val="26"/>
        </w:rPr>
        <w:t>Kopiowanie Produktów i prawo do sporządzenia kopii zamiennej</w:t>
      </w:r>
      <w:bookmarkEnd w:id="49"/>
      <w:bookmarkEnd w:id="50"/>
      <w:bookmarkEnd w:id="51"/>
    </w:p>
    <w:p w14:paraId="79584FC7" w14:textId="6CC0F152" w:rsidR="00D23B42" w:rsidRPr="001165AA" w:rsidRDefault="00D23B42" w:rsidP="00D23B42">
      <w:pPr>
        <w:spacing w:before="120" w:line="240" w:lineRule="auto"/>
      </w:pPr>
      <w:r>
        <w:rPr>
          <w:rFonts w:eastAsia="Times New Roman" w:cs="Times New Roman"/>
          <w:color w:val="505050"/>
          <w:szCs w:val="20"/>
        </w:rPr>
        <w:t>Zarejestrowane</w:t>
      </w:r>
      <w:r>
        <w:t xml:space="preserve"> </w:t>
      </w:r>
      <w:r>
        <w:rPr>
          <w:rFonts w:eastAsia="Times New Roman" w:cs="Times New Roman"/>
          <w:color w:val="505050"/>
          <w:szCs w:val="20"/>
        </w:rPr>
        <w:t>Konta Zakupów mogą sporządzić dowolną liczbę kopii Produktów w celu rozpowszechnienia ich w ramach organizacji.</w:t>
      </w:r>
      <w:r w:rsidR="00A23237">
        <w:rPr>
          <w:rFonts w:eastAsia="Times New Roman" w:cs="Times New Roman"/>
          <w:color w:val="505050"/>
          <w:szCs w:val="20"/>
        </w:rPr>
        <w:t xml:space="preserve"> </w:t>
      </w:r>
      <w:r>
        <w:rPr>
          <w:rFonts w:eastAsia="Times New Roman" w:cs="Times New Roman"/>
          <w:color w:val="505050"/>
          <w:szCs w:val="20"/>
        </w:rPr>
        <w:t>Kopie muszą być wierne i kompletne (łącznie z informacjami o prawach autorskich i znakach towarowych) oraz sporządzone z kopii źródłowych uzyskanych ze źródła zatwierdzonego przez Microsoft.</w:t>
      </w:r>
      <w:r w:rsidR="00A23237">
        <w:rPr>
          <w:rFonts w:eastAsia="Times New Roman" w:cs="Times New Roman"/>
          <w:color w:val="505050"/>
          <w:szCs w:val="20"/>
        </w:rPr>
        <w:t xml:space="preserve"> </w:t>
      </w:r>
      <w:r>
        <w:rPr>
          <w:rFonts w:eastAsia="Times New Roman" w:cs="Times New Roman"/>
          <w:color w:val="505050"/>
          <w:szCs w:val="20"/>
        </w:rPr>
        <w:t>Konta Zakupów mogą korzystać z pomocy osób trzecich na potrzeby sporządzenia tych kopii, ale pozostają odpowiedzialne za wszelkie działania tych osób.</w:t>
      </w:r>
      <w:r w:rsidR="00A23237">
        <w:t xml:space="preserve"> </w:t>
      </w:r>
    </w:p>
    <w:p w14:paraId="4BF978AF" w14:textId="6B9F4D79" w:rsidR="00D23B42" w:rsidRPr="001165AA" w:rsidRDefault="00D23B42" w:rsidP="00D23B42">
      <w:pPr>
        <w:spacing w:before="120" w:line="240" w:lineRule="auto"/>
      </w:pPr>
      <w:r>
        <w:rPr>
          <w:rFonts w:eastAsia="Times New Roman" w:cs="Times New Roman"/>
          <w:color w:val="505050"/>
          <w:szCs w:val="20"/>
        </w:rPr>
        <w:t>W niektórych przypadkach sporządzanie kopii zamiennych z nośników Produktów jest dozwolone.</w:t>
      </w:r>
      <w:r w:rsidR="00A23237">
        <w:rPr>
          <w:rFonts w:eastAsia="Times New Roman" w:cs="Times New Roman"/>
          <w:color w:val="505050"/>
          <w:szCs w:val="20"/>
        </w:rPr>
        <w:t xml:space="preserve"> </w:t>
      </w:r>
      <w:r>
        <w:rPr>
          <w:rFonts w:eastAsia="Times New Roman" w:cs="Times New Roman"/>
          <w:color w:val="505050"/>
          <w:szCs w:val="20"/>
        </w:rPr>
        <w:t>Jeśli Produkt jest licencjonowany (1) przez producenta OEM, (2) jako produkt detaliczny za pośrednictwem źródła detalicznego lub (3) w ramach innego programu Microsoft, wówczas zasadniczo można użyć nośnika przekazanego w ramach Umowy MPSA w celu sporządzenia kopii zamiennych zastępujących kopie uzyskane z takiego oddzielnego źródła.</w:t>
      </w:r>
      <w:r w:rsidR="00A23237">
        <w:rPr>
          <w:rFonts w:eastAsia="Times New Roman" w:cs="Times New Roman"/>
          <w:color w:val="505050"/>
          <w:szCs w:val="20"/>
        </w:rPr>
        <w:t xml:space="preserve"> </w:t>
      </w:r>
      <w:r>
        <w:rPr>
          <w:rFonts w:eastAsia="Times New Roman" w:cs="Times New Roman"/>
          <w:color w:val="505050"/>
          <w:szCs w:val="20"/>
        </w:rPr>
        <w:t>Prawo to podlega postanowieniom przedstawionym poniżej:</w:t>
      </w:r>
    </w:p>
    <w:p w14:paraId="3C97A0EC" w14:textId="77777777" w:rsidR="00D23B42" w:rsidRPr="001165AA" w:rsidRDefault="00D23B42" w:rsidP="00D23B42">
      <w:pPr>
        <w:pStyle w:val="BodyText"/>
        <w:numPr>
          <w:ilvl w:val="0"/>
          <w:numId w:val="16"/>
        </w:numPr>
        <w:spacing w:after="0"/>
      </w:pPr>
      <w:r>
        <w:t>Każdy Produkt, dla którego sporządza się kopię zamienną, musi być objęty oddzielną licencją uzyskaną z odpowiedniego źródła.</w:t>
      </w:r>
    </w:p>
    <w:p w14:paraId="2005654A" w14:textId="00C41558" w:rsidR="00D23B42" w:rsidRPr="001165AA" w:rsidRDefault="00D23B42" w:rsidP="00D23B42">
      <w:pPr>
        <w:pStyle w:val="BodyText"/>
        <w:numPr>
          <w:ilvl w:val="0"/>
          <w:numId w:val="16"/>
        </w:numPr>
        <w:spacing w:after="0"/>
      </w:pPr>
      <w:r>
        <w:t>Produkt, język, wersja i składniki sporządzonych kopii muszą być identyczne z Produktem, językiem, wersją i wszystkimi składnikami kopii, które zastępują. Liczba dozwolonych kopii lub wystąpień Produktu, dla którego sporządzono kopię zamienną, pozostaje bez</w:t>
      </w:r>
      <w:r w:rsidR="00F86B8B">
        <w:t> </w:t>
      </w:r>
      <w:r>
        <w:t>zmian.</w:t>
      </w:r>
    </w:p>
    <w:p w14:paraId="0A0B7C69" w14:textId="3ED72F45" w:rsidR="00D23B42" w:rsidRPr="001165AA" w:rsidRDefault="00D23B42" w:rsidP="00D23B42">
      <w:pPr>
        <w:pStyle w:val="BodyText"/>
        <w:numPr>
          <w:ilvl w:val="0"/>
          <w:numId w:val="16"/>
        </w:numPr>
        <w:spacing w:after="0"/>
      </w:pPr>
      <w:r>
        <w:t>Z wyjątkiem kopii systemu operacyjnego i kopii Produktów licencjonowanych w ramach innego programu Microsoft typ Produktu (</w:t>
      </w:r>
      <w:r>
        <w:rPr>
          <w:i/>
        </w:rPr>
        <w:t>tj.</w:t>
      </w:r>
      <w:r>
        <w:t xml:space="preserve"> uaktualnienie lub pełna licencja), dla którego sporządzono kopię zamienną, musi być identyczny z typem Produktu licencjonowanego z oddzielnego źródła.</w:t>
      </w:r>
    </w:p>
    <w:p w14:paraId="75B08848" w14:textId="2276119B" w:rsidR="00D23B42" w:rsidRPr="001165AA" w:rsidRDefault="00D23B42" w:rsidP="00D23B42">
      <w:pPr>
        <w:pStyle w:val="BodyText"/>
        <w:numPr>
          <w:ilvl w:val="0"/>
          <w:numId w:val="16"/>
        </w:numPr>
        <w:spacing w:after="0"/>
      </w:pPr>
      <w:r>
        <w:t>Konto Zakupów musi stosować się do wszystkich określonych w Postanowieniach dotyczących Produktów i właściwych dla Produktu procesów lub wymagań w zakresie sporządzania kopii zamiennych.</w:t>
      </w:r>
    </w:p>
    <w:p w14:paraId="10691E95" w14:textId="1E2DA130" w:rsidR="00D23B42" w:rsidRPr="001165AA" w:rsidRDefault="00D23B42" w:rsidP="00D23B42">
      <w:pPr>
        <w:pStyle w:val="BodyText"/>
        <w:numPr>
          <w:ilvl w:val="0"/>
          <w:numId w:val="16"/>
        </w:numPr>
        <w:spacing w:after="0"/>
      </w:pPr>
      <w:r>
        <w:t>Produkty, dla których sporządzono kopie zamienne, podlegają postanowieniom i prawom do używania zawartym w licencji uzyskanej z oddzielnego źródła.</w:t>
      </w:r>
      <w:r w:rsidR="00A23237">
        <w:t xml:space="preserve"> </w:t>
      </w:r>
    </w:p>
    <w:p w14:paraId="2BC6E750" w14:textId="68E05DEC" w:rsidR="00D23B42" w:rsidRPr="001165AA" w:rsidRDefault="00D23B42" w:rsidP="00D23B42">
      <w:pPr>
        <w:pStyle w:val="Thirdheading"/>
      </w:pPr>
      <w:r>
        <w:rPr>
          <w:b/>
        </w:rPr>
        <w:t>Kopie wykonywane do celów szkoleń, oceny i jako kopie zapasowe</w:t>
      </w:r>
      <w:r w:rsidR="00A23237">
        <w:rPr>
          <w:b/>
        </w:rPr>
        <w:t xml:space="preserv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W przypadku wszystkich Produktów innych niż Usługi Online w ramach każdego Konta Zakupów można używać: (1) do 20 nieodpłatnych kopii licencjonowanego Produktu we własnych pomieszczeniach przeznaczonych do szkoleń dotyczących takiego Produktu; (2) do 10 nieodpłatnych kopii Produktu w 60-dniowym okresie dokonywania oceny; oraz (3) jednej nieodpłatnej kopii licencjonowanego Produktu na potrzeby archiwizacji lub jako kopii zapasowej w ramach każdej odrębnej lokalizacji geograficznej.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1457"/>
      <w:r>
        <w:rPr>
          <w:rFonts w:asciiTheme="majorHAnsi" w:eastAsiaTheme="majorEastAsia" w:hAnsiTheme="majorHAnsi" w:cstheme="majorBidi"/>
          <w:bCs/>
          <w:color w:val="8064A2" w:themeColor="accent4"/>
          <w:sz w:val="28"/>
          <w:szCs w:val="26"/>
        </w:rPr>
        <w:t>Proces Przeniesienia Licencji</w:t>
      </w:r>
      <w:bookmarkEnd w:id="52"/>
      <w:bookmarkEnd w:id="53"/>
      <w:bookmarkEnd w:id="54"/>
    </w:p>
    <w:p w14:paraId="2067A699" w14:textId="091ABA19" w:rsidR="0053246B" w:rsidRPr="001165AA" w:rsidRDefault="00D23B42" w:rsidP="00D23B42">
      <w:pPr>
        <w:pStyle w:val="BodyText"/>
      </w:pPr>
      <w:r>
        <w:t xml:space="preserve">Licencjobiorca musi powiadomić Microsoft o przeniesieniu Licencji przez wypełnienie formularza przeniesienia licencji, który jest dostępny na stronie </w:t>
      </w:r>
      <w:hyperlink r:id="rId23" w:history="1">
        <w:r>
          <w:rPr>
            <w:rStyle w:val="Hyperlink"/>
          </w:rPr>
          <w:t>http://www.microsoft.com/licensing/contracts</w:t>
        </w:r>
      </w:hyperlink>
      <w:r>
        <w:t>, oraz wysłanie uzupełnionego formularza do Microsoft przed dokonaniem przeniesienia.</w:t>
      </w:r>
      <w:r w:rsidR="00A23237">
        <w:t xml:space="preserve"> </w:t>
      </w:r>
      <w:r>
        <w:t>Przeniesienie licencji będzie ważne dopiero z chwilą przekazania nabywcy licencji przez Licencjobiorcę oraz</w:t>
      </w:r>
      <w:r w:rsidR="00F86B8B">
        <w:t> </w:t>
      </w:r>
      <w:r>
        <w:t>zaakceptowania przez nabywcę licencji na piśmie stosownych Praw do Używania Produktów, ograniczeń dotyczących używania, ograniczeń odpowiedzialności (w tym postanowień dotyczących wyłączeń i rękojmi) oraz ograniczeń dotyczących przenoszenia opisanych w niniejszym punkcie.</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1458"/>
      <w:r>
        <w:rPr>
          <w:rFonts w:asciiTheme="majorHAnsi" w:eastAsiaTheme="majorEastAsia" w:hAnsiTheme="majorHAnsi" w:cstheme="majorBidi"/>
          <w:bCs/>
          <w:color w:val="8064A2" w:themeColor="accent4"/>
          <w:sz w:val="28"/>
          <w:szCs w:val="26"/>
        </w:rPr>
        <w:t xml:space="preserve">Kontrola przestrzegania postanowień i </w:t>
      </w:r>
      <w:r>
        <w:rPr>
          <w:rFonts w:asciiTheme="majorHAnsi" w:eastAsiaTheme="majorEastAsia" w:hAnsiTheme="majorHAnsi"/>
          <w:color w:val="8064A2" w:themeColor="accent4"/>
          <w:sz w:val="28"/>
        </w:rPr>
        <w:t>jej ograniczenia</w:t>
      </w:r>
      <w:bookmarkEnd w:id="55"/>
      <w:r>
        <w:rPr>
          <w:rFonts w:asciiTheme="majorHAnsi" w:eastAsiaTheme="majorEastAsia" w:hAnsiTheme="majorHAnsi"/>
          <w:color w:val="8064A2" w:themeColor="accent4"/>
          <w:sz w:val="28"/>
        </w:rPr>
        <w:t xml:space="preserve"> </w:t>
      </w:r>
    </w:p>
    <w:p w14:paraId="26061F69" w14:textId="4EC1194D" w:rsidR="00D23B42" w:rsidRPr="001165AA" w:rsidRDefault="00577E2B" w:rsidP="00754E04">
      <w:pPr>
        <w:pStyle w:val="BodyText"/>
      </w:pPr>
      <w:r>
        <w:t>Microsoft poinformuje Licencjobiorcę z co najmniej 30-dniowym wyprzedzeniem o planowanej kontroli przestrzegania postanowień licencyjnych dotyczących Produktów, których używa i które rozpowszechnia Licencjobiorca i Podmioty Stowarzyszone Licencjobiorcy.</w:t>
      </w:r>
      <w:r w:rsidR="00A23237">
        <w:t xml:space="preserve"> </w:t>
      </w:r>
      <w:r>
        <w:t>Microsoft zaangażuje niezależnego audytora, który będzie zobowiązany do zachowania poufności.</w:t>
      </w:r>
      <w:r w:rsidR="00A23237">
        <w:t xml:space="preserve"> </w:t>
      </w:r>
      <w:r>
        <w:t xml:space="preserve">Informacje uzyskane w ramach </w:t>
      </w:r>
      <w:r>
        <w:lastRenderedPageBreak/>
        <w:t>samodzielnego audytu zostaną użyte wyłącznie w celu stwierdzenia, czy postanowienia licencyjne są przestrzegane.</w:t>
      </w:r>
      <w:r w:rsidR="00A23237">
        <w:t xml:space="preserve"> </w:t>
      </w:r>
      <w:r>
        <w:t xml:space="preserve">Kontrola ta zostanie przeprowadzona w zwykłych godzinach pracy i w sposób niezakłócający działalności Licencjobiorcy.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1459"/>
      <w:bookmarkStart w:id="57" w:name="_Toc403380325"/>
      <w:bookmarkStart w:id="58" w:name="_Toc403985043"/>
      <w:r>
        <w:rPr>
          <w:rFonts w:asciiTheme="majorHAnsi" w:eastAsiaTheme="majorEastAsia" w:hAnsiTheme="majorHAnsi" w:cstheme="majorBidi"/>
          <w:bCs/>
          <w:color w:val="8064A2" w:themeColor="accent4"/>
          <w:sz w:val="28"/>
          <w:szCs w:val="26"/>
        </w:rPr>
        <w:t>Zbycie</w:t>
      </w:r>
      <w:bookmarkEnd w:id="56"/>
    </w:p>
    <w:p w14:paraId="49773C0E" w14:textId="45A30E47" w:rsidR="003C0DC6" w:rsidRPr="001165AA" w:rsidRDefault="003C0DC6" w:rsidP="00754E04">
      <w:pPr>
        <w:pStyle w:val="BodyText"/>
      </w:pPr>
      <w:r>
        <w:t>W przypadku planowanego przeniesienia więcej niż 10% licencji w związku ze zbyciem Podmiotu Stowarzyszonego, jednostki operacyjnej lub jednostki operacyjnej Podmiotu Stowarzyszonego Licencjobiorcy, Microsoft w dobrej wierze umożliwi Licencjobiorcy takie przeniesienie.</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851460"/>
      <w:r w:rsidRPr="00F86B8B">
        <w:rPr>
          <w:rFonts w:asciiTheme="majorHAnsi" w:eastAsiaTheme="majorEastAsia" w:hAnsiTheme="majorHAnsi" w:cstheme="majorBidi"/>
          <w:bCs/>
          <w:color w:val="8064A2" w:themeColor="accent4"/>
          <w:sz w:val="28"/>
          <w:szCs w:val="26"/>
        </w:rPr>
        <w:t>Katastrofy naturalne</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W przypadku klęski żywiołowej Microsoft może udzielić dodatkowej pomocy lub przyznać dodatkowe prawa, publikując je w takiej sytuacji na stronie </w:t>
      </w:r>
      <w:hyperlink r:id="rId24" w:history="1">
        <w:r>
          <w:rPr>
            <w:rStyle w:val="Hyperlink"/>
          </w:rPr>
          <w:t>http://www.microsoft.com</w:t>
        </w:r>
      </w:hyperlink>
      <w:r w:rsidRPr="002910BC">
        <w:rPr>
          <w:color w:val="auto"/>
        </w:rPr>
        <w:t>.</w:t>
      </w:r>
    </w:p>
    <w:p w14:paraId="541E496D" w14:textId="559D9BCB" w:rsidR="00D23B42" w:rsidRPr="001165AA" w:rsidRDefault="00D23B42" w:rsidP="00CC6A48">
      <w:pPr>
        <w:pStyle w:val="Hdg1noborder"/>
      </w:pPr>
      <w:bookmarkStart w:id="60" w:name="_Toc403380326"/>
      <w:bookmarkStart w:id="61" w:name="_Toc403985044"/>
      <w:bookmarkStart w:id="62" w:name="_Toc457851461"/>
      <w:r>
        <w:t xml:space="preserve">Punkt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1462"/>
      <w:r>
        <w:rPr>
          <w:rFonts w:asciiTheme="majorHAnsi" w:eastAsiaTheme="majorEastAsia" w:hAnsiTheme="majorHAnsi" w:cstheme="majorBidi"/>
          <w:color w:val="8064A2" w:themeColor="accent4"/>
          <w:sz w:val="28"/>
          <w:szCs w:val="26"/>
        </w:rPr>
        <w:t>Zmiany w Podręczniku Licencjonowania w okresie ostatnich 12 miesięcy</w:t>
      </w:r>
      <w:bookmarkEnd w:id="63"/>
      <w:bookmarkEnd w:id="64"/>
      <w:bookmarkEnd w:id="65"/>
    </w:p>
    <w:p w14:paraId="001EC066" w14:textId="1D025E4A" w:rsidR="00884731" w:rsidRPr="001165AA" w:rsidRDefault="008B5155" w:rsidP="00884731">
      <w:pPr>
        <w:pStyle w:val="BodyText"/>
        <w:numPr>
          <w:ilvl w:val="0"/>
          <w:numId w:val="16"/>
        </w:numPr>
        <w:spacing w:after="0"/>
      </w:pPr>
      <w:r>
        <w:t>Niniejszy dokument zaktualizowano w sierpniu 2016 r., usuwając z Podręcznika Licencjonowania informacje na temat pakietu Software Assurance oraz dodając informacje o dostępności witryny Microsoft Business Center (zwanej wcześniej Centrum licencjonowania zbiorowego Microsoft) dla wszystkich klientów, o możliwości uzyskania dostępu do bardziej zaawansowanej wersji</w:t>
      </w:r>
      <w:r w:rsidR="00824B42">
        <w:t> </w:t>
      </w:r>
      <w:r>
        <w:t>oprogramowania i wprowadzania innych zmian w ramach Umowy MPSA. Tekst został również doprecyzowany i uproszczony w odpowiedzi na opinie klientów.</w:t>
      </w:r>
      <w:r w:rsidR="00A23237">
        <w:t xml:space="preserve"> </w:t>
      </w:r>
      <w:r>
        <w:t>Postanowienia regulujące używanie pakietu Software Assurance nabytego w ramach Umowy MPSA zawarto w Postanowieniach dotyczących Produktów.</w:t>
      </w:r>
    </w:p>
    <w:p w14:paraId="39F904CA" w14:textId="534CD9F0" w:rsidR="00D6443C" w:rsidRPr="001165AA" w:rsidRDefault="00D6443C" w:rsidP="00F83C1F">
      <w:pPr>
        <w:pStyle w:val="BodyText"/>
        <w:numPr>
          <w:ilvl w:val="0"/>
          <w:numId w:val="16"/>
        </w:numPr>
        <w:spacing w:after="0"/>
      </w:pPr>
      <w:r>
        <w:t>Niniejszy dokument zaktualizowano w marcu 2016 r., dodając informacje o nowym portalu dla klientów dostępnym w niektórych lokalizacjach („Microsoft Business Center”), udostępnieniu całorocznych okresów subskrypcji, dodatkowej opcji subskrypcji krótkoterminowej oferowanej w przypadku niektórych Produktów. Tekst został również doprecyzowany i uproszczony w odpowiedzi na opinie klientów.</w:t>
      </w:r>
    </w:p>
    <w:p w14:paraId="402A1F99" w14:textId="25E82979" w:rsidR="00686E90" w:rsidRPr="001165AA" w:rsidRDefault="00686E90" w:rsidP="00F83C1F">
      <w:pPr>
        <w:pStyle w:val="BodyText"/>
        <w:numPr>
          <w:ilvl w:val="0"/>
          <w:numId w:val="16"/>
        </w:numPr>
        <w:spacing w:after="0"/>
      </w:pPr>
      <w:r>
        <w:t>Niniejszy dokument został zaktualizowany w sierpniu 2015 r. Dodano informacje o dodatkowych Usługach Azure, Usługach Online i</w:t>
      </w:r>
      <w:r w:rsidR="00824B42">
        <w:t> </w:t>
      </w:r>
      <w:r>
        <w:t>opcjach zakupu Pakietów oraz odniesienia do dokumentu zatytułowanego Postanowienia dotyczące Produktów.</w:t>
      </w:r>
      <w:r w:rsidR="00A23237">
        <w:t xml:space="preserve"> </w:t>
      </w:r>
      <w:r>
        <w:t xml:space="preserve">Z dniem 1 lipca 2015 r. dokument zatytułowany Postanowienia dotyczące Produktów zastąpił dokumenty zatytułowane Lista Produktów i Prawa do Używania Produktów.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1463"/>
      <w:r>
        <w:lastRenderedPageBreak/>
        <w:t>Załącznik</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1464"/>
      <w:bookmarkStart w:id="71" w:name="_Toc403380329"/>
      <w:r>
        <w:rPr>
          <w:rFonts w:asciiTheme="majorHAnsi" w:eastAsiaTheme="majorEastAsia" w:hAnsiTheme="majorHAnsi" w:cstheme="majorBidi"/>
          <w:bCs/>
          <w:color w:val="8064A2" w:themeColor="accent4"/>
          <w:sz w:val="28"/>
          <w:szCs w:val="26"/>
        </w:rPr>
        <w:t>Definicja r</w:t>
      </w:r>
      <w:r>
        <w:rPr>
          <w:rFonts w:asciiTheme="majorHAnsi" w:eastAsiaTheme="majorEastAsia" w:hAnsiTheme="majorHAnsi" w:cstheme="majorBidi"/>
          <w:color w:val="8064A2" w:themeColor="accent4"/>
          <w:sz w:val="28"/>
          <w:szCs w:val="26"/>
        </w:rPr>
        <w:t>egionów</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49D2421E" w:rsidR="0074401C" w:rsidRPr="001165AA" w:rsidRDefault="0074401C" w:rsidP="00D7507A">
      <w:pPr>
        <w:pStyle w:val="BodyText"/>
      </w:pPr>
      <w:r>
        <w:t>Poniżej znajduje się lista krajów</w:t>
      </w:r>
      <w:r>
        <w:rPr>
          <w:color w:val="1F497D"/>
        </w:rPr>
        <w:t xml:space="preserve">, </w:t>
      </w:r>
      <w:r>
        <w:t>regionów lub terytoriów</w:t>
      </w:r>
      <w:r>
        <w:rPr>
          <w:color w:val="FF0000"/>
        </w:rPr>
        <w:t xml:space="preserve"> </w:t>
      </w:r>
      <w:r>
        <w:t>objętych definicją Microsoft określającą region EMEA (Europa, Bliski Wschód i</w:t>
      </w:r>
      <w:r w:rsidR="00824B42">
        <w:t> </w:t>
      </w:r>
      <w:r>
        <w:t>Afryka), do którego odniesienia mogą występować w niektórych Postanowieniach dotyczących Typu Konta Zakupów związanych z krajem.</w:t>
      </w:r>
      <w:r w:rsidR="00A23237">
        <w:t xml:space="preserve"> </w:t>
      </w:r>
      <w:r>
        <w:t>Należy zauważyć, że Umowa MPSA może być niedostępna w niektórych krajach.</w:t>
      </w:r>
    </w:p>
    <w:p w14:paraId="3A80FA13" w14:textId="37A99DEB" w:rsidR="003B5822" w:rsidRPr="001165AA" w:rsidRDefault="00632BEC" w:rsidP="003B5822">
      <w:pPr>
        <w:pStyle w:val="BodyText"/>
      </w:pPr>
      <w:r>
        <w:rPr>
          <w:sz w:val="14"/>
        </w:rPr>
        <w:t>Afganistan, Albania, Algieria, Andora, Angola, Arabia Saudyjska, Armenia, Austria, Azerbejdżan, Bahrajn, Belgia, Benin, Białoruś, Bośnia i Hercegowina, Botswana, Bułgaria, Burkina Faso, Burundi, Chorwacja, Cypr, Czad, Czarnogóra, Dania, Dżibuti, Egipt, Erytrea, Estonia, Etiopia, Finlandia, Francja, Gabon, Gambia, Ghana, Grecja, Gruzja, Gwinea, Gwinea Bissau, Gwinea Równikowa, Hiszpania, Holandia, Irak, Irlandia, Islandia, Izrael, Jemen, Jordania, Kamerun, Katar, Kazachstan, Kenia, Kirgistan, Komory, Kongo, Kongo (DRK), Kuwejt, Liban, Libia, Liechtenstein, Litwa, Luksemburg, Łotwa, Macedonia, Madagaskar, Malawi, Mali, Malta, Maroko, Mauretania, Mauritius, Mołdawia, Monako, Mongolia, Mozambik, Namibia, Niemcy, Niger, Nigeria, Norwegia, Nowa Kaledonia, Oman, Pakistan, Polinezja Francuska, Polska, Portugalia, Republika Czeska, Republika Południowej Afryki, Republika Środkowoafrykańska, Republika Zielonego Przylądka, Rosja, Rumunia, Rwanda, San Marino, Senegal, Serbia, Seszele, Sierra Leone, Słowacja, Słowenia, Somalia, Stolica Apostolska (Państwo Watykańskie), Sudan Południowy, Szwajcaria, Szwecja, Syria, Tadżykistan, Tanzania, Togo, Tunezja, Turcja, Turkmenistan, Uganda, Ukraina, Uzbekistan, Węgry, Wielka Brytania, Włochy, Wybrzeże Kości Słoniowej, Zambia, Zimbabwe, Zjednoczone Emiraty Arabskie</w:t>
      </w:r>
      <w:r w:rsidRPr="0069574E">
        <w:rPr>
          <w:rFonts w:cs="Segoe UI"/>
          <w:color w:val="1C4269"/>
          <w:sz w:val="14"/>
          <w:szCs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468651" w14:textId="77777777" w:rsidR="00F4434E" w:rsidRDefault="00F4434E" w:rsidP="00B85670">
      <w:pPr>
        <w:spacing w:line="240" w:lineRule="auto"/>
      </w:pPr>
      <w:r>
        <w:separator/>
      </w:r>
    </w:p>
  </w:endnote>
  <w:endnote w:type="continuationSeparator" w:id="0">
    <w:p w14:paraId="19B3CA30" w14:textId="77777777" w:rsidR="00F4434E" w:rsidRDefault="00F4434E" w:rsidP="00B85670">
      <w:pPr>
        <w:spacing w:line="240" w:lineRule="auto"/>
      </w:pPr>
      <w:r>
        <w:continuationSeparator/>
      </w:r>
    </w:p>
  </w:endnote>
  <w:endnote w:type="continuationNotice" w:id="1">
    <w:p w14:paraId="083C51C6" w14:textId="77777777" w:rsidR="00F4434E" w:rsidRDefault="00F4434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2BD92" w14:textId="77777777" w:rsidR="00F01045" w:rsidRDefault="00F010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516C5" w14:textId="77777777" w:rsidR="00F01045" w:rsidRDefault="00F010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70FCFDD9" w:rsidR="0092123D" w:rsidRPr="00A1589D" w:rsidRDefault="0092123D" w:rsidP="00BD5A0B">
    <w:pPr>
      <w:pStyle w:val="Footer"/>
      <w:tabs>
        <w:tab w:val="clear" w:pos="4680"/>
        <w:tab w:val="clear" w:pos="9360"/>
        <w:tab w:val="right" w:pos="10800"/>
      </w:tabs>
      <w:rPr>
        <w:sz w:val="16"/>
        <w:lang w:val="en-US" w:eastAsia="en-US" w:bidi="ar-SA"/>
      </w:rPr>
    </w:pPr>
    <w:r w:rsidRPr="00A1589D">
      <w:rPr>
        <w:sz w:val="16"/>
        <w:lang w:val="en-US" w:eastAsia="en-US" w:bidi="ar-SA"/>
      </w:rPr>
      <w:t>© 2016 Microsoft Corporation.</w:t>
    </w:r>
    <w:r w:rsidR="00A23237">
      <w:rPr>
        <w:sz w:val="16"/>
        <w:lang w:val="en-US" w:eastAsia="en-US" w:bidi="ar-SA"/>
      </w:rPr>
      <w:t xml:space="preserve"> </w:t>
    </w:r>
    <w:r w:rsidRPr="00A1589D">
      <w:rPr>
        <w:sz w:val="16"/>
        <w:lang w:val="en-US" w:eastAsia="en-US" w:bidi="ar-SA"/>
      </w:rPr>
      <w:t>All rights reserved.</w:t>
    </w:r>
  </w:p>
  <w:p w14:paraId="3AE7A789" w14:textId="6C27DAD8" w:rsidR="0092123D" w:rsidRPr="00F90F7D" w:rsidRDefault="0092123D" w:rsidP="00BD5A0B">
    <w:pPr>
      <w:pStyle w:val="Footer"/>
      <w:tabs>
        <w:tab w:val="clear" w:pos="4680"/>
        <w:tab w:val="clear" w:pos="9360"/>
        <w:tab w:val="right" w:pos="10800"/>
      </w:tabs>
      <w:rPr>
        <w:rStyle w:val="LogoportDoNotTranslate"/>
      </w:rPr>
    </w:pPr>
    <w:r w:rsidRPr="00A1589D">
      <w:rPr>
        <w:sz w:val="16"/>
        <w:lang w:val="en-US" w:eastAsia="en-US" w:bidi="ar-SA"/>
      </w:rPr>
      <w:t>Microsoft is a registered trademark of Microsoft Corporation in the United States and/or other countries</w:t>
    </w:r>
    <w:r>
      <w:rPr>
        <w:rStyle w:val="LogoportDoNotTranslate"/>
      </w:rPr>
      <w:tab/>
    </w:r>
    <w:r w:rsidRPr="00A1589D">
      <w:rPr>
        <w:szCs w:val="18"/>
        <w:lang w:val="en-US" w:eastAsia="en-US" w:bidi="ar-SA"/>
      </w:rPr>
      <w:fldChar w:fldCharType="begin"/>
    </w:r>
    <w:r w:rsidRPr="00A1589D">
      <w:rPr>
        <w:szCs w:val="18"/>
        <w:lang w:val="en-US" w:eastAsia="en-US" w:bidi="ar-SA"/>
      </w:rPr>
      <w:instrText xml:space="preserve"> PAGE   \* MERGEFORMAT </w:instrText>
    </w:r>
    <w:r w:rsidRPr="00A1589D">
      <w:rPr>
        <w:szCs w:val="18"/>
        <w:lang w:val="en-US" w:eastAsia="en-US" w:bidi="ar-SA"/>
      </w:rPr>
      <w:fldChar w:fldCharType="separate"/>
    </w:r>
    <w:r w:rsidR="00F01045">
      <w:rPr>
        <w:noProof/>
        <w:szCs w:val="18"/>
        <w:lang w:val="en-US" w:eastAsia="en-US" w:bidi="ar-SA"/>
      </w:rPr>
      <w:t>1</w:t>
    </w:r>
    <w:r w:rsidRPr="00A1589D">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CE6A33" w14:textId="77777777" w:rsidR="00F4434E" w:rsidRDefault="00F4434E" w:rsidP="00B85670">
      <w:pPr>
        <w:spacing w:line="240" w:lineRule="auto"/>
      </w:pPr>
      <w:r>
        <w:separator/>
      </w:r>
    </w:p>
  </w:footnote>
  <w:footnote w:type="continuationSeparator" w:id="0">
    <w:p w14:paraId="0D10304D" w14:textId="77777777" w:rsidR="00F4434E" w:rsidRDefault="00F4434E" w:rsidP="00B85670">
      <w:pPr>
        <w:spacing w:line="240" w:lineRule="auto"/>
      </w:pPr>
      <w:r>
        <w:continuationSeparator/>
      </w:r>
    </w:p>
  </w:footnote>
  <w:footnote w:type="continuationNotice" w:id="1">
    <w:p w14:paraId="14A39DF9" w14:textId="77777777" w:rsidR="00F4434E" w:rsidRDefault="00F4434E">
      <w:pPr>
        <w:spacing w:line="240" w:lineRule="auto"/>
      </w:pPr>
    </w:p>
  </w:footnote>
  <w:footnote w:id="2">
    <w:p w14:paraId="337C24B8" w14:textId="40329D18" w:rsidR="00024884" w:rsidRDefault="00024884" w:rsidP="00024884">
      <w:pPr>
        <w:pStyle w:val="FootnoteText"/>
      </w:pPr>
      <w:r w:rsidRPr="007B5219">
        <w:rPr>
          <w:rStyle w:val="FootnoteReference"/>
          <w:sz w:val="18"/>
        </w:rPr>
        <w:footnoteRef/>
      </w:r>
      <w:r>
        <w:rPr>
          <w:sz w:val="14"/>
        </w:rPr>
        <w:t xml:space="preserve"> </w:t>
      </w:r>
      <w:r w:rsidRPr="00024884">
        <w:rPr>
          <w:sz w:val="14"/>
        </w:rPr>
        <w:t>W razie potrzeby obsługiwany jest podpis fizyczny na umowach tworzonych elektronicznie.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5BB171" w14:textId="77777777" w:rsidR="00F01045" w:rsidRDefault="00F010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4884"/>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694E"/>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274F"/>
    <w:rsid w:val="00274938"/>
    <w:rsid w:val="00275852"/>
    <w:rsid w:val="00281B0C"/>
    <w:rsid w:val="00281CE1"/>
    <w:rsid w:val="00284DB9"/>
    <w:rsid w:val="00287304"/>
    <w:rsid w:val="002910BC"/>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136"/>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2A30"/>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0DAF"/>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9556A"/>
    <w:rsid w:val="0069574E"/>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B42"/>
    <w:rsid w:val="00824FBF"/>
    <w:rsid w:val="00830B32"/>
    <w:rsid w:val="00831284"/>
    <w:rsid w:val="00836F49"/>
    <w:rsid w:val="008401BC"/>
    <w:rsid w:val="008404F0"/>
    <w:rsid w:val="00840B46"/>
    <w:rsid w:val="00843658"/>
    <w:rsid w:val="008439E5"/>
    <w:rsid w:val="00844891"/>
    <w:rsid w:val="00845A96"/>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589D"/>
    <w:rsid w:val="00A165B0"/>
    <w:rsid w:val="00A166B5"/>
    <w:rsid w:val="00A1797B"/>
    <w:rsid w:val="00A17F26"/>
    <w:rsid w:val="00A20CA5"/>
    <w:rsid w:val="00A216EE"/>
    <w:rsid w:val="00A221D0"/>
    <w:rsid w:val="00A23237"/>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01AB"/>
    <w:rsid w:val="00AA53A3"/>
    <w:rsid w:val="00AA5ECD"/>
    <w:rsid w:val="00AB067C"/>
    <w:rsid w:val="00AB2D03"/>
    <w:rsid w:val="00AB510A"/>
    <w:rsid w:val="00AB594D"/>
    <w:rsid w:val="00AC16A2"/>
    <w:rsid w:val="00AC25B8"/>
    <w:rsid w:val="00AC3A62"/>
    <w:rsid w:val="00AC5F67"/>
    <w:rsid w:val="00AC7212"/>
    <w:rsid w:val="00AD0463"/>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58CC"/>
    <w:rsid w:val="00B06B12"/>
    <w:rsid w:val="00B075C4"/>
    <w:rsid w:val="00B129B1"/>
    <w:rsid w:val="00B12F09"/>
    <w:rsid w:val="00B16140"/>
    <w:rsid w:val="00B174DD"/>
    <w:rsid w:val="00B200D7"/>
    <w:rsid w:val="00B21920"/>
    <w:rsid w:val="00B21E66"/>
    <w:rsid w:val="00B22BC1"/>
    <w:rsid w:val="00B31FFF"/>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17728"/>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3A20"/>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2BFE"/>
    <w:rsid w:val="00E23144"/>
    <w:rsid w:val="00E235CD"/>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045"/>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34E"/>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B8B"/>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joM2mkBwU9LAkzCiJ4/irs8inXw=" w:salt="CY+qLQjlroCLlmwpRP5i+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pl-PL" w:eastAsia="pl-PL" w:bidi="pl-PL"/>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1503D-C96B-433B-B000-7BD52F3A1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3932</Words>
  <Characters>22417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2016-08-05T17:23:00Z</dcterms:created>
  <dcterms:modified xsi:type="dcterms:W3CDTF">2016-08-05T17:23:00Z</dcterms:modified>
  <cp:contentStatus/>
</cp:coreProperties>
</file>