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Licenciamento em Volume da Microsoft </w:t>
      </w:r>
    </w:p>
    <w:p w14:paraId="5A22EF86" w14:textId="54768CEA" w:rsidR="00C415FE" w:rsidRPr="001165AA" w:rsidRDefault="006535B0" w:rsidP="00604521">
      <w:pPr>
        <w:pStyle w:val="DocTitle"/>
        <w:spacing w:line="960" w:lineRule="exact"/>
        <w:ind w:left="2432" w:right="11"/>
      </w:pPr>
      <w:r>
        <w:t xml:space="preserve">Manual de </w:t>
      </w:r>
      <w:r w:rsidR="003B5822">
        <w:t>Licenciamento do Contrato de Produtos e</w:t>
      </w:r>
      <w:r w:rsidR="00093757">
        <w:t> </w:t>
      </w:r>
      <w:r w:rsidR="003B5822">
        <w:t>Serviços da Microsoft</w:t>
      </w:r>
    </w:p>
    <w:p w14:paraId="094BDD3F" w14:textId="77777777" w:rsidR="00C415FE" w:rsidRPr="00604521" w:rsidRDefault="00C415FE" w:rsidP="00604521">
      <w:pPr>
        <w:pStyle w:val="DocTitle"/>
        <w:spacing w:line="400" w:lineRule="exact"/>
        <w:ind w:left="2432" w:right="11"/>
        <w:rPr>
          <w:sz w:val="50"/>
          <w:szCs w:val="50"/>
        </w:rPr>
      </w:pPr>
    </w:p>
    <w:p w14:paraId="3E736D23" w14:textId="25D397D1" w:rsidR="001D1377" w:rsidRPr="001165AA" w:rsidRDefault="003355F7" w:rsidP="00604521">
      <w:pPr>
        <w:pStyle w:val="DocTitle"/>
        <w:spacing w:line="760" w:lineRule="atLeast"/>
        <w:ind w:left="2432" w:right="11"/>
      </w:pPr>
      <w:r>
        <w:t>agosto de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Índice</w:t>
      </w:r>
    </w:p>
    <w:p w14:paraId="76913A83" w14:textId="77777777" w:rsidR="00B0584C"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46094" w:history="1">
        <w:r w:rsidR="00B0584C" w:rsidRPr="00B2188F">
          <w:rPr>
            <w:rStyle w:val="Hyperlink"/>
          </w:rPr>
          <w:t>Finalidade do Documento e Recursos</w:t>
        </w:r>
        <w:r w:rsidR="00B0584C">
          <w:rPr>
            <w:webHidden/>
          </w:rPr>
          <w:tab/>
        </w:r>
        <w:r w:rsidR="00B0584C">
          <w:rPr>
            <w:webHidden/>
          </w:rPr>
          <w:fldChar w:fldCharType="begin"/>
        </w:r>
        <w:r w:rsidR="00B0584C">
          <w:rPr>
            <w:webHidden/>
          </w:rPr>
          <w:instrText xml:space="preserve"> PAGEREF _Toc457846094 \h </w:instrText>
        </w:r>
        <w:r w:rsidR="00B0584C">
          <w:rPr>
            <w:webHidden/>
          </w:rPr>
        </w:r>
        <w:r w:rsidR="00B0584C">
          <w:rPr>
            <w:webHidden/>
          </w:rPr>
          <w:fldChar w:fldCharType="separate"/>
        </w:r>
        <w:r w:rsidR="00B367A8">
          <w:rPr>
            <w:webHidden/>
          </w:rPr>
          <w:t>1</w:t>
        </w:r>
        <w:r w:rsidR="00B0584C">
          <w:rPr>
            <w:webHidden/>
          </w:rPr>
          <w:fldChar w:fldCharType="end"/>
        </w:r>
      </w:hyperlink>
    </w:p>
    <w:p w14:paraId="3C7EABB3" w14:textId="77777777" w:rsidR="00B0584C" w:rsidRDefault="00DD4337">
      <w:pPr>
        <w:pStyle w:val="TOC1"/>
        <w:rPr>
          <w:rFonts w:asciiTheme="minorHAnsi" w:eastAsiaTheme="minorEastAsia" w:hAnsiTheme="minorHAnsi"/>
          <w:color w:val="auto"/>
          <w:sz w:val="22"/>
          <w:lang w:val="en-US" w:eastAsia="en-US" w:bidi="ar-SA"/>
        </w:rPr>
      </w:pPr>
      <w:hyperlink w:anchor="_Toc457846095" w:history="1">
        <w:r w:rsidR="00B0584C" w:rsidRPr="00B2188F">
          <w:rPr>
            <w:rStyle w:val="Hyperlink"/>
          </w:rPr>
          <w:t>Secção 1</w:t>
        </w:r>
        <w:r w:rsidR="00B0584C">
          <w:rPr>
            <w:webHidden/>
          </w:rPr>
          <w:tab/>
        </w:r>
        <w:r w:rsidR="00B0584C">
          <w:rPr>
            <w:webHidden/>
          </w:rPr>
          <w:fldChar w:fldCharType="begin"/>
        </w:r>
        <w:r w:rsidR="00B0584C">
          <w:rPr>
            <w:webHidden/>
          </w:rPr>
          <w:instrText xml:space="preserve"> PAGEREF _Toc457846095 \h </w:instrText>
        </w:r>
        <w:r w:rsidR="00B0584C">
          <w:rPr>
            <w:webHidden/>
          </w:rPr>
        </w:r>
        <w:r w:rsidR="00B0584C">
          <w:rPr>
            <w:webHidden/>
          </w:rPr>
          <w:fldChar w:fldCharType="separate"/>
        </w:r>
        <w:r w:rsidR="00B367A8">
          <w:rPr>
            <w:webHidden/>
          </w:rPr>
          <w:t>2</w:t>
        </w:r>
        <w:r w:rsidR="00B0584C">
          <w:rPr>
            <w:webHidden/>
          </w:rPr>
          <w:fldChar w:fldCharType="end"/>
        </w:r>
      </w:hyperlink>
    </w:p>
    <w:p w14:paraId="628DD275" w14:textId="77777777" w:rsidR="00B0584C" w:rsidRDefault="00DD4337">
      <w:pPr>
        <w:pStyle w:val="TOC1"/>
        <w:rPr>
          <w:rFonts w:asciiTheme="minorHAnsi" w:eastAsiaTheme="minorEastAsia" w:hAnsiTheme="minorHAnsi"/>
          <w:color w:val="auto"/>
          <w:sz w:val="22"/>
          <w:lang w:val="en-US" w:eastAsia="en-US" w:bidi="ar-SA"/>
        </w:rPr>
      </w:pPr>
      <w:hyperlink w:anchor="_Toc457846096" w:history="1">
        <w:r w:rsidR="00B0584C" w:rsidRPr="00B2188F">
          <w:rPr>
            <w:rStyle w:val="Hyperlink"/>
            <w:rFonts w:asciiTheme="majorHAnsi" w:eastAsiaTheme="majorEastAsia" w:hAnsiTheme="majorHAnsi" w:cstheme="majorBidi"/>
            <w:bCs/>
          </w:rPr>
          <w:t>Como funciona o Contrato de Produtos e Serviços da Microsoft</w:t>
        </w:r>
        <w:r w:rsidR="00B0584C">
          <w:rPr>
            <w:webHidden/>
          </w:rPr>
          <w:tab/>
        </w:r>
        <w:r w:rsidR="00B0584C">
          <w:rPr>
            <w:webHidden/>
          </w:rPr>
          <w:fldChar w:fldCharType="begin"/>
        </w:r>
        <w:r w:rsidR="00B0584C">
          <w:rPr>
            <w:webHidden/>
          </w:rPr>
          <w:instrText xml:space="preserve"> PAGEREF _Toc457846096 \h </w:instrText>
        </w:r>
        <w:r w:rsidR="00B0584C">
          <w:rPr>
            <w:webHidden/>
          </w:rPr>
        </w:r>
        <w:r w:rsidR="00B0584C">
          <w:rPr>
            <w:webHidden/>
          </w:rPr>
          <w:fldChar w:fldCharType="separate"/>
        </w:r>
        <w:r w:rsidR="00B367A8">
          <w:rPr>
            <w:webHidden/>
          </w:rPr>
          <w:t>2</w:t>
        </w:r>
        <w:r w:rsidR="00B0584C">
          <w:rPr>
            <w:webHidden/>
          </w:rPr>
          <w:fldChar w:fldCharType="end"/>
        </w:r>
      </w:hyperlink>
    </w:p>
    <w:p w14:paraId="75CFC9F0" w14:textId="77777777" w:rsidR="00B0584C" w:rsidRDefault="00DD4337">
      <w:pPr>
        <w:pStyle w:val="TOC1"/>
        <w:rPr>
          <w:rFonts w:asciiTheme="minorHAnsi" w:eastAsiaTheme="minorEastAsia" w:hAnsiTheme="minorHAnsi"/>
          <w:color w:val="auto"/>
          <w:sz w:val="22"/>
          <w:lang w:val="en-US" w:eastAsia="en-US" w:bidi="ar-SA"/>
        </w:rPr>
      </w:pPr>
      <w:hyperlink w:anchor="_Toc457846097" w:history="1">
        <w:r w:rsidR="00B0584C" w:rsidRPr="00B2188F">
          <w:rPr>
            <w:rStyle w:val="Hyperlink"/>
            <w:rFonts w:asciiTheme="majorHAnsi" w:eastAsiaTheme="majorEastAsia" w:hAnsiTheme="majorHAnsi" w:cstheme="majorBidi"/>
            <w:bCs/>
          </w:rPr>
          <w:t>Aquisição Transacional</w:t>
        </w:r>
        <w:r w:rsidR="00B0584C">
          <w:rPr>
            <w:webHidden/>
          </w:rPr>
          <w:tab/>
        </w:r>
        <w:r w:rsidR="00B0584C">
          <w:rPr>
            <w:webHidden/>
          </w:rPr>
          <w:fldChar w:fldCharType="begin"/>
        </w:r>
        <w:r w:rsidR="00B0584C">
          <w:rPr>
            <w:webHidden/>
          </w:rPr>
          <w:instrText xml:space="preserve"> PAGEREF _Toc457846097 \h </w:instrText>
        </w:r>
        <w:r w:rsidR="00B0584C">
          <w:rPr>
            <w:webHidden/>
          </w:rPr>
        </w:r>
        <w:r w:rsidR="00B0584C">
          <w:rPr>
            <w:webHidden/>
          </w:rPr>
          <w:fldChar w:fldCharType="separate"/>
        </w:r>
        <w:r w:rsidR="00B367A8">
          <w:rPr>
            <w:webHidden/>
          </w:rPr>
          <w:t>3</w:t>
        </w:r>
        <w:r w:rsidR="00B0584C">
          <w:rPr>
            <w:webHidden/>
          </w:rPr>
          <w:fldChar w:fldCharType="end"/>
        </w:r>
      </w:hyperlink>
    </w:p>
    <w:p w14:paraId="3F82EA8F" w14:textId="77777777" w:rsidR="00B0584C" w:rsidRDefault="00DD4337">
      <w:pPr>
        <w:pStyle w:val="TOC1"/>
        <w:rPr>
          <w:rFonts w:asciiTheme="minorHAnsi" w:eastAsiaTheme="minorEastAsia" w:hAnsiTheme="minorHAnsi"/>
          <w:color w:val="auto"/>
          <w:sz w:val="22"/>
          <w:lang w:val="en-US" w:eastAsia="en-US" w:bidi="ar-SA"/>
        </w:rPr>
      </w:pPr>
      <w:hyperlink w:anchor="_Toc457846098" w:history="1">
        <w:r w:rsidR="00B0584C" w:rsidRPr="00B2188F">
          <w:rPr>
            <w:rStyle w:val="Hyperlink"/>
          </w:rPr>
          <w:t>Secção 2</w:t>
        </w:r>
        <w:r w:rsidR="00B0584C">
          <w:rPr>
            <w:webHidden/>
          </w:rPr>
          <w:tab/>
        </w:r>
        <w:r w:rsidR="00B0584C">
          <w:rPr>
            <w:webHidden/>
          </w:rPr>
          <w:fldChar w:fldCharType="begin"/>
        </w:r>
        <w:r w:rsidR="00B0584C">
          <w:rPr>
            <w:webHidden/>
          </w:rPr>
          <w:instrText xml:space="preserve"> PAGEREF _Toc457846098 \h </w:instrText>
        </w:r>
        <w:r w:rsidR="00B0584C">
          <w:rPr>
            <w:webHidden/>
          </w:rPr>
        </w:r>
        <w:r w:rsidR="00B0584C">
          <w:rPr>
            <w:webHidden/>
          </w:rPr>
          <w:fldChar w:fldCharType="separate"/>
        </w:r>
        <w:r w:rsidR="00B367A8">
          <w:rPr>
            <w:webHidden/>
          </w:rPr>
          <w:t>6</w:t>
        </w:r>
        <w:r w:rsidR="00B0584C">
          <w:rPr>
            <w:webHidden/>
          </w:rPr>
          <w:fldChar w:fldCharType="end"/>
        </w:r>
      </w:hyperlink>
    </w:p>
    <w:p w14:paraId="1C6D38DB" w14:textId="77777777" w:rsidR="00B0584C" w:rsidRDefault="00DD4337">
      <w:pPr>
        <w:pStyle w:val="TOC1"/>
        <w:rPr>
          <w:rFonts w:asciiTheme="minorHAnsi" w:eastAsiaTheme="minorEastAsia" w:hAnsiTheme="minorHAnsi"/>
          <w:color w:val="auto"/>
          <w:sz w:val="22"/>
          <w:lang w:val="en-US" w:eastAsia="en-US" w:bidi="ar-SA"/>
        </w:rPr>
      </w:pPr>
      <w:hyperlink w:anchor="_Toc457846099" w:history="1">
        <w:r w:rsidR="00B0584C" w:rsidRPr="00B2188F">
          <w:rPr>
            <w:rStyle w:val="Hyperlink"/>
            <w:rFonts w:asciiTheme="majorHAnsi" w:eastAsiaTheme="majorEastAsia" w:hAnsiTheme="majorHAnsi" w:cstheme="majorBidi"/>
            <w:bCs/>
          </w:rPr>
          <w:t>Realizar cópias de Produtos e direitos de re-imaging</w:t>
        </w:r>
        <w:r w:rsidR="00B0584C">
          <w:rPr>
            <w:webHidden/>
          </w:rPr>
          <w:tab/>
        </w:r>
        <w:r w:rsidR="00B0584C">
          <w:rPr>
            <w:webHidden/>
          </w:rPr>
          <w:fldChar w:fldCharType="begin"/>
        </w:r>
        <w:r w:rsidR="00B0584C">
          <w:rPr>
            <w:webHidden/>
          </w:rPr>
          <w:instrText xml:space="preserve"> PAGEREF _Toc457846099 \h </w:instrText>
        </w:r>
        <w:r w:rsidR="00B0584C">
          <w:rPr>
            <w:webHidden/>
          </w:rPr>
        </w:r>
        <w:r w:rsidR="00B0584C">
          <w:rPr>
            <w:webHidden/>
          </w:rPr>
          <w:fldChar w:fldCharType="separate"/>
        </w:r>
        <w:r w:rsidR="00B367A8">
          <w:rPr>
            <w:webHidden/>
          </w:rPr>
          <w:t>6</w:t>
        </w:r>
        <w:r w:rsidR="00B0584C">
          <w:rPr>
            <w:webHidden/>
          </w:rPr>
          <w:fldChar w:fldCharType="end"/>
        </w:r>
      </w:hyperlink>
    </w:p>
    <w:p w14:paraId="252AF949" w14:textId="77777777" w:rsidR="00B0584C" w:rsidRDefault="00DD4337">
      <w:pPr>
        <w:pStyle w:val="TOC1"/>
        <w:rPr>
          <w:rFonts w:asciiTheme="minorHAnsi" w:eastAsiaTheme="minorEastAsia" w:hAnsiTheme="minorHAnsi"/>
          <w:color w:val="auto"/>
          <w:sz w:val="22"/>
          <w:lang w:val="en-US" w:eastAsia="en-US" w:bidi="ar-SA"/>
        </w:rPr>
      </w:pPr>
      <w:hyperlink w:anchor="_Toc457846100" w:history="1">
        <w:r w:rsidR="00B0584C" w:rsidRPr="00B2188F">
          <w:rPr>
            <w:rStyle w:val="Hyperlink"/>
            <w:rFonts w:asciiTheme="majorHAnsi" w:eastAsiaTheme="majorEastAsia" w:hAnsiTheme="majorHAnsi" w:cstheme="majorBidi"/>
            <w:bCs/>
          </w:rPr>
          <w:t>Processo de Transferência de Licença</w:t>
        </w:r>
        <w:r w:rsidR="00B0584C">
          <w:rPr>
            <w:webHidden/>
          </w:rPr>
          <w:tab/>
        </w:r>
        <w:r w:rsidR="00B0584C">
          <w:rPr>
            <w:webHidden/>
          </w:rPr>
          <w:fldChar w:fldCharType="begin"/>
        </w:r>
        <w:r w:rsidR="00B0584C">
          <w:rPr>
            <w:webHidden/>
          </w:rPr>
          <w:instrText xml:space="preserve"> PAGEREF _Toc457846100 \h </w:instrText>
        </w:r>
        <w:r w:rsidR="00B0584C">
          <w:rPr>
            <w:webHidden/>
          </w:rPr>
        </w:r>
        <w:r w:rsidR="00B0584C">
          <w:rPr>
            <w:webHidden/>
          </w:rPr>
          <w:fldChar w:fldCharType="separate"/>
        </w:r>
        <w:r w:rsidR="00B367A8">
          <w:rPr>
            <w:webHidden/>
          </w:rPr>
          <w:t>6</w:t>
        </w:r>
        <w:r w:rsidR="00B0584C">
          <w:rPr>
            <w:webHidden/>
          </w:rPr>
          <w:fldChar w:fldCharType="end"/>
        </w:r>
      </w:hyperlink>
    </w:p>
    <w:p w14:paraId="7CAA232F" w14:textId="77777777" w:rsidR="00B0584C" w:rsidRDefault="00DD4337">
      <w:pPr>
        <w:pStyle w:val="TOC1"/>
        <w:rPr>
          <w:rFonts w:asciiTheme="minorHAnsi" w:eastAsiaTheme="minorEastAsia" w:hAnsiTheme="minorHAnsi"/>
          <w:color w:val="auto"/>
          <w:sz w:val="22"/>
          <w:lang w:val="en-US" w:eastAsia="en-US" w:bidi="ar-SA"/>
        </w:rPr>
      </w:pPr>
      <w:hyperlink w:anchor="_Toc457846101" w:history="1">
        <w:r w:rsidR="00B0584C" w:rsidRPr="00B2188F">
          <w:rPr>
            <w:rStyle w:val="Hyperlink"/>
            <w:rFonts w:asciiTheme="majorHAnsi" w:eastAsiaTheme="majorEastAsia" w:hAnsiTheme="majorHAnsi" w:cstheme="majorBidi"/>
            <w:bCs/>
          </w:rPr>
          <w:t xml:space="preserve">Processo de Verificação da Conformidade e </w:t>
        </w:r>
        <w:r w:rsidR="00B0584C" w:rsidRPr="00B2188F">
          <w:rPr>
            <w:rStyle w:val="Hyperlink"/>
            <w:rFonts w:asciiTheme="majorHAnsi" w:eastAsiaTheme="majorEastAsia" w:hAnsiTheme="majorHAnsi"/>
          </w:rPr>
          <w:t>Limitações</w:t>
        </w:r>
        <w:r w:rsidR="00B0584C">
          <w:rPr>
            <w:webHidden/>
          </w:rPr>
          <w:tab/>
        </w:r>
        <w:r w:rsidR="00B0584C">
          <w:rPr>
            <w:webHidden/>
          </w:rPr>
          <w:fldChar w:fldCharType="begin"/>
        </w:r>
        <w:r w:rsidR="00B0584C">
          <w:rPr>
            <w:webHidden/>
          </w:rPr>
          <w:instrText xml:space="preserve"> PAGEREF _Toc457846101 \h </w:instrText>
        </w:r>
        <w:r w:rsidR="00B0584C">
          <w:rPr>
            <w:webHidden/>
          </w:rPr>
        </w:r>
        <w:r w:rsidR="00B0584C">
          <w:rPr>
            <w:webHidden/>
          </w:rPr>
          <w:fldChar w:fldCharType="separate"/>
        </w:r>
        <w:r w:rsidR="00B367A8">
          <w:rPr>
            <w:webHidden/>
          </w:rPr>
          <w:t>6</w:t>
        </w:r>
        <w:r w:rsidR="00B0584C">
          <w:rPr>
            <w:webHidden/>
          </w:rPr>
          <w:fldChar w:fldCharType="end"/>
        </w:r>
      </w:hyperlink>
    </w:p>
    <w:p w14:paraId="2614AEB9" w14:textId="77777777" w:rsidR="00B0584C" w:rsidRDefault="00DD4337">
      <w:pPr>
        <w:pStyle w:val="TOC1"/>
        <w:rPr>
          <w:rFonts w:asciiTheme="minorHAnsi" w:eastAsiaTheme="minorEastAsia" w:hAnsiTheme="minorHAnsi"/>
          <w:color w:val="auto"/>
          <w:sz w:val="22"/>
          <w:lang w:val="en-US" w:eastAsia="en-US" w:bidi="ar-SA"/>
        </w:rPr>
      </w:pPr>
      <w:hyperlink w:anchor="_Toc457846102" w:history="1">
        <w:r w:rsidR="00B0584C" w:rsidRPr="00B2188F">
          <w:rPr>
            <w:rStyle w:val="Hyperlink"/>
            <w:rFonts w:asciiTheme="majorHAnsi" w:eastAsiaTheme="majorEastAsia" w:hAnsiTheme="majorHAnsi" w:cstheme="majorBidi"/>
            <w:bCs/>
          </w:rPr>
          <w:t>Alienações</w:t>
        </w:r>
        <w:r w:rsidR="00B0584C">
          <w:rPr>
            <w:webHidden/>
          </w:rPr>
          <w:tab/>
        </w:r>
        <w:r w:rsidR="00B0584C">
          <w:rPr>
            <w:webHidden/>
          </w:rPr>
          <w:fldChar w:fldCharType="begin"/>
        </w:r>
        <w:r w:rsidR="00B0584C">
          <w:rPr>
            <w:webHidden/>
          </w:rPr>
          <w:instrText xml:space="preserve"> PAGEREF _Toc457846102 \h </w:instrText>
        </w:r>
        <w:r w:rsidR="00B0584C">
          <w:rPr>
            <w:webHidden/>
          </w:rPr>
        </w:r>
        <w:r w:rsidR="00B0584C">
          <w:rPr>
            <w:webHidden/>
          </w:rPr>
          <w:fldChar w:fldCharType="separate"/>
        </w:r>
        <w:r w:rsidR="00B367A8">
          <w:rPr>
            <w:webHidden/>
          </w:rPr>
          <w:t>6</w:t>
        </w:r>
        <w:r w:rsidR="00B0584C">
          <w:rPr>
            <w:webHidden/>
          </w:rPr>
          <w:fldChar w:fldCharType="end"/>
        </w:r>
      </w:hyperlink>
    </w:p>
    <w:p w14:paraId="027FB15F" w14:textId="77777777" w:rsidR="00B0584C" w:rsidRDefault="00DD4337">
      <w:pPr>
        <w:pStyle w:val="TOC1"/>
        <w:rPr>
          <w:rFonts w:asciiTheme="minorHAnsi" w:eastAsiaTheme="minorEastAsia" w:hAnsiTheme="minorHAnsi"/>
          <w:color w:val="auto"/>
          <w:sz w:val="22"/>
          <w:lang w:val="en-US" w:eastAsia="en-US" w:bidi="ar-SA"/>
        </w:rPr>
      </w:pPr>
      <w:hyperlink w:anchor="_Toc457846103" w:history="1">
        <w:r w:rsidR="00B0584C" w:rsidRPr="00B2188F">
          <w:rPr>
            <w:rStyle w:val="Hyperlink"/>
            <w:rFonts w:asciiTheme="majorHAnsi" w:eastAsiaTheme="majorEastAsia" w:hAnsiTheme="majorHAnsi" w:cstheme="majorBidi"/>
            <w:bCs/>
          </w:rPr>
          <w:t>Desastre Natural</w:t>
        </w:r>
        <w:r w:rsidR="00B0584C">
          <w:rPr>
            <w:webHidden/>
          </w:rPr>
          <w:tab/>
        </w:r>
        <w:r w:rsidR="00B0584C">
          <w:rPr>
            <w:webHidden/>
          </w:rPr>
          <w:fldChar w:fldCharType="begin"/>
        </w:r>
        <w:r w:rsidR="00B0584C">
          <w:rPr>
            <w:webHidden/>
          </w:rPr>
          <w:instrText xml:space="preserve"> PAGEREF _Toc457846103 \h </w:instrText>
        </w:r>
        <w:r w:rsidR="00B0584C">
          <w:rPr>
            <w:webHidden/>
          </w:rPr>
        </w:r>
        <w:r w:rsidR="00B0584C">
          <w:rPr>
            <w:webHidden/>
          </w:rPr>
          <w:fldChar w:fldCharType="separate"/>
        </w:r>
        <w:r w:rsidR="00B367A8">
          <w:rPr>
            <w:webHidden/>
          </w:rPr>
          <w:t>7</w:t>
        </w:r>
        <w:r w:rsidR="00B0584C">
          <w:rPr>
            <w:webHidden/>
          </w:rPr>
          <w:fldChar w:fldCharType="end"/>
        </w:r>
      </w:hyperlink>
    </w:p>
    <w:p w14:paraId="77C44BE5" w14:textId="77777777" w:rsidR="00B0584C" w:rsidRDefault="00DD4337">
      <w:pPr>
        <w:pStyle w:val="TOC1"/>
        <w:rPr>
          <w:rFonts w:asciiTheme="minorHAnsi" w:eastAsiaTheme="minorEastAsia" w:hAnsiTheme="minorHAnsi"/>
          <w:color w:val="auto"/>
          <w:sz w:val="22"/>
          <w:lang w:val="en-US" w:eastAsia="en-US" w:bidi="ar-SA"/>
        </w:rPr>
      </w:pPr>
      <w:hyperlink w:anchor="_Toc457846104" w:history="1">
        <w:r w:rsidR="00B0584C" w:rsidRPr="00B2188F">
          <w:rPr>
            <w:rStyle w:val="Hyperlink"/>
          </w:rPr>
          <w:t>Secção 3</w:t>
        </w:r>
        <w:r w:rsidR="00B0584C">
          <w:rPr>
            <w:webHidden/>
          </w:rPr>
          <w:tab/>
        </w:r>
        <w:r w:rsidR="00B0584C">
          <w:rPr>
            <w:webHidden/>
          </w:rPr>
          <w:fldChar w:fldCharType="begin"/>
        </w:r>
        <w:r w:rsidR="00B0584C">
          <w:rPr>
            <w:webHidden/>
          </w:rPr>
          <w:instrText xml:space="preserve"> PAGEREF _Toc457846104 \h </w:instrText>
        </w:r>
        <w:r w:rsidR="00B0584C">
          <w:rPr>
            <w:webHidden/>
          </w:rPr>
        </w:r>
        <w:r w:rsidR="00B0584C">
          <w:rPr>
            <w:webHidden/>
          </w:rPr>
          <w:fldChar w:fldCharType="separate"/>
        </w:r>
        <w:r w:rsidR="00B367A8">
          <w:rPr>
            <w:webHidden/>
          </w:rPr>
          <w:t>7</w:t>
        </w:r>
        <w:r w:rsidR="00B0584C">
          <w:rPr>
            <w:webHidden/>
          </w:rPr>
          <w:fldChar w:fldCharType="end"/>
        </w:r>
      </w:hyperlink>
    </w:p>
    <w:p w14:paraId="40A08DD9" w14:textId="77777777" w:rsidR="00B0584C" w:rsidRDefault="00DD4337">
      <w:pPr>
        <w:pStyle w:val="TOC1"/>
        <w:rPr>
          <w:rFonts w:asciiTheme="minorHAnsi" w:eastAsiaTheme="minorEastAsia" w:hAnsiTheme="minorHAnsi"/>
          <w:color w:val="auto"/>
          <w:sz w:val="22"/>
          <w:lang w:val="en-US" w:eastAsia="en-US" w:bidi="ar-SA"/>
        </w:rPr>
      </w:pPr>
      <w:hyperlink w:anchor="_Toc457846105" w:history="1">
        <w:r w:rsidR="00B0584C" w:rsidRPr="00B2188F">
          <w:rPr>
            <w:rStyle w:val="Hyperlink"/>
            <w:rFonts w:asciiTheme="majorHAnsi" w:eastAsiaTheme="majorEastAsia" w:hAnsiTheme="majorHAnsi" w:cstheme="majorBidi"/>
          </w:rPr>
          <w:t>Alterações ao Manual de Licenciamento nos últimos 12 meses</w:t>
        </w:r>
        <w:r w:rsidR="00B0584C">
          <w:rPr>
            <w:webHidden/>
          </w:rPr>
          <w:tab/>
        </w:r>
        <w:r w:rsidR="00B0584C">
          <w:rPr>
            <w:webHidden/>
          </w:rPr>
          <w:fldChar w:fldCharType="begin"/>
        </w:r>
        <w:r w:rsidR="00B0584C">
          <w:rPr>
            <w:webHidden/>
          </w:rPr>
          <w:instrText xml:space="preserve"> PAGEREF _Toc457846105 \h </w:instrText>
        </w:r>
        <w:r w:rsidR="00B0584C">
          <w:rPr>
            <w:webHidden/>
          </w:rPr>
        </w:r>
        <w:r w:rsidR="00B0584C">
          <w:rPr>
            <w:webHidden/>
          </w:rPr>
          <w:fldChar w:fldCharType="separate"/>
        </w:r>
        <w:r w:rsidR="00B367A8">
          <w:rPr>
            <w:webHidden/>
          </w:rPr>
          <w:t>7</w:t>
        </w:r>
        <w:r w:rsidR="00B0584C">
          <w:rPr>
            <w:webHidden/>
          </w:rPr>
          <w:fldChar w:fldCharType="end"/>
        </w:r>
      </w:hyperlink>
    </w:p>
    <w:p w14:paraId="6A6E9FC3" w14:textId="77777777" w:rsidR="00B0584C" w:rsidRDefault="00DD4337">
      <w:pPr>
        <w:pStyle w:val="TOC1"/>
        <w:rPr>
          <w:rFonts w:asciiTheme="minorHAnsi" w:eastAsiaTheme="minorEastAsia" w:hAnsiTheme="minorHAnsi"/>
          <w:color w:val="auto"/>
          <w:sz w:val="22"/>
          <w:lang w:val="en-US" w:eastAsia="en-US" w:bidi="ar-SA"/>
        </w:rPr>
      </w:pPr>
      <w:hyperlink w:anchor="_Toc457846106" w:history="1">
        <w:r w:rsidR="00B0584C" w:rsidRPr="00B2188F">
          <w:rPr>
            <w:rStyle w:val="Hyperlink"/>
          </w:rPr>
          <w:t>Apêndice</w:t>
        </w:r>
        <w:r w:rsidR="00B0584C">
          <w:rPr>
            <w:webHidden/>
          </w:rPr>
          <w:tab/>
        </w:r>
        <w:r w:rsidR="00B0584C">
          <w:rPr>
            <w:webHidden/>
          </w:rPr>
          <w:fldChar w:fldCharType="begin"/>
        </w:r>
        <w:r w:rsidR="00B0584C">
          <w:rPr>
            <w:webHidden/>
          </w:rPr>
          <w:instrText xml:space="preserve"> PAGEREF _Toc457846106 \h </w:instrText>
        </w:r>
        <w:r w:rsidR="00B0584C">
          <w:rPr>
            <w:webHidden/>
          </w:rPr>
        </w:r>
        <w:r w:rsidR="00B0584C">
          <w:rPr>
            <w:webHidden/>
          </w:rPr>
          <w:fldChar w:fldCharType="separate"/>
        </w:r>
        <w:r w:rsidR="00B367A8">
          <w:rPr>
            <w:webHidden/>
          </w:rPr>
          <w:t>8</w:t>
        </w:r>
        <w:r w:rsidR="00B0584C">
          <w:rPr>
            <w:webHidden/>
          </w:rPr>
          <w:fldChar w:fldCharType="end"/>
        </w:r>
      </w:hyperlink>
    </w:p>
    <w:p w14:paraId="30F3E531" w14:textId="77777777" w:rsidR="00B0584C" w:rsidRDefault="00DD4337">
      <w:pPr>
        <w:pStyle w:val="TOC1"/>
        <w:rPr>
          <w:rFonts w:asciiTheme="minorHAnsi" w:eastAsiaTheme="minorEastAsia" w:hAnsiTheme="minorHAnsi"/>
          <w:color w:val="auto"/>
          <w:sz w:val="22"/>
          <w:lang w:val="en-US" w:eastAsia="en-US" w:bidi="ar-SA"/>
        </w:rPr>
      </w:pPr>
      <w:hyperlink w:anchor="_Toc457846107" w:history="1">
        <w:r w:rsidR="00B0584C" w:rsidRPr="00B2188F">
          <w:rPr>
            <w:rStyle w:val="Hyperlink"/>
            <w:rFonts w:asciiTheme="majorHAnsi" w:eastAsiaTheme="majorEastAsia" w:hAnsiTheme="majorHAnsi" w:cstheme="majorBidi"/>
            <w:bCs/>
          </w:rPr>
          <w:t>Definição de R</w:t>
        </w:r>
        <w:r w:rsidR="00B0584C" w:rsidRPr="00B2188F">
          <w:rPr>
            <w:rStyle w:val="Hyperlink"/>
            <w:rFonts w:asciiTheme="majorHAnsi" w:eastAsiaTheme="majorEastAsia" w:hAnsiTheme="majorHAnsi" w:cstheme="majorBidi"/>
          </w:rPr>
          <w:t>egiões</w:t>
        </w:r>
        <w:r w:rsidR="00B0584C">
          <w:rPr>
            <w:webHidden/>
          </w:rPr>
          <w:tab/>
        </w:r>
        <w:r w:rsidR="00B0584C">
          <w:rPr>
            <w:webHidden/>
          </w:rPr>
          <w:fldChar w:fldCharType="begin"/>
        </w:r>
        <w:r w:rsidR="00B0584C">
          <w:rPr>
            <w:webHidden/>
          </w:rPr>
          <w:instrText xml:space="preserve"> PAGEREF _Toc457846107 \h </w:instrText>
        </w:r>
        <w:r w:rsidR="00B0584C">
          <w:rPr>
            <w:webHidden/>
          </w:rPr>
        </w:r>
        <w:r w:rsidR="00B0584C">
          <w:rPr>
            <w:webHidden/>
          </w:rPr>
          <w:fldChar w:fldCharType="separate"/>
        </w:r>
        <w:r w:rsidR="00B367A8">
          <w:rPr>
            <w:webHidden/>
          </w:rPr>
          <w:t>8</w:t>
        </w:r>
        <w:r w:rsidR="00B0584C">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46094"/>
      <w:r>
        <w:t>Finalidade do Documento e Recursos</w:t>
      </w:r>
      <w:bookmarkEnd w:id="1"/>
      <w:bookmarkEnd w:id="2"/>
      <w:bookmarkEnd w:id="3"/>
    </w:p>
    <w:p w14:paraId="0AAB290E" w14:textId="6D289785" w:rsidR="0038541A" w:rsidRPr="001165AA" w:rsidRDefault="00BC6802" w:rsidP="00551301">
      <w:pPr>
        <w:pStyle w:val="BodyText"/>
      </w:pPr>
      <w:r>
        <w:t>Este Manual de Licenciamento fornece informações de suporte para clientes com um Contrato de Produtos e Serviços da Microsoft (MPSA) sobre a estrutura da conta, processos de encomendas, preços e outros termos.</w:t>
      </w:r>
      <w:r w:rsidR="006337A0">
        <w:t xml:space="preserve"> </w:t>
      </w:r>
      <w:r>
        <w:t>Todos os termos em maiúsculas utilizados, mas</w:t>
      </w:r>
      <w:r w:rsidR="00035F7B">
        <w:t> </w:t>
      </w:r>
      <w:r>
        <w:t>não definidos neste Manual de Licenciamento, terão os mesmos significados que lhes foram atribuídos no MPSA, incluindo os</w:t>
      </w:r>
      <w:r w:rsidR="00035F7B">
        <w:t> </w:t>
      </w:r>
      <w:r>
        <w:t>Termos de Produto.</w:t>
      </w:r>
    </w:p>
    <w:p w14:paraId="6352A80B" w14:textId="2F06E22A" w:rsidR="00BC6802" w:rsidRPr="001165AA" w:rsidRDefault="00BC6802" w:rsidP="00551301">
      <w:pPr>
        <w:pStyle w:val="BodyText"/>
      </w:pPr>
      <w:r>
        <w:t xml:space="preserve">Uma descrição geral do MPSA pode ser encontrada em </w:t>
      </w:r>
      <w:hyperlink r:id="rId15" w:history="1">
        <w:r>
          <w:rPr>
            <w:rStyle w:val="Hyperlink"/>
          </w:rPr>
          <w:t>http://www.microsoft.com/licensing/mpsa/</w:t>
        </w:r>
      </w:hyperlink>
      <w:r w:rsidRPr="006F5B5A">
        <w:rPr>
          <w:rStyle w:val="Hyperlink"/>
          <w:u w:val="none"/>
        </w:rPr>
        <w:t>.</w:t>
      </w:r>
      <w:r w:rsidR="006337A0" w:rsidRPr="006F5B5A">
        <w:rPr>
          <w:rStyle w:val="Hyperlink"/>
          <w:u w:val="none"/>
        </w:rPr>
        <w:t xml:space="preserve"> </w:t>
      </w:r>
    </w:p>
    <w:p w14:paraId="7505A368" w14:textId="67151BA4" w:rsidR="00BC6802" w:rsidRPr="001165AA" w:rsidRDefault="00BC6802" w:rsidP="00BC6802">
      <w:pPr>
        <w:pStyle w:val="BodyText"/>
      </w:pPr>
      <w:r>
        <w:t xml:space="preserve">Para obter a versão mais recente deste documento, detalhes sobre os direitos de utilização e os Termos de Produto, consulte </w:t>
      </w:r>
      <w:hyperlink r:id="rId16" w:history="1">
        <w:r>
          <w:rPr>
            <w:rStyle w:val="Hyperlink"/>
          </w:rPr>
          <w:t>http://www.microsoft.com/licensing/contracts</w:t>
        </w:r>
      </w:hyperlink>
      <w:r w:rsidRPr="006F5B5A">
        <w:rPr>
          <w:rStyle w:val="Hyperlink"/>
          <w:u w:val="none"/>
        </w:rPr>
        <w:t>.</w:t>
      </w:r>
      <w:r w:rsidR="006337A0">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46095"/>
      <w:r>
        <w:lastRenderedPageBreak/>
        <w:t>Secção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46096"/>
      <w:r>
        <w:rPr>
          <w:rFonts w:asciiTheme="majorHAnsi" w:eastAsiaTheme="majorEastAsia" w:hAnsiTheme="majorHAnsi" w:cstheme="majorBidi"/>
          <w:bCs/>
          <w:color w:val="8064A2" w:themeColor="accent4"/>
          <w:sz w:val="28"/>
          <w:szCs w:val="26"/>
        </w:rPr>
        <w:t>Como funciona o Contrato de Produtos e Serviços da Microsoft</w:t>
      </w:r>
      <w:bookmarkEnd w:id="7"/>
      <w:bookmarkEnd w:id="8"/>
      <w:bookmarkEnd w:id="9"/>
    </w:p>
    <w:p w14:paraId="3D0499DA" w14:textId="77777777" w:rsidR="00EE5D60" w:rsidRPr="001165AA" w:rsidRDefault="00FD4C65" w:rsidP="00CC6A48">
      <w:pPr>
        <w:pStyle w:val="Thirdheading"/>
      </w:pPr>
      <w:r>
        <w:rPr>
          <w:b/>
        </w:rPr>
        <w:t>Estrutura da conta</w:t>
      </w:r>
    </w:p>
    <w:p w14:paraId="748F15FC" w14:textId="663FC9DB" w:rsidR="002B4822" w:rsidRPr="001165AA" w:rsidRDefault="002B4822" w:rsidP="002B4822">
      <w:pPr>
        <w:pStyle w:val="BodyText"/>
      </w:pPr>
      <w:r>
        <w:t>Com o Contrato de Produtos e Serviços da Microsoft, o Cliente tem a flexibilidade de configurar a estrutura de aquisição pretendida para as aquisições de Licenciamento em Volume com Contas de Aquisição.</w:t>
      </w:r>
      <w:r w:rsidR="006337A0">
        <w:t xml:space="preserve"> </w:t>
      </w:r>
      <w:r>
        <w:t>Uma Conta de Aquisição é definida como qualquer unidade dentro da organização do Cliente que este pretenda ativar para adquirir Software e Serviços Online.</w:t>
      </w:r>
      <w:r w:rsidR="006337A0">
        <w:t xml:space="preserve"> </w:t>
      </w:r>
      <w:r>
        <w:t>As Contas de Aquisição do Cliente estão associadas ao MPSA da organização do Cliente, através da entidade com personalidade jurídica definida do Cliente no formulário de registo da Conta de Aquisição.</w:t>
      </w:r>
    </w:p>
    <w:p w14:paraId="71AABA69" w14:textId="19BCDD26" w:rsidR="00551301" w:rsidRPr="001165AA" w:rsidRDefault="00986457" w:rsidP="00551301">
      <w:pPr>
        <w:pStyle w:val="BodyText"/>
      </w:pPr>
      <w:r>
        <w:t>Existem três tipos de Contas de Aquisição suportadas para diferentes tipos de Cliente: Comercial, Governamental e Académica.</w:t>
      </w:r>
      <w:r w:rsidR="006337A0">
        <w:t xml:space="preserve"> </w:t>
      </w:r>
      <w:r>
        <w:t xml:space="preserve">Para se qualificar para uma Conta de Aquisição Governamental ou Académica, uma organização tem de cumprir os requisitos de elegibilidade relevantes que podem ser encontrados em </w:t>
      </w:r>
      <w:hyperlink r:id="rId17" w:history="1">
        <w:r>
          <w:rPr>
            <w:rStyle w:val="Hyperlink"/>
          </w:rPr>
          <w:t>http://www.microsoftvolumelicensing.com/contracts</w:t>
        </w:r>
      </w:hyperlink>
      <w:r>
        <w:t>.</w:t>
      </w:r>
    </w:p>
    <w:p w14:paraId="57454CD8" w14:textId="374A42E2" w:rsidR="002B4822" w:rsidRPr="001165AA" w:rsidRDefault="002B4822" w:rsidP="002B4822">
      <w:pPr>
        <w:pStyle w:val="BodyText"/>
      </w:pPr>
      <w:r>
        <w:t>A estrutura da Conta de Aquisição flexível permite ao Cliente definir e redefinir a configuração de aquisição da organização do Cliente com base nas necessidades comerciais do Cliente.</w:t>
      </w:r>
      <w:r w:rsidR="006337A0">
        <w:t xml:space="preserve"> </w:t>
      </w:r>
      <w:r>
        <w:t>Estas contas podem ser estabelecidas ao nível da organização, nível da afiliada, nível do departamento ou até mesmo para um subconjunto de pessoal.</w:t>
      </w:r>
    </w:p>
    <w:p w14:paraId="18A1DAD4" w14:textId="03035CE8" w:rsidR="003B5822" w:rsidRPr="001165AA" w:rsidRDefault="002B4822" w:rsidP="002B4822">
      <w:pPr>
        <w:pStyle w:val="BodyText"/>
      </w:pPr>
      <w:r>
        <w:t>O primeiro passo é decidir como o Cliente pretende que a respetiva organização adquira Produtos.</w:t>
      </w:r>
      <w:r w:rsidR="006337A0">
        <w:t xml:space="preserve"> </w:t>
      </w:r>
      <w:r>
        <w:t>Desta forma, irá ajudar a estrutura que é estabelecida para as aquisições de transações de Licenciamento em Volume do Cliente.</w:t>
      </w:r>
      <w:r w:rsidR="006337A0">
        <w:t xml:space="preserve"> </w:t>
      </w:r>
    </w:p>
    <w:p w14:paraId="1454C11F" w14:textId="02932750" w:rsidR="00EE5D60" w:rsidRPr="001165AA" w:rsidRDefault="00EE5D60" w:rsidP="003B5822">
      <w:pPr>
        <w:pStyle w:val="BodyText"/>
      </w:pPr>
      <w:r>
        <w:t>Por exemplo, se o Cliente pretender gerir centralmente as aquisições, é possível registar uma Conta de Aquisição:</w:t>
      </w:r>
      <w:r w:rsidR="006337A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CONTA DE AQUISIÇÃO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5DBF43A1" w:rsidR="002C6347" w:rsidRPr="001165AA" w:rsidRDefault="001273AD" w:rsidP="00EF5842">
      <w:pPr>
        <w:pStyle w:val="BodyText"/>
        <w:spacing w:before="240"/>
      </w:pPr>
      <w:r>
        <w:t>Como alternativa, se o Cliente pretender ter uma abordagem mais descentralizada, pode registar múltiplas Contas de Aquisição e</w:t>
      </w:r>
      <w:r w:rsidR="000E3EB0">
        <w:t> </w:t>
      </w:r>
      <w:r>
        <w:t>também poderá ter diferentes tipos de Conta de Aquisição através de um único MPSA:</w:t>
      </w:r>
      <w:r w:rsidR="006337A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CONTA DE AQUISIÇÃO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Educação</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CONTA DE AQUISIÇÃO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F60100">
      <w:pPr>
        <w:pStyle w:val="Thirdheading"/>
        <w:spacing w:line="200" w:lineRule="atLeast"/>
      </w:pPr>
    </w:p>
    <w:p w14:paraId="0F5600B1" w14:textId="77777777" w:rsidR="000F6294" w:rsidRPr="001165AA" w:rsidRDefault="000F6294" w:rsidP="00CC6A48">
      <w:pPr>
        <w:pStyle w:val="Thirdheading"/>
      </w:pPr>
      <w:r>
        <w:rPr>
          <w:b/>
        </w:rPr>
        <w:t>Mês de aniversário da Conta de Aquisição</w:t>
      </w:r>
    </w:p>
    <w:p w14:paraId="716531FB" w14:textId="04AB4163" w:rsidR="00BA0D95" w:rsidRPr="001165AA" w:rsidRDefault="00F55CB5" w:rsidP="000F6294">
      <w:pPr>
        <w:pStyle w:val="BodyText"/>
      </w:pPr>
      <w:r>
        <w:t>Durante o registo de cada Conta de Aquisição, o Cliente pode escolher um mês específico em que devem ser alinhadas aquisições que tenham vigência de subscrição, para fornecer um único aniversário consistente para renovações.</w:t>
      </w:r>
      <w:r w:rsidR="006337A0">
        <w:t xml:space="preserve"> </w:t>
      </w:r>
      <w:r>
        <w:t>Por exemplo, se uma das contas do Cliente escolher janeiro como o respetivo mês de aniversário, qualquer aquisição de Serviços Online efetuada ao abrigo da conta será alinhada com esse mês, resultando em renovações dos Serviços Online que ocorrem em janeiro de todos os anos.</w:t>
      </w:r>
      <w:r w:rsidR="006337A0">
        <w:t xml:space="preserve"> </w:t>
      </w:r>
      <w:r>
        <w:t>Pode alterar esta designação conforme necessário para a organização do Cliente através do Microsoft Business Center.</w:t>
      </w:r>
      <w:r w:rsidR="006337A0">
        <w:t xml:space="preserve"> </w:t>
      </w:r>
      <w:r>
        <w:t>Quaisquer alterações só terão impacto em encomendas futuras.</w:t>
      </w:r>
    </w:p>
    <w:p w14:paraId="523B666A" w14:textId="6D0E8187" w:rsidR="009C6617" w:rsidRDefault="00351635" w:rsidP="000F6294">
      <w:pPr>
        <w:pStyle w:val="BodyText"/>
      </w:pPr>
      <w:r>
        <w:t>Para as Contas de Aquisição Governamentais e Académicas, é possível especificar uma data de fim para as aquisições.</w:t>
      </w:r>
      <w:r w:rsidR="006337A0">
        <w:t xml:space="preserve"> </w:t>
      </w:r>
      <w:r>
        <w:t>Quando esta opção for selecionada, a vigência da subscrição não ultrapassará esta data.</w:t>
      </w:r>
      <w:r w:rsidR="006337A0">
        <w:t xml:space="preserve"> </w:t>
      </w:r>
      <w:r>
        <w:t>Se necessário, é possível alargar esta data.</w:t>
      </w:r>
      <w:r w:rsidR="006337A0">
        <w:t xml:space="preserve"> </w:t>
      </w:r>
    </w:p>
    <w:p w14:paraId="46BD1CB4" w14:textId="77777777" w:rsidR="00F60100" w:rsidRDefault="00F60100" w:rsidP="000F6294">
      <w:pPr>
        <w:pStyle w:val="BodyText"/>
      </w:pPr>
    </w:p>
    <w:p w14:paraId="600302E6" w14:textId="77777777" w:rsidR="00F60100" w:rsidRPr="001165AA" w:rsidRDefault="00F60100" w:rsidP="000F6294">
      <w:pPr>
        <w:pStyle w:val="BodyText"/>
      </w:pPr>
    </w:p>
    <w:p w14:paraId="3E54FF24" w14:textId="77777777" w:rsidR="00EE5D60" w:rsidRPr="001165AA" w:rsidRDefault="00EE5D60" w:rsidP="007F390C">
      <w:pPr>
        <w:pStyle w:val="Thirdheading"/>
        <w:spacing w:before="80" w:after="80"/>
      </w:pPr>
      <w:r>
        <w:rPr>
          <w:b/>
        </w:rPr>
        <w:lastRenderedPageBreak/>
        <w:t>O Administrador do Contrato</w:t>
      </w:r>
    </w:p>
    <w:p w14:paraId="5DCCE091" w14:textId="57003A3A" w:rsidR="00EE5D60" w:rsidRPr="001165AA" w:rsidRDefault="00B60D55" w:rsidP="00EE5D60">
      <w:pPr>
        <w:pStyle w:val="BodyText"/>
      </w:pPr>
      <w:r>
        <w:t>Cada MPSA tem de ser assinado por uma entidade com personalidade jurídica que seja o “Cliente”. O Cliente designará uma Conta de</w:t>
      </w:r>
      <w:r w:rsidR="00766FCC">
        <w:t> </w:t>
      </w:r>
      <w:r>
        <w:t>Aquisição como um Administrador do Contrato.</w:t>
      </w:r>
      <w:r w:rsidR="006337A0">
        <w:t xml:space="preserve"> </w:t>
      </w:r>
      <w:r>
        <w:t>Poderão ser adicionadas e associadas outras Contas de Aquisição ao Administrador do</w:t>
      </w:r>
      <w:r w:rsidR="008D6A76">
        <w:t> </w:t>
      </w:r>
      <w:r>
        <w:t>Contrato.</w:t>
      </w:r>
      <w:r w:rsidR="006337A0">
        <w:t xml:space="preserve"> </w:t>
      </w:r>
      <w:r>
        <w:t>Isto fornece ao Administrador do Contrato uma visão consolidada de todos os recursos dentro da organização e uma única fonte conveniente para gerir todas as Contas de Aquisição.</w:t>
      </w:r>
      <w:r w:rsidR="006337A0">
        <w:t xml:space="preserve"> </w:t>
      </w:r>
      <w:r>
        <w:t>A conta do Administrador do Contrato:</w:t>
      </w:r>
    </w:p>
    <w:p w14:paraId="17D00860" w14:textId="77777777" w:rsidR="00EE5D60" w:rsidRPr="001165AA" w:rsidRDefault="00EE5D60" w:rsidP="00732568">
      <w:pPr>
        <w:pStyle w:val="BodyText"/>
        <w:numPr>
          <w:ilvl w:val="0"/>
          <w:numId w:val="16"/>
        </w:numPr>
        <w:spacing w:after="0"/>
      </w:pPr>
      <w:r>
        <w:t>É fornecida com uma visão geral dos recursos em todas as Contas de Aquisição.</w:t>
      </w:r>
    </w:p>
    <w:p w14:paraId="22DDFB5B" w14:textId="5DF06EAD" w:rsidR="00EE5D60" w:rsidRPr="001165AA" w:rsidRDefault="00EE5D60" w:rsidP="00732568">
      <w:pPr>
        <w:pStyle w:val="BodyText"/>
        <w:numPr>
          <w:ilvl w:val="0"/>
          <w:numId w:val="16"/>
        </w:numPr>
        <w:spacing w:after="0"/>
      </w:pPr>
      <w:r>
        <w:t>É notificada quando uma Conta de Aquisição é associada ao seu MPSA.</w:t>
      </w:r>
    </w:p>
    <w:p w14:paraId="3900998A" w14:textId="77777777" w:rsidR="00EE5D60" w:rsidRPr="001165AA" w:rsidRDefault="00EE5D60" w:rsidP="00732568">
      <w:pPr>
        <w:pStyle w:val="BodyText"/>
        <w:numPr>
          <w:ilvl w:val="0"/>
          <w:numId w:val="16"/>
        </w:numPr>
        <w:spacing w:after="0"/>
      </w:pPr>
      <w:r>
        <w:t>Tem o direito de cessar a associação de quaisquer Contas de Aquisição ao MPSA.</w:t>
      </w:r>
    </w:p>
    <w:p w14:paraId="670F27E9" w14:textId="77777777" w:rsidR="00EE5D60" w:rsidRPr="001165AA" w:rsidRDefault="00EE5D60" w:rsidP="00732568">
      <w:pPr>
        <w:pStyle w:val="BodyText"/>
        <w:numPr>
          <w:ilvl w:val="0"/>
          <w:numId w:val="16"/>
        </w:numPr>
        <w:spacing w:after="0"/>
      </w:pPr>
      <w:r>
        <w:t>Tem o direito de cessar o próprio MPSA.</w:t>
      </w:r>
    </w:p>
    <w:p w14:paraId="4B7AFB3F" w14:textId="77777777" w:rsidR="00732568" w:rsidRPr="001165AA" w:rsidRDefault="00732568" w:rsidP="00A80953">
      <w:pPr>
        <w:pStyle w:val="BodyText"/>
        <w:numPr>
          <w:ilvl w:val="0"/>
          <w:numId w:val="16"/>
        </w:numPr>
        <w:spacing w:after="0"/>
      </w:pPr>
      <w:r>
        <w:t xml:space="preserve">Não pode encomendar para outras Contas de Aquisição nem gerir os recursos dessas contas. </w:t>
      </w:r>
    </w:p>
    <w:p w14:paraId="4805856A" w14:textId="7316D0FD" w:rsidR="00E66243" w:rsidRPr="004C7DD3" w:rsidRDefault="00E66243" w:rsidP="008073E9">
      <w:pPr>
        <w:pStyle w:val="BodyText"/>
        <w:spacing w:before="120" w:after="0"/>
        <w:rPr>
          <w:spacing w:val="-2"/>
        </w:rPr>
      </w:pPr>
      <w:r w:rsidRPr="004C7DD3">
        <w:rPr>
          <w:spacing w:val="-2"/>
        </w:rPr>
        <w:t>O Cliente (entidade com personalidade jurídica) do Administrador do Contrato é utilizado para a definição de Empresa Afiliada do MPSA.</w:t>
      </w:r>
    </w:p>
    <w:p w14:paraId="16DC1212" w14:textId="77777777" w:rsidR="00BA0D95" w:rsidRPr="001165AA" w:rsidRDefault="00BA0D95" w:rsidP="007F390C">
      <w:pPr>
        <w:pStyle w:val="Thirdheading"/>
        <w:spacing w:before="80" w:after="80"/>
      </w:pPr>
      <w:r>
        <w:rPr>
          <w:b/>
        </w:rPr>
        <w:t>Parceiros</w:t>
      </w:r>
    </w:p>
    <w:p w14:paraId="13ADF8DC" w14:textId="45D394C9" w:rsidR="00BA0D95" w:rsidRPr="001165AA" w:rsidRDefault="00DF4813" w:rsidP="001A73E7">
      <w:pPr>
        <w:pStyle w:val="BodyText"/>
        <w:spacing w:after="0"/>
      </w:pPr>
      <w:r>
        <w:t>O Cliente poderá efetuar encomendas ao abrigo da sua Conta de Aquisição MPSA através de um Parceiro de Soluções de Licenciamento (LSPs) autorizado a revender Produtos da Microsoft através do MPSA.</w:t>
      </w:r>
      <w:r w:rsidR="006337A0">
        <w:t xml:space="preserve"> </w:t>
      </w:r>
      <w:r>
        <w:t>Cada Conta de Aquisição poderá escolher um determinado LSP que irá trabalhar com o Cliente para registar as Contas de Aquisição e criar eletronicamente o contrato com assinatura eletrónica</w:t>
      </w:r>
      <w:r w:rsidR="00087B2C">
        <w:rPr>
          <w:rStyle w:val="FootnoteReference"/>
        </w:rPr>
        <w:footnoteReference w:id="2"/>
      </w:r>
      <w:r w:rsidR="00087B2C">
        <w:t>.</w:t>
      </w:r>
      <w:r w:rsidR="006337A0">
        <w:t xml:space="preserve"> </w:t>
      </w:r>
      <w:r>
        <w:t>O Cliente pode adicionar LSPs às respetivas contas ao longo do tempo conforme necessário para aquisição transacional.</w:t>
      </w:r>
      <w:r w:rsidR="006337A0">
        <w:t xml:space="preserve"> </w:t>
      </w:r>
      <w:r>
        <w:t xml:space="preserve">Para mais informações relativamente aos Parceiros em todo o mundo na localização do Cliente, consulte </w:t>
      </w:r>
      <w:hyperlink r:id="rId18" w:history="1">
        <w:r>
          <w:rPr>
            <w:rStyle w:val="Hyperlink"/>
          </w:rPr>
          <w:t>http://pinpoint.microsoft.com</w:t>
        </w:r>
      </w:hyperlink>
      <w:r>
        <w:rPr>
          <w:color w:val="FF0000"/>
        </w:rPr>
        <w:t>.</w:t>
      </w:r>
    </w:p>
    <w:p w14:paraId="1E9FBD4F" w14:textId="19C7971B" w:rsidR="00F360FC" w:rsidRPr="001165AA" w:rsidRDefault="00F360FC" w:rsidP="007F390C">
      <w:pPr>
        <w:pStyle w:val="Thirdheading"/>
        <w:spacing w:before="80" w:after="80"/>
      </w:pPr>
      <w:r>
        <w:rPr>
          <w:b/>
        </w:rPr>
        <w:t>Vendas Diretas</w:t>
      </w:r>
    </w:p>
    <w:p w14:paraId="712E4874" w14:textId="0C8821C7" w:rsidR="00F360FC" w:rsidRPr="001165AA" w:rsidRDefault="000273F6" w:rsidP="00F360FC">
      <w:pPr>
        <w:pStyle w:val="BodyText"/>
        <w:spacing w:after="0"/>
      </w:pPr>
      <w:r>
        <w:t>Determinados comerciais da Microsoft estão autorizados a oferecer Produtos através do MPSA e poderão trabalhar com o Cliente para registar as Contas de Aquisição.</w:t>
      </w:r>
    </w:p>
    <w:p w14:paraId="79D98F33" w14:textId="38B7D733" w:rsidR="003B5822" w:rsidRPr="001165AA" w:rsidRDefault="00CE3059" w:rsidP="007F390C">
      <w:pPr>
        <w:pStyle w:val="Hdg1noborder"/>
        <w:spacing w:before="160"/>
        <w:rPr>
          <w:rFonts w:eastAsiaTheme="majorEastAsia"/>
        </w:rPr>
      </w:pPr>
      <w:bookmarkStart w:id="10" w:name="_Toc403380297"/>
      <w:bookmarkStart w:id="11" w:name="_Toc403985015"/>
      <w:bookmarkStart w:id="12" w:name="_Toc457846097"/>
      <w:r>
        <w:rPr>
          <w:rFonts w:asciiTheme="majorHAnsi" w:eastAsiaTheme="majorEastAsia" w:hAnsiTheme="majorHAnsi" w:cstheme="majorBidi"/>
          <w:bCs/>
          <w:color w:val="8064A2" w:themeColor="accent4"/>
          <w:sz w:val="28"/>
          <w:szCs w:val="26"/>
        </w:rPr>
        <w:t>Aquisição Transacional</w:t>
      </w:r>
      <w:bookmarkEnd w:id="10"/>
      <w:bookmarkEnd w:id="11"/>
      <w:bookmarkEnd w:id="12"/>
    </w:p>
    <w:p w14:paraId="2A578B5E" w14:textId="77777777" w:rsidR="009D6481" w:rsidRPr="001165AA" w:rsidRDefault="00FD50F2" w:rsidP="007F390C">
      <w:pPr>
        <w:pStyle w:val="Thirdheading"/>
        <w:spacing w:before="80" w:after="80"/>
      </w:pPr>
      <w:r>
        <w:rPr>
          <w:b/>
        </w:rPr>
        <w:t>Produtos</w:t>
      </w:r>
    </w:p>
    <w:p w14:paraId="7B8A6817" w14:textId="7A540647" w:rsidR="009D6481" w:rsidRPr="001165AA" w:rsidRDefault="00C72F37" w:rsidP="009D6481">
      <w:pPr>
        <w:pStyle w:val="BodyText"/>
      </w:pPr>
      <w:r>
        <w:t>O Cliente pode encomendar a maior parte dos Produtos de Licenciamento em Volume da Microsoft através do MPSA.</w:t>
      </w:r>
      <w:r w:rsidR="006337A0">
        <w:t xml:space="preserve"> </w:t>
      </w:r>
      <w:r>
        <w:t xml:space="preserve">Para uma lista completa de Produtos disponíveis através do MPSA, consulte os Termos de Produto em </w:t>
      </w:r>
      <w:hyperlink r:id="rId19" w:history="1">
        <w:r>
          <w:rPr>
            <w:rStyle w:val="Hyperlink"/>
          </w:rPr>
          <w:t>http://www.microsoft.com/licensing/contracts</w:t>
        </w:r>
      </w:hyperlink>
      <w:r>
        <w:t>.</w:t>
      </w:r>
      <w:r w:rsidR="006337A0">
        <w:t xml:space="preserve"> </w:t>
      </w:r>
    </w:p>
    <w:p w14:paraId="07C83D7C" w14:textId="77777777" w:rsidR="009D6481" w:rsidRPr="001165AA" w:rsidRDefault="00FD50F2" w:rsidP="007F390C">
      <w:pPr>
        <w:pStyle w:val="Thirdheading"/>
        <w:spacing w:before="80" w:after="80"/>
      </w:pPr>
      <w:r>
        <w:rPr>
          <w:b/>
        </w:rPr>
        <w:t>Acesso a transferências e informações de conta</w:t>
      </w:r>
    </w:p>
    <w:p w14:paraId="27EB6CBB" w14:textId="1FB9C92F" w:rsidR="009D6481" w:rsidRPr="007C5F1A" w:rsidRDefault="003732E1" w:rsidP="00994CAB">
      <w:pPr>
        <w:pStyle w:val="BodyText"/>
        <w:rPr>
          <w:spacing w:val="-2"/>
        </w:rPr>
      </w:pPr>
      <w:r w:rsidRPr="007C5F1A">
        <w:rPr>
          <w:spacing w:val="-2"/>
        </w:rPr>
        <w:t>Terá acesso ao Microsoft Business Center para transferir Software, aceder a chaves de Produto, ver o seu portefólio de licenças e</w:t>
      </w:r>
      <w:r w:rsidR="006E1BB0" w:rsidRPr="007C5F1A">
        <w:rPr>
          <w:spacing w:val="-2"/>
        </w:rPr>
        <w:t> </w:t>
      </w:r>
      <w:r w:rsidRPr="007C5F1A">
        <w:rPr>
          <w:spacing w:val="-2"/>
        </w:rPr>
        <w:t xml:space="preserve">serviços do Cliente e fornecer Serviços Online. O Cliente pode aceder ao Microsoft Business Center em </w:t>
      </w:r>
      <w:hyperlink r:id="rId20" w:history="1">
        <w:r w:rsidRPr="007C5F1A">
          <w:rPr>
            <w:rStyle w:val="Hyperlink"/>
            <w:spacing w:val="-2"/>
          </w:rPr>
          <w:t>https://licensing.microsoft.com/customer/</w:t>
        </w:r>
      </w:hyperlink>
      <w:r w:rsidRPr="007C5F1A">
        <w:rPr>
          <w:color w:val="1F497D"/>
          <w:spacing w:val="-2"/>
        </w:rPr>
        <w:t>.</w:t>
      </w:r>
    </w:p>
    <w:p w14:paraId="0DB6FBA2" w14:textId="0E9DB4C2" w:rsidR="008E77D5" w:rsidRPr="001165AA" w:rsidRDefault="0020545D" w:rsidP="007F390C">
      <w:pPr>
        <w:pStyle w:val="Thirdheading"/>
        <w:spacing w:before="80" w:after="80"/>
      </w:pPr>
      <w:r>
        <w:rPr>
          <w:b/>
        </w:rPr>
        <w:t>Níveis de preços</w:t>
      </w:r>
    </w:p>
    <w:p w14:paraId="3FE02415" w14:textId="282D29B6" w:rsidR="00D17BBE" w:rsidRPr="001165AA" w:rsidRDefault="009D5624" w:rsidP="00E30CB7">
      <w:pPr>
        <w:pStyle w:val="BodyText"/>
      </w:pPr>
      <w:r>
        <w:t>O Cliente tem de atingir um mínimo de 500 pontos por Família de Produtos anualmente para se qualificar para encomendar Produtos nessa Família de Produtos.</w:t>
      </w:r>
      <w:r w:rsidR="006337A0">
        <w:t xml:space="preserve"> </w:t>
      </w:r>
      <w:r>
        <w:t>Como alternativa, o Cliente poderá qualificar-se encomendando pelo menos 250 pontos para Serviços Online nessa Família de Produtos ou associando um contrato qualificável ativo (Inscrição Enterprise, Inscrição Enterprise Subscription ou</w:t>
      </w:r>
      <w:r w:rsidR="000226A2">
        <w:t> </w:t>
      </w:r>
      <w:r>
        <w:t>Contrato Select Plus) ao MPSA.</w:t>
      </w:r>
      <w:r w:rsidR="006337A0">
        <w:t xml:space="preserve"> </w:t>
      </w:r>
      <w:r>
        <w:t>O Cliente poderá utilizar um contrato qualificável diferente para cada Família de Produtos.</w:t>
      </w:r>
      <w:r w:rsidR="006337A0">
        <w:t xml:space="preserve"> </w:t>
      </w:r>
      <w:r>
        <w:t>No entanto, o Cliente tem de (1) ser uma Empresa Afiliada e (2) ter obtido permissão deste Cliente que celebrou o contrato qualificável a</w:t>
      </w:r>
      <w:r w:rsidR="000226A2">
        <w:t> </w:t>
      </w:r>
      <w:r>
        <w:t>associar ao MPSA.</w:t>
      </w:r>
      <w:r w:rsidR="006337A0">
        <w:t xml:space="preserve"> </w:t>
      </w:r>
      <w:r>
        <w:t>O Cliente poderá utilizar os Serviços do Microsoft Azure sem cumprir o requisito de ponto mínimo.</w:t>
      </w:r>
    </w:p>
    <w:p w14:paraId="14D5163E" w14:textId="65AECCF8" w:rsidR="00BC6802" w:rsidRPr="001165AA" w:rsidRDefault="00433D47" w:rsidP="00E30CB7">
      <w:pPr>
        <w:pStyle w:val="BodyText"/>
      </w:pPr>
      <w:r>
        <w:t>As Contas de Aquisição Comerciais têm quatro níveis de preços disponíveis por Família de Produtos, conforme definido abaixo. Para as Contas de Aquisição Comerciais, os pontos para cada nível de preços estão listados na seguinte tabela.</w:t>
      </w:r>
      <w:r w:rsidR="006337A0">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Nível de preços – Comercial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anual de pontos por Família de Produtos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para OLS Apenas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lastRenderedPageBreak/>
        <w:t>Por predefinição, o nível de preços inicial na assinatura é o nível A. A organização do Cliente mover-se-á automaticamente para um nível de preços mais favorável se um destes eventos ocorrer:</w:t>
      </w:r>
    </w:p>
    <w:p w14:paraId="4CE0D1CA" w14:textId="20870693" w:rsidR="00A80953" w:rsidRPr="001165AA" w:rsidRDefault="008E77D5" w:rsidP="00A80953">
      <w:pPr>
        <w:pStyle w:val="BodyText"/>
        <w:numPr>
          <w:ilvl w:val="0"/>
          <w:numId w:val="16"/>
        </w:numPr>
        <w:spacing w:after="0"/>
      </w:pPr>
      <w:r>
        <w:t>O Cliente efetua uma encomenda que tenha pontos suficientes para qualificar o Cliente para o nível de preços seguinte para uma Família de Produtos.</w:t>
      </w:r>
    </w:p>
    <w:p w14:paraId="67DCFF8F" w14:textId="48660B9F" w:rsidR="00A80953" w:rsidRPr="001165AA" w:rsidRDefault="00A80953" w:rsidP="00A80953">
      <w:pPr>
        <w:pStyle w:val="BodyText"/>
        <w:numPr>
          <w:ilvl w:val="0"/>
          <w:numId w:val="16"/>
        </w:numPr>
        <w:spacing w:after="0"/>
      </w:pPr>
      <w:r>
        <w:t xml:space="preserve">O Cliente associa um contrato qualificável ativo que tenha um nível de preços para uma Família de Produtos mais favorável do que a Família de Produtos correspondente no MPSA, sendo que nesse caso o nível de preços mais favorável aplicar-se-á a encomendas futuras. </w:t>
      </w:r>
    </w:p>
    <w:p w14:paraId="0374531C" w14:textId="02AA42D7" w:rsidR="00D17BBE" w:rsidRPr="001165AA" w:rsidRDefault="00D17BBE" w:rsidP="008073E9">
      <w:pPr>
        <w:pStyle w:val="BodyText"/>
        <w:spacing w:before="120"/>
      </w:pPr>
      <w:r>
        <w:t>As Contas de Aquisição Governamentais e Académicas têm, cada uma, um único nível de preços que reflete os preços mais benéficos que a Microsoft consegue oferecer a estes tipos de Cliente através do MPSA.</w:t>
      </w:r>
      <w:r w:rsidR="006337A0">
        <w:t xml:space="preserve"> </w:t>
      </w:r>
      <w:r>
        <w:t>Para Governamental, é equivalente ao nível de preços comercial de nível D.</w:t>
      </w:r>
    </w:p>
    <w:p w14:paraId="20A50E73" w14:textId="77777777" w:rsidR="00CE4C53" w:rsidRPr="001165AA" w:rsidRDefault="0020545D" w:rsidP="00A80953">
      <w:pPr>
        <w:pStyle w:val="Thirdheading"/>
      </w:pPr>
      <w:r>
        <w:rPr>
          <w:b/>
        </w:rPr>
        <w:t>Pontos</w:t>
      </w:r>
    </w:p>
    <w:p w14:paraId="77280ADF" w14:textId="65EA2CE5" w:rsidR="00CE4C53" w:rsidRPr="001165AA" w:rsidRDefault="0020545D" w:rsidP="00CE4C53">
      <w:pPr>
        <w:pStyle w:val="BodyText"/>
      </w:pPr>
      <w:r>
        <w:t>A Microsoft categoriza os Produtos em três Famílias de Produtos distintas</w:t>
      </w:r>
      <w:r>
        <w:rPr>
          <w:szCs w:val="22"/>
        </w:rPr>
        <w:t xml:space="preserve"> com níveis de preços em camadas</w:t>
      </w:r>
      <w:r>
        <w:t>: Aplicações, Sistemas e Servidores.</w:t>
      </w:r>
      <w:r w:rsidR="006337A0">
        <w:t xml:space="preserve"> </w:t>
      </w:r>
      <w:r>
        <w:t>O nível de preços para cada Família de Produtos é baseado nos pontos que o Cliente ganha em aquisições nestas Famílias de Produtos.</w:t>
      </w:r>
      <w:r w:rsidR="006337A0">
        <w:t xml:space="preserve"> </w:t>
      </w:r>
      <w:r>
        <w:t>Os pontos são contabilizados em todas as Contas de Aquisição do Cliente do mesmo tipo (</w:t>
      </w:r>
      <w:r>
        <w:rPr>
          <w:i/>
        </w:rPr>
        <w:t>por exemplo</w:t>
      </w:r>
      <w:r>
        <w:t xml:space="preserve">, Comercial). </w:t>
      </w:r>
    </w:p>
    <w:p w14:paraId="5635F696" w14:textId="65496817" w:rsidR="00CE4C53" w:rsidRPr="00AD3A43" w:rsidRDefault="00CE4C53" w:rsidP="00A80953">
      <w:pPr>
        <w:pStyle w:val="BodyText"/>
        <w:numPr>
          <w:ilvl w:val="0"/>
          <w:numId w:val="16"/>
        </w:numPr>
        <w:spacing w:after="0"/>
        <w:rPr>
          <w:spacing w:val="-2"/>
        </w:rPr>
      </w:pPr>
      <w:r w:rsidRPr="00AD3A43">
        <w:rPr>
          <w:spacing w:val="-2"/>
        </w:rPr>
        <w:t xml:space="preserve">Aplicações. Os exemplos de Produtos de aplicações incluem o Microsoft Office Professional, o cliente do Microsoft Lync e o Office 365. </w:t>
      </w:r>
    </w:p>
    <w:p w14:paraId="6F41AFC8" w14:textId="37894877" w:rsidR="00372F76" w:rsidRPr="001165AA" w:rsidRDefault="00CE4C53" w:rsidP="00A80953">
      <w:pPr>
        <w:pStyle w:val="BodyText"/>
        <w:numPr>
          <w:ilvl w:val="0"/>
          <w:numId w:val="16"/>
        </w:numPr>
        <w:spacing w:after="0"/>
      </w:pPr>
      <w:r>
        <w:t>Sistemas.</w:t>
      </w:r>
      <w:r w:rsidR="006337A0">
        <w:t xml:space="preserve"> </w:t>
      </w:r>
      <w:r>
        <w:t>Um exemplo de um Produto de sistema é uma atualização do sistema operativo Windows como o Windows Enterprise.</w:t>
      </w:r>
    </w:p>
    <w:p w14:paraId="46017CF3" w14:textId="66F72D30" w:rsidR="00461D21" w:rsidRPr="001165AA" w:rsidRDefault="00CE4C53" w:rsidP="00A80953">
      <w:pPr>
        <w:pStyle w:val="BodyText"/>
        <w:numPr>
          <w:ilvl w:val="0"/>
          <w:numId w:val="16"/>
        </w:numPr>
        <w:spacing w:after="0"/>
      </w:pPr>
      <w:r>
        <w:t>Servidores. Os exemplos de Produtos de servidor incluem o Windows Server, Microsoft Exchange Server, o software de base de dados Microsoft SQL Server, Intune e Licenças de Acesso de Cliente (CALs) associadas.</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Exemplos:</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864"/>
        <w:gridCol w:w="3118"/>
        <w:gridCol w:w="810"/>
        <w:gridCol w:w="2610"/>
        <w:gridCol w:w="1260"/>
      </w:tblGrid>
      <w:tr w:rsidR="0020545D" w:rsidRPr="0020545D" w14:paraId="280F2046" w14:textId="77777777" w:rsidTr="00347D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Aplicações </w:t>
            </w:r>
          </w:p>
        </w:tc>
        <w:tc>
          <w:tcPr>
            <w:tcW w:w="864"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3118"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Sistemas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Servidores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D302A8" w14:paraId="5055512B" w14:textId="77777777" w:rsidTr="00347D84">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64"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18"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Atualização do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347D84">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864"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18"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Para obter mais informações, consulte os Termos de Produto em </w:t>
      </w:r>
      <w:hyperlink r:id="rId21" w:history="1">
        <w:r>
          <w:rPr>
            <w:rStyle w:val="Hyperlink"/>
          </w:rPr>
          <w:t>http://www.microsoft.com/licensing/contracts</w:t>
        </w:r>
      </w:hyperlink>
      <w:r>
        <w:rPr>
          <w:bCs/>
        </w:rPr>
        <w:t xml:space="preserve"> ou contacte o respetivo Parceiro ou comercial da Microsoft.</w:t>
      </w:r>
    </w:p>
    <w:bookmarkEnd w:id="13"/>
    <w:p w14:paraId="05817D9E" w14:textId="35BEB6B1" w:rsidR="008E77D5" w:rsidRPr="001165AA" w:rsidRDefault="008E77D5" w:rsidP="00CC6A48">
      <w:pPr>
        <w:pStyle w:val="Thirdheading"/>
      </w:pPr>
      <w:r>
        <w:rPr>
          <w:b/>
        </w:rPr>
        <w:t>Ajustamentos dos níveis de preços</w:t>
      </w:r>
    </w:p>
    <w:p w14:paraId="53BCC1C8" w14:textId="08D9FFD6" w:rsidR="00E30CB7" w:rsidRPr="001165AA" w:rsidRDefault="00E30CB7" w:rsidP="00E30CB7">
      <w:pPr>
        <w:pStyle w:val="BodyText"/>
      </w:pPr>
      <w:r>
        <w:t>O Cliente atingirá o nível de preços seguinte para uma Família de Produtos assim que a organização do Cliente cumprir o número mínimo anual de pontos correspondente.</w:t>
      </w:r>
      <w:r w:rsidR="006337A0">
        <w:t xml:space="preserve"> </w:t>
      </w:r>
      <w:r>
        <w:t>A encomenda que qualifica o Cliente para o nível de preços seguinte (por exemplo, nível A</w:t>
      </w:r>
      <w:r w:rsidR="00144FAE">
        <w:t> </w:t>
      </w:r>
      <w:r>
        <w:t>a</w:t>
      </w:r>
      <w:r w:rsidR="00144FAE">
        <w:t> </w:t>
      </w:r>
      <w:r>
        <w:t>nível B) terá um preço a esse nível.</w:t>
      </w:r>
      <w:r w:rsidR="006337A0">
        <w:t xml:space="preserve"> </w:t>
      </w:r>
      <w:r>
        <w:t>Os níveis de preços para cada Família de Produtos serão revistos todos os anos no mês de aniversário da conformidade do contrato estabelecido utilizando o mês em que o MPSA do Cliente é ativado.</w:t>
      </w:r>
      <w:r w:rsidR="006337A0">
        <w:t xml:space="preserve"> </w:t>
      </w:r>
      <w:r>
        <w:t>Quaisquer pontos que</w:t>
      </w:r>
      <w:r w:rsidR="00144FAE">
        <w:t> </w:t>
      </w:r>
      <w:r>
        <w:t>o</w:t>
      </w:r>
      <w:r w:rsidR="00144FAE">
        <w:t> </w:t>
      </w:r>
      <w:r>
        <w:t>Cliente tenha ganho num determinado ano e que excedam o nível de preços atual mas que estejam abaixo do nível de preços seguinte serão transportados para o ano seguinte para serem contabilizados de acordo com a conformidade desse ano.</w:t>
      </w:r>
    </w:p>
    <w:p w14:paraId="0B62F604" w14:textId="1179182A" w:rsidR="000720F7" w:rsidRPr="001165AA" w:rsidRDefault="00BB2634" w:rsidP="000720F7">
      <w:pPr>
        <w:pStyle w:val="BodyText"/>
      </w:pPr>
      <w:r>
        <w:t>Se no mês de aniversário da conformidade do contrato os pontos acumulados forem inferiores ao número mínimo de pontos numa Família de Produtos, o nível de preços da organização do Cliente será reduzido um nível (</w:t>
      </w:r>
      <w:r>
        <w:rPr>
          <w:i/>
        </w:rPr>
        <w:t>por exemplo</w:t>
      </w:r>
      <w:r>
        <w:t>, do nível C para o nível B) para essa Família de Produtos no ano seguinte e não serão transportados pontos para o ano seguinte.</w:t>
      </w:r>
      <w:r w:rsidR="006337A0">
        <w:t xml:space="preserve"> </w:t>
      </w:r>
      <w:r>
        <w:t>O nível de preços do Cliente só pode</w:t>
      </w:r>
      <w:r w:rsidR="00726ACE">
        <w:t> </w:t>
      </w:r>
      <w:r>
        <w:t>ser reduzido no máximo um nível cada ano.</w:t>
      </w:r>
      <w:r w:rsidR="006337A0">
        <w:t xml:space="preserve"> </w:t>
      </w:r>
      <w:r>
        <w:t xml:space="preserve">Se o Cliente não conseguir cumprir os requisitos mínimos para se qualificar para encomendar Produtos numa Família de Produtos, não conseguirá efetuar encomendas de Produtos nessa Família de Produtos enquanto não for efetuada uma encomenda individual que cumpra essa qualificação mínima. </w:t>
      </w:r>
    </w:p>
    <w:p w14:paraId="6E84C18E" w14:textId="56AF92E6" w:rsidR="005E1FDC" w:rsidRPr="001165AA" w:rsidRDefault="00A708FB" w:rsidP="000720F7">
      <w:pPr>
        <w:pStyle w:val="BodyText"/>
      </w:pPr>
      <w:r>
        <w:t>Se o Cliente tiver um contrato qualificável ativo associado ao MPSA do Cliente com um nível de preços da Família de Produtos mais favorável do que a Família de Produtos correspondente no MPSA, esse nível de preços da Família de Produtos mais favorável será utilizado para encomendas no MPSA.</w:t>
      </w:r>
    </w:p>
    <w:p w14:paraId="76025713" w14:textId="77777777" w:rsidR="00245EA6" w:rsidRPr="001165AA" w:rsidRDefault="000323FD" w:rsidP="00CC6A48">
      <w:pPr>
        <w:pStyle w:val="Thirdheading"/>
      </w:pPr>
      <w:r>
        <w:rPr>
          <w:b/>
        </w:rPr>
        <w:t>Mecânica da Encomenda</w:t>
      </w:r>
    </w:p>
    <w:p w14:paraId="1AC9F3E3" w14:textId="46A09A5C" w:rsidR="009D1152" w:rsidRPr="001165AA" w:rsidRDefault="00203D81" w:rsidP="00E10622">
      <w:pPr>
        <w:pStyle w:val="BodyText"/>
      </w:pPr>
      <w:r>
        <w:t>O cliente poderá efetuar encomendas de Produtos através do MPSA junto dos Parceiros de Soluções de Licenciamento escolhidos pelo Cliente ou do comercial da Microsoft.</w:t>
      </w:r>
      <w:r w:rsidR="006337A0">
        <w:t xml:space="preserve"> </w:t>
      </w:r>
      <w:r>
        <w:t>O preço e os termos de pagamento para todas as encomendas efetuadas através de um Parceiro serão determinados através do contrato celebrado entre o Cliente e o respetivo Parceiro.</w:t>
      </w:r>
      <w:r w:rsidR="006337A0">
        <w:t xml:space="preserve"> </w:t>
      </w:r>
      <w:r>
        <w:t>Ao efetuar encomendas, o Cliente tem de especificar todos os países onde a organização do Cliente utilizará os Produtos.</w:t>
      </w:r>
    </w:p>
    <w:p w14:paraId="1696708D" w14:textId="52FD85CE" w:rsidR="004840AE" w:rsidRPr="001165AA" w:rsidRDefault="008E740A" w:rsidP="00E10622">
      <w:pPr>
        <w:pStyle w:val="BodyText"/>
      </w:pPr>
      <w:r>
        <w:lastRenderedPageBreak/>
        <w:t>No momento de cada encomenda de Software Assurance ou de licenças de subscrição de Software, o Cliente pode escolher se o período para estas subscrições expira no dia anterior ao terceiro aniversário da Conta de Aquisição ou no último dia de 36 meses completos de calendário.</w:t>
      </w:r>
      <w:r w:rsidR="006337A0">
        <w:t xml:space="preserve"> </w:t>
      </w:r>
      <w:r>
        <w:t>O Cliente poderá pagar por estas subscrições (1) por inteiro na altura da encomenda ou (2) em pagamentos</w:t>
      </w:r>
      <w:r w:rsidR="00BC1D23">
        <w:t> </w:t>
      </w:r>
      <w:r>
        <w:t>anuais antecipados, faturados no aniversário da Conta de Aquisição ou no aniversário da encomenda.</w:t>
      </w:r>
    </w:p>
    <w:p w14:paraId="06E80410" w14:textId="08463020" w:rsidR="00E04AD6" w:rsidRPr="001165AA" w:rsidRDefault="001A4514" w:rsidP="00E10622">
      <w:pPr>
        <w:pStyle w:val="BodyText"/>
      </w:pPr>
      <w:r>
        <w:t>Uma encomenda para um período inicial ou de renovação de Serviços Online ou de subscrições de Pacotes poderá expirar (1) no dia anterior ao aniversário, seja ele o seguinte, o segundo ou o terceiro, da Conta de Aquisição do Cliente, ou (2) no último dia de um período de 12, 24 ou 36 meses que o Cliente selecionou durante a encomenda.</w:t>
      </w:r>
      <w:r w:rsidR="006337A0">
        <w:t xml:space="preserve"> </w:t>
      </w:r>
      <w:r>
        <w:t>As encomendas adicionais de uma subscrição desse Produto durante este período de tempo, na mesma Conta de Aquisição, serão automaticamente alinhadas com a mesma data de fim. A</w:t>
      </w:r>
      <w:r w:rsidR="006529C6">
        <w:t> </w:t>
      </w:r>
      <w:r>
        <w:t>Microsoft só pode escolher algumas opções relativamente à duração inicial ou de renovação de um período de subscrição disponível, consoante o Produto selecionado.</w:t>
      </w:r>
    </w:p>
    <w:p w14:paraId="31EA8E50" w14:textId="6FDBAE0F" w:rsidR="00E10622" w:rsidRPr="001165AA" w:rsidRDefault="001A4514" w:rsidP="00E10622">
      <w:pPr>
        <w:pStyle w:val="BodyText"/>
      </w:pPr>
      <w:r>
        <w:t>A faturação de Serviços Online ou de subscrições de Pacotes poderá ser (1) por inteiro na altura da encomenda ou (2) em pagamentos anuais antecipados, faturados no aniversário da Conta de Aquisição ou no aniversário da encomenda.</w:t>
      </w:r>
      <w:r w:rsidR="006337A0">
        <w:t xml:space="preserve"> </w:t>
      </w:r>
      <w:r>
        <w:t>O preço das encomendas adicionais de uma subscrição será o mesmo da encomenda inicial da subscrição, a menos que exista uma promoção disponível no</w:t>
      </w:r>
      <w:r w:rsidR="00F40756">
        <w:t> </w:t>
      </w:r>
      <w:r>
        <w:t>momento da encomenda que seja mais favorável.</w:t>
      </w:r>
      <w:r w:rsidR="006337A0">
        <w:t xml:space="preserve"> </w:t>
      </w:r>
      <w:r>
        <w:t>Se o período da subscrição for superior a um ano, as encomendas adicionais beneficiarão do melhor preço atual no momento da encomenda adicional ou do preço da encomenda inicial, consoante aquele que for</w:t>
      </w:r>
      <w:r w:rsidR="00F40756">
        <w:t> </w:t>
      </w:r>
      <w:r>
        <w:t>mais favorável.</w:t>
      </w:r>
      <w:r w:rsidR="006337A0">
        <w:t xml:space="preserve"> </w:t>
      </w:r>
      <w:r>
        <w:t xml:space="preserve">Os preços são repostos aquando da renovação da vigência da subscrição. </w:t>
      </w:r>
    </w:p>
    <w:p w14:paraId="46DEAF93" w14:textId="586BCFD6" w:rsidR="00770503" w:rsidRPr="001165AA" w:rsidRDefault="00FA2ABF" w:rsidP="00E10622">
      <w:pPr>
        <w:pStyle w:val="BodyText"/>
      </w:pPr>
      <w:r>
        <w:t>Além das opções acima, o Cliente pode encomendar determinados Serviços Online sob a forma de subscrição a curto prazo.</w:t>
      </w:r>
      <w:r w:rsidR="006337A0">
        <w:t xml:space="preserve"> </w:t>
      </w:r>
      <w:r>
        <w:t>As subscrições a curto prazo podem ter uma duração entre um e onze meses sem alinhamento automático com as subscrições existentes do mesmo Produto.</w:t>
      </w:r>
      <w:r w:rsidR="006337A0">
        <w:t xml:space="preserve"> </w:t>
      </w:r>
      <w:r>
        <w:t>Os preços das encomendas das subscrições de curto prazo são diferentes dos preços das outras opções de vigência e são definidos no momento da encomenda.</w:t>
      </w:r>
    </w:p>
    <w:p w14:paraId="6C746BD2" w14:textId="1A2B332D" w:rsidR="00E64636" w:rsidRPr="001165AA" w:rsidRDefault="00E64636" w:rsidP="00E64636">
      <w:pPr>
        <w:pStyle w:val="BodyText"/>
      </w:pPr>
      <w:r>
        <w:t>Se adquirir Serviços do Microsoft Azure através do MPSA, o Cliente será cobrado posteriormente com base na utilização dos serviços durante esse período de faturação.</w:t>
      </w:r>
      <w:r w:rsidR="006337A0">
        <w:t xml:space="preserve"> </w:t>
      </w:r>
      <w:r>
        <w:t>O período de faturação por Serviços do Microsoft Azure Services é trimestral, alinhado com o</w:t>
      </w:r>
      <w:r w:rsidR="00BF5666">
        <w:t> </w:t>
      </w:r>
      <w:r>
        <w:t>aniversário da Conta de Aquisição quando a subscrição dos Serviços do Microsoft Azure começou.</w:t>
      </w:r>
    </w:p>
    <w:p w14:paraId="598812A0" w14:textId="1E2BCB48" w:rsidR="00E770FC" w:rsidRPr="001165AA" w:rsidRDefault="00E770FC" w:rsidP="00D11874">
      <w:pPr>
        <w:pStyle w:val="BodyText"/>
      </w:pPr>
      <w:r>
        <w:t>O Cliente também poderá efetuar a transição entre tipos de licenças abrangidas pelo Software Assurance ou tipos de licenças de subscrição no MPSA ao encomendar Step-Ups ou mudando de uma licença por dispositivo para uma licença por utilizador ou de uma licença por utilizador para uma licença por dispositivo.</w:t>
      </w:r>
      <w:r w:rsidR="006337A0">
        <w:t xml:space="preserve"> </w:t>
      </w:r>
      <w:r>
        <w:t>Algumas destas transições podem ser efetuadas no momento da renovação ou durante a vigência da subscrição do Cliente ou do período de cobertura Software Assurance, tal como Step-Ups, enquanto que outras só poderão ser efetuadas na renovação, tais como alterações do modelo de licença de dispositivo por utilizador.</w:t>
      </w:r>
      <w:r w:rsidR="006337A0">
        <w:t xml:space="preserve"> </w:t>
      </w:r>
      <w:r>
        <w:t>Para obter mais informações sobre as opções de transição, contacte o respetivo Parceiro ou comercial da Microsoft.</w:t>
      </w:r>
    </w:p>
    <w:p w14:paraId="0E6252FB" w14:textId="501BF112" w:rsidR="00D11874" w:rsidRPr="001165AA" w:rsidRDefault="00EF3BBE" w:rsidP="00D11874">
      <w:pPr>
        <w:pStyle w:val="BodyText"/>
      </w:pPr>
      <w:r>
        <w:t xml:space="preserve">Poderão ser disponibilizadas outras opções de faturação e alinhamento para encomendas através do MPSA no futuro. </w:t>
      </w:r>
    </w:p>
    <w:p w14:paraId="6D161856" w14:textId="0D217696" w:rsidR="00A90CD0" w:rsidRPr="001165AA" w:rsidRDefault="00A90CD0" w:rsidP="00D11874">
      <w:pPr>
        <w:pStyle w:val="BodyText"/>
      </w:pPr>
      <w:r>
        <w:t>Depois de a Microsoft ter aceite o registo da Conta de Aquisição do Cliente, o Cliente poderá utilizar qualquer Produto como se estivesse licenciado ao abrigo dos termos do MPSA, desde que o Cliente submeta uma encomenda no mesmo mês de calendário em</w:t>
      </w:r>
      <w:r w:rsidR="005F0262">
        <w:t> </w:t>
      </w:r>
      <w:r>
        <w:t>que o Produto for utilizado pela primeira vez, para um número suficiente de licenças de modo a cobrir a utilização que o Cliente fizer do Produto.</w:t>
      </w:r>
      <w:r w:rsidR="006337A0">
        <w:t xml:space="preserve"> </w:t>
      </w:r>
      <w:r>
        <w:t>Para quantidades adicionais de um Produto licenciado, o Cliente tem de submeter uma encomenda no mês em que essas quantidades forem utilizadas pela primeira vez.</w:t>
      </w:r>
      <w:r w:rsidR="006337A0">
        <w:t xml:space="preserve"> </w:t>
      </w:r>
      <w:r>
        <w:t>Para as subscrições de Serviços Online que precisem de uma encomenda de reconciliação, o Cliente pode reportar essas quantidades através do Microsoft Business Center ou com a ajuda do respetivo Parceiro ou</w:t>
      </w:r>
      <w:r w:rsidR="005F0262">
        <w:t> </w:t>
      </w:r>
      <w:r>
        <w:t>comercial da Microsoft.</w:t>
      </w:r>
      <w:r w:rsidR="006337A0">
        <w:t xml:space="preserve"> </w:t>
      </w:r>
    </w:p>
    <w:p w14:paraId="03B07B14" w14:textId="0C20A168" w:rsidR="0037779D" w:rsidRPr="001165AA" w:rsidRDefault="00D84DF6" w:rsidP="00D11874">
      <w:pPr>
        <w:pStyle w:val="BodyText"/>
      </w:pPr>
      <w:r>
        <w:t>A Microsoft poderá alterar os Produtos disponíveis através do MPSA e poderá recusar a aceitação de uma encomenda se tiver razões comerciais para o fazer.</w:t>
      </w:r>
    </w:p>
    <w:p w14:paraId="246E6E08" w14:textId="3E444CAB" w:rsidR="0037779D" w:rsidRPr="001165AA" w:rsidRDefault="00D84DF6" w:rsidP="002123CF">
      <w:pPr>
        <w:pStyle w:val="BodyText"/>
      </w:pPr>
      <w:r>
        <w:t xml:space="preserve">As informações sobre encomendas recebidas e processadas pela Microsoft estão disponíveis junto do Parceiro do Cliente ou no Microsoft Business Center em </w:t>
      </w:r>
      <w:hyperlink r:id="rId22" w:history="1">
        <w:r>
          <w:rPr>
            <w:rStyle w:val="Hyperlink"/>
          </w:rPr>
          <w:t>https://licensing.microsoft.com/customer</w:t>
        </w:r>
      </w:hyperlink>
      <w:r>
        <w:t>.</w:t>
      </w:r>
      <w:r w:rsidR="006337A0">
        <w:t xml:space="preserve"> </w:t>
      </w:r>
      <w:r>
        <w:t>Assim que estiver registado, ao contacto da Conta de Aquisição será concedido acesso ao Microsoft Business Center e a conta de Administrador do Contrato designado do Cliente terá</w:t>
      </w:r>
      <w:r w:rsidR="00562D78">
        <w:t> </w:t>
      </w:r>
      <w:r>
        <w:t>acesso às informações em todas as Contas de Aquisição.</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46098"/>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lastRenderedPageBreak/>
        <w:t xml:space="preserve">Secção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46099"/>
      <w:r>
        <w:rPr>
          <w:rFonts w:asciiTheme="majorHAnsi" w:eastAsiaTheme="majorEastAsia" w:hAnsiTheme="majorHAnsi" w:cstheme="majorBidi"/>
          <w:bCs/>
          <w:color w:val="8064A2" w:themeColor="accent4"/>
          <w:sz w:val="28"/>
          <w:szCs w:val="26"/>
        </w:rPr>
        <w:t>Realizar cópias de Produtos e direitos de re-imaging</w:t>
      </w:r>
      <w:bookmarkEnd w:id="49"/>
      <w:bookmarkEnd w:id="50"/>
      <w:bookmarkEnd w:id="51"/>
    </w:p>
    <w:p w14:paraId="79584FC7" w14:textId="33785D8C" w:rsidR="00D23B42" w:rsidRPr="001165AA" w:rsidRDefault="00D23B42" w:rsidP="00D23B42">
      <w:pPr>
        <w:spacing w:before="120" w:line="240" w:lineRule="auto"/>
      </w:pPr>
      <w:r>
        <w:rPr>
          <w:rFonts w:eastAsia="Times New Roman" w:cs="Times New Roman"/>
          <w:color w:val="505050"/>
          <w:szCs w:val="20"/>
        </w:rPr>
        <w:t>As</w:t>
      </w:r>
      <w:r>
        <w:t xml:space="preserve"> </w:t>
      </w:r>
      <w:r>
        <w:rPr>
          <w:rFonts w:eastAsia="Times New Roman" w:cs="Times New Roman"/>
          <w:color w:val="505050"/>
          <w:szCs w:val="20"/>
        </w:rPr>
        <w:t>Contas de Aquisição registadas do Cliente podem fazer tantas cópias dos Produtos quanto as necessárias para distribuir os Produtos na organização do Cliente. Todas as cópias devem ser cópias autênticas e completas (incluindo notificações relativas a direitos de autor</w:t>
      </w:r>
      <w:r w:rsidR="003C0605">
        <w:rPr>
          <w:rFonts w:eastAsia="Times New Roman" w:cs="Times New Roman"/>
          <w:color w:val="505050"/>
          <w:szCs w:val="20"/>
        </w:rPr>
        <w:t> </w:t>
      </w:r>
      <w:r>
        <w:rPr>
          <w:rFonts w:eastAsia="Times New Roman" w:cs="Times New Roman"/>
          <w:color w:val="505050"/>
          <w:szCs w:val="20"/>
        </w:rPr>
        <w:t>e a marcas registadas), realizadas a partir de cópias principais obtidas junto de uma fonte aprovada pela Microsoft. As Contas de</w:t>
      </w:r>
      <w:r w:rsidR="0017451D">
        <w:rPr>
          <w:rFonts w:eastAsia="Times New Roman" w:cs="Times New Roman"/>
          <w:color w:val="505050"/>
          <w:szCs w:val="20"/>
        </w:rPr>
        <w:t> </w:t>
      </w:r>
      <w:r>
        <w:rPr>
          <w:rFonts w:eastAsia="Times New Roman" w:cs="Times New Roman"/>
          <w:color w:val="505050"/>
          <w:szCs w:val="20"/>
        </w:rPr>
        <w:t>Aquisição podem utilizar uma outra entidade para realizar estas cópias; no entanto, o Cliente e as respetivas contas permanecem responsáveis por quaisquer ações dessa outra entidade.</w:t>
      </w:r>
      <w:r w:rsidR="006337A0">
        <w:t xml:space="preserve"> </w:t>
      </w:r>
    </w:p>
    <w:p w14:paraId="4BF978AF" w14:textId="1C4A515F" w:rsidR="00D23B42" w:rsidRPr="001165AA" w:rsidRDefault="00D23B42" w:rsidP="00D23B42">
      <w:pPr>
        <w:spacing w:before="120" w:line="240" w:lineRule="auto"/>
      </w:pPr>
      <w:r>
        <w:rPr>
          <w:rFonts w:eastAsia="Times New Roman" w:cs="Times New Roman"/>
          <w:color w:val="505050"/>
          <w:szCs w:val="20"/>
        </w:rPr>
        <w:t>Nalguns casos, o re-imaging é permitido utilizando o suporte de dados do Produto.</w:t>
      </w:r>
      <w:r w:rsidR="006337A0">
        <w:rPr>
          <w:rFonts w:eastAsia="Times New Roman" w:cs="Times New Roman"/>
          <w:color w:val="505050"/>
          <w:szCs w:val="20"/>
        </w:rPr>
        <w:t xml:space="preserve"> </w:t>
      </w:r>
      <w:r>
        <w:rPr>
          <w:rFonts w:eastAsia="Times New Roman" w:cs="Times New Roman"/>
          <w:color w:val="505050"/>
          <w:szCs w:val="20"/>
        </w:rPr>
        <w:t>Se um Produto for licenciado (1) a partir de um fabricante de equipamento original (OEM), (2) como um Produto embalado através de uma fonte de revenda, ou (3) noutro programa Microsoft, o suporte de dados fornecido ao abrigo do MPSA pode ser utilizado, no geral, para criar imagens que substituirão as cópias fornecidas através dessa origem diferente.</w:t>
      </w:r>
      <w:r w:rsidR="006337A0">
        <w:rPr>
          <w:rFonts w:eastAsia="Times New Roman" w:cs="Times New Roman"/>
          <w:color w:val="505050"/>
          <w:szCs w:val="20"/>
        </w:rPr>
        <w:t xml:space="preserve"> </w:t>
      </w:r>
      <w:r>
        <w:rPr>
          <w:rFonts w:eastAsia="Times New Roman" w:cs="Times New Roman"/>
          <w:color w:val="505050"/>
          <w:szCs w:val="20"/>
        </w:rPr>
        <w:t>Este direito é condicionado pelo seguinte:</w:t>
      </w:r>
    </w:p>
    <w:p w14:paraId="3C97A0EC" w14:textId="77777777" w:rsidR="00D23B42" w:rsidRPr="001165AA" w:rsidRDefault="00D23B42" w:rsidP="00D23B42">
      <w:pPr>
        <w:pStyle w:val="BodyText"/>
        <w:numPr>
          <w:ilvl w:val="0"/>
          <w:numId w:val="16"/>
        </w:numPr>
        <w:spacing w:after="0"/>
      </w:pPr>
      <w:r>
        <w:t>Deverão ser adquiridas licenças em separado junto da origem diferente de cada Produto submetido a re-imaging.</w:t>
      </w:r>
    </w:p>
    <w:p w14:paraId="2005654A" w14:textId="77777777" w:rsidR="00D23B42" w:rsidRPr="001165AA" w:rsidRDefault="00D23B42" w:rsidP="00D23B42">
      <w:pPr>
        <w:pStyle w:val="BodyText"/>
        <w:numPr>
          <w:ilvl w:val="0"/>
          <w:numId w:val="16"/>
        </w:numPr>
        <w:spacing w:after="0"/>
      </w:pPr>
      <w:r>
        <w:t>O Produto, idioma, versão e os componentes das cópias realizadas têm de ser idênticos ao Produto, idioma, versão e todos os componentes das cópias que irão substituir e o número de cópias ou instâncias permitidas do produto submetido a re-imaging permanecerá o mesmo.</w:t>
      </w:r>
    </w:p>
    <w:p w14:paraId="0A0B7C69" w14:textId="3ED72F45" w:rsidR="00D23B42" w:rsidRPr="001165AA" w:rsidRDefault="00D23B42" w:rsidP="00D23B42">
      <w:pPr>
        <w:pStyle w:val="BodyText"/>
        <w:numPr>
          <w:ilvl w:val="0"/>
          <w:numId w:val="16"/>
        </w:numPr>
        <w:spacing w:after="0"/>
      </w:pPr>
      <w:r>
        <w:t>Exceto para cópias de um sistema operativo e cópias de Produtos licenciados ao abrigo de outro programa Microsoft, o tipo de Produto (</w:t>
      </w:r>
      <w:r>
        <w:rPr>
          <w:i/>
        </w:rPr>
        <w:t>por exemplo,</w:t>
      </w:r>
      <w:r>
        <w:t xml:space="preserve"> atualização ou licença completa) submetido a re-imaging tem de ser idêntico ao tipo de Produto licenciado da origem diferente.</w:t>
      </w:r>
    </w:p>
    <w:p w14:paraId="75B08848" w14:textId="2276119B" w:rsidR="00D23B42" w:rsidRPr="001165AA" w:rsidRDefault="00D23B42" w:rsidP="00D23B42">
      <w:pPr>
        <w:pStyle w:val="BodyText"/>
        <w:numPr>
          <w:ilvl w:val="0"/>
          <w:numId w:val="16"/>
        </w:numPr>
        <w:spacing w:after="0"/>
      </w:pPr>
      <w:r>
        <w:t>A Conta de Aquisição tem de cumprir quaisquer processos ou requisitos específicos do Produto para re-imaging identificado nos Termos de Produto.</w:t>
      </w:r>
    </w:p>
    <w:p w14:paraId="10691E95" w14:textId="77907C96" w:rsidR="00D23B42" w:rsidRPr="001165AA" w:rsidRDefault="00D23B42" w:rsidP="00D23B42">
      <w:pPr>
        <w:pStyle w:val="BodyText"/>
        <w:numPr>
          <w:ilvl w:val="0"/>
          <w:numId w:val="16"/>
        </w:numPr>
        <w:spacing w:after="0"/>
      </w:pPr>
      <w:r>
        <w:t>Os produtos submetidos a re-imaging permanecem sujeitos aos termos e direitos de utilização da licença adquirida da origem diferente.</w:t>
      </w:r>
      <w:r w:rsidR="006337A0">
        <w:t xml:space="preserve"> </w:t>
      </w:r>
    </w:p>
    <w:p w14:paraId="2BC6E750" w14:textId="77777777" w:rsidR="00D23B42" w:rsidRPr="001165AA" w:rsidRDefault="00D23B42" w:rsidP="00D23B42">
      <w:pPr>
        <w:pStyle w:val="Thirdheading"/>
      </w:pPr>
      <w:r>
        <w:rPr>
          <w:b/>
        </w:rPr>
        <w:t xml:space="preserve">Cópias para formação/avaliação e cópia de segurança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Para todos os Produtos que não sejam Serviços Online, cada Conta de Aquisição pode (1) utilizar até 20 cópias grátis de qualquer Produto licenciado num centro de formação especializado nas suas instalações para efeitos de formação nesse Produto específico, (2) utilizar até 10 cópias grátis de qualquer Produto durante um período de avaliação de 60 dias e (3) utilizar uma cópia grátis de qualquer Produto licenciado como cópia de segurança ou para efeitos de arquivo para cada uma das suas diferentes localizações geográficas.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46100"/>
      <w:r>
        <w:rPr>
          <w:rFonts w:asciiTheme="majorHAnsi" w:eastAsiaTheme="majorEastAsia" w:hAnsiTheme="majorHAnsi" w:cstheme="majorBidi"/>
          <w:bCs/>
          <w:color w:val="8064A2" w:themeColor="accent4"/>
          <w:sz w:val="28"/>
          <w:szCs w:val="26"/>
        </w:rPr>
        <w:t>Processo de Transferência de Licença</w:t>
      </w:r>
      <w:bookmarkEnd w:id="52"/>
      <w:bookmarkEnd w:id="53"/>
      <w:bookmarkEnd w:id="54"/>
    </w:p>
    <w:p w14:paraId="2067A699" w14:textId="4A5255ED" w:rsidR="0053246B" w:rsidRPr="001165AA" w:rsidRDefault="00D23B42" w:rsidP="00D23B42">
      <w:pPr>
        <w:pStyle w:val="BodyText"/>
      </w:pPr>
      <w:r>
        <w:t>O Cliente deve notificar a Microsoft sobre uma transferência de licença através do preenchimento de um formulário de transferência de</w:t>
      </w:r>
      <w:r w:rsidR="004E1749">
        <w:t> </w:t>
      </w:r>
      <w:r>
        <w:t xml:space="preserve">licença, que pode ser obtido a partir de </w:t>
      </w:r>
      <w:hyperlink r:id="rId23" w:history="1">
        <w:r>
          <w:rPr>
            <w:rStyle w:val="Hyperlink"/>
          </w:rPr>
          <w:t>http://www.microsoft.com/licensing/contracts</w:t>
        </w:r>
      </w:hyperlink>
      <w:r>
        <w:t xml:space="preserve"> e do envio do formulário preenchido para a</w:t>
      </w:r>
      <w:r w:rsidR="004E1749">
        <w:t> </w:t>
      </w:r>
      <w:r>
        <w:t>Microsoft antes da transferência da licença.</w:t>
      </w:r>
      <w:r w:rsidR="006337A0">
        <w:t xml:space="preserve"> </w:t>
      </w:r>
      <w:r>
        <w:t>Nenhuma transferência de licença será válida a não ser que o Cliente a forneça ao beneficiário e este aceite por escrito, os Direitos de Utilização de Produto aplicáveis, as restrições de utilização, as limitações de responsabilidade (incluindo exclusões e disposições de garantia) e as restrições de transferência previstas nesta secção.</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46101"/>
      <w:r>
        <w:rPr>
          <w:rFonts w:asciiTheme="majorHAnsi" w:eastAsiaTheme="majorEastAsia" w:hAnsiTheme="majorHAnsi" w:cstheme="majorBidi"/>
          <w:bCs/>
          <w:color w:val="8064A2" w:themeColor="accent4"/>
          <w:sz w:val="28"/>
          <w:szCs w:val="26"/>
        </w:rPr>
        <w:t xml:space="preserve">Processo de Verificação da Conformidade e </w:t>
      </w:r>
      <w:r>
        <w:rPr>
          <w:rFonts w:asciiTheme="majorHAnsi" w:eastAsiaTheme="majorEastAsia" w:hAnsiTheme="majorHAnsi"/>
          <w:color w:val="8064A2" w:themeColor="accent4"/>
          <w:sz w:val="28"/>
        </w:rPr>
        <w:t>Limitações</w:t>
      </w:r>
      <w:bookmarkEnd w:id="55"/>
      <w:r>
        <w:rPr>
          <w:rFonts w:asciiTheme="majorHAnsi" w:eastAsiaTheme="majorEastAsia" w:hAnsiTheme="majorHAnsi"/>
          <w:color w:val="8064A2" w:themeColor="accent4"/>
          <w:sz w:val="28"/>
        </w:rPr>
        <w:t xml:space="preserve"> </w:t>
      </w:r>
    </w:p>
    <w:p w14:paraId="26061F69" w14:textId="0B8C4A91" w:rsidR="00D23B42" w:rsidRPr="001165AA" w:rsidRDefault="00577E2B" w:rsidP="00754E04">
      <w:pPr>
        <w:pStyle w:val="BodyText"/>
      </w:pPr>
      <w:r>
        <w:t>A Microsoft vai notificar o Cliente pelo menos 30 dias antes da respetiva intenção para verificar o cumprimento por parte do Cliente no</w:t>
      </w:r>
      <w:r w:rsidR="007D1148">
        <w:t> </w:t>
      </w:r>
      <w:r>
        <w:t>que diz respeito aos termos da licença para os Produtos que o Cliente e as respetivas Empresas Afiliadas utilizem ou distribuam. A</w:t>
      </w:r>
      <w:r w:rsidR="007D1148">
        <w:t> </w:t>
      </w:r>
      <w:r>
        <w:t>Microsoft contratará um auditor independente, que estará sujeito a obrigações de confidencialidade.</w:t>
      </w:r>
      <w:r w:rsidR="006337A0">
        <w:t xml:space="preserve"> </w:t>
      </w:r>
      <w:r>
        <w:t>Quaisquer informações recolhidas na autoauditoria serão utilizadas apenas para fins de verificação do cumprimento.</w:t>
      </w:r>
      <w:r w:rsidR="006337A0">
        <w:t xml:space="preserve"> </w:t>
      </w:r>
      <w:r>
        <w:t>Esta verificação será efetuada durante o</w:t>
      </w:r>
      <w:r w:rsidR="007D1148">
        <w:t> </w:t>
      </w:r>
      <w:r>
        <w:t xml:space="preserve">horário normal de expediente e de um modo que não interfira de forma irrazoável com as operações do Cliente.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46102"/>
      <w:bookmarkStart w:id="57" w:name="_Toc403380325"/>
      <w:bookmarkStart w:id="58" w:name="_Toc403985043"/>
      <w:r>
        <w:rPr>
          <w:rFonts w:asciiTheme="majorHAnsi" w:eastAsiaTheme="majorEastAsia" w:hAnsiTheme="majorHAnsi" w:cstheme="majorBidi"/>
          <w:bCs/>
          <w:color w:val="8064A2" w:themeColor="accent4"/>
          <w:sz w:val="28"/>
          <w:szCs w:val="26"/>
        </w:rPr>
        <w:t>Alienações</w:t>
      </w:r>
      <w:bookmarkEnd w:id="56"/>
    </w:p>
    <w:p w14:paraId="49773C0E" w14:textId="45A30E47" w:rsidR="003C0DC6" w:rsidRPr="001165AA" w:rsidRDefault="003C0DC6" w:rsidP="00754E04">
      <w:pPr>
        <w:pStyle w:val="BodyText"/>
      </w:pPr>
      <w:r>
        <w:t>Se pretender transferir mais do que dez por cento das suas licenças no âmbito de uma alienação de uma Empresa Afiliada, uma divisão operacional, ou qualquer uma das divisões operacionais da respetiva Empresa Afiliada, a Microsoft vai trabalhar com o Cliente de boa fé para permitir a transferência.</w:t>
      </w:r>
    </w:p>
    <w:p w14:paraId="53EFC294" w14:textId="671FBE23" w:rsidR="00D23B42" w:rsidRPr="00CF16BD"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846103"/>
      <w:r w:rsidRPr="00CF16BD">
        <w:rPr>
          <w:rFonts w:asciiTheme="majorHAnsi" w:eastAsiaTheme="majorEastAsia" w:hAnsiTheme="majorHAnsi" w:cstheme="majorBidi"/>
          <w:bCs/>
          <w:color w:val="8064A2" w:themeColor="accent4"/>
          <w:sz w:val="28"/>
          <w:szCs w:val="26"/>
        </w:rPr>
        <w:lastRenderedPageBreak/>
        <w:t>Desastre Natural</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Em caso de um desastre natural, a Microsoft poderá fornecer assistência ou direitos adicionais ao publicá-los em </w:t>
      </w:r>
      <w:hyperlink r:id="rId24" w:history="1">
        <w:r>
          <w:rPr>
            <w:rStyle w:val="Hyperlink"/>
          </w:rPr>
          <w:t>http://www.microsoft.com</w:t>
        </w:r>
      </w:hyperlink>
      <w:r>
        <w:t xml:space="preserve"> nessa altura.</w:t>
      </w:r>
    </w:p>
    <w:p w14:paraId="541E496D" w14:textId="559D9BCB" w:rsidR="00D23B42" w:rsidRPr="001165AA" w:rsidRDefault="00D23B42" w:rsidP="00CC6A48">
      <w:pPr>
        <w:pStyle w:val="Hdg1noborder"/>
      </w:pPr>
      <w:bookmarkStart w:id="60" w:name="_Toc403380326"/>
      <w:bookmarkStart w:id="61" w:name="_Toc403985044"/>
      <w:bookmarkStart w:id="62" w:name="_Toc457846104"/>
      <w:r>
        <w:t xml:space="preserve">Secção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46105"/>
      <w:r>
        <w:rPr>
          <w:rFonts w:asciiTheme="majorHAnsi" w:eastAsiaTheme="majorEastAsia" w:hAnsiTheme="majorHAnsi" w:cstheme="majorBidi"/>
          <w:color w:val="8064A2" w:themeColor="accent4"/>
          <w:sz w:val="28"/>
          <w:szCs w:val="26"/>
        </w:rPr>
        <w:t>Alterações ao Manual de Licenciamento nos últimos 12 meses</w:t>
      </w:r>
      <w:bookmarkEnd w:id="63"/>
      <w:bookmarkEnd w:id="64"/>
      <w:bookmarkEnd w:id="65"/>
    </w:p>
    <w:p w14:paraId="001EC066" w14:textId="6F4B9BD5" w:rsidR="00884731" w:rsidRPr="001165AA" w:rsidRDefault="008B5155" w:rsidP="00884731">
      <w:pPr>
        <w:pStyle w:val="BodyText"/>
        <w:numPr>
          <w:ilvl w:val="0"/>
          <w:numId w:val="16"/>
        </w:numPr>
        <w:spacing w:after="0"/>
      </w:pPr>
      <w:r>
        <w:t>As atualizações de agosto de 2016 refletem a remoção de conteúdo Software Assurance do Manual de Licenciamento, disponibilidade do Microsoft Business Center (anteriormente designado por Centro de Licenciamento em Volume) para todos os</w:t>
      </w:r>
      <w:r w:rsidR="00CF16BD">
        <w:t> </w:t>
      </w:r>
      <w:r>
        <w:t>clientes, a capacidade de adquirir Step-Ups e outras transições ao abrigo do MPSA e clarificações da linguagem com base nos</w:t>
      </w:r>
      <w:r w:rsidR="00CF16BD">
        <w:t> </w:t>
      </w:r>
      <w:r>
        <w:t>comentários dos clientes.</w:t>
      </w:r>
      <w:r w:rsidR="006337A0">
        <w:t xml:space="preserve"> </w:t>
      </w:r>
      <w:r>
        <w:t>Os termos que regulam o Software Assurance que o Cliente adquire ao abrigo do MPSA podem ser</w:t>
      </w:r>
      <w:r w:rsidR="00CF16BD">
        <w:t> </w:t>
      </w:r>
      <w:r>
        <w:t>encontrados nos Termos de Produto.</w:t>
      </w:r>
    </w:p>
    <w:p w14:paraId="39F904CA" w14:textId="22869A47" w:rsidR="00D6443C" w:rsidRPr="001165AA" w:rsidRDefault="00D6443C" w:rsidP="00F83C1F">
      <w:pPr>
        <w:pStyle w:val="BodyText"/>
        <w:numPr>
          <w:ilvl w:val="0"/>
          <w:numId w:val="16"/>
        </w:numPr>
        <w:spacing w:after="0"/>
      </w:pPr>
      <w:r>
        <w:t>Em março de 2016, foi atualizado para refletir o novo portal do cliente em algumas localizações (“Microsoft Business Center”), o</w:t>
      </w:r>
      <w:r w:rsidR="00E363F8">
        <w:t> </w:t>
      </w:r>
      <w:r>
        <w:t>suporte de durações de anos completos para as subscrições, a inclusão da opção de subscrição de curto prazo para alguns Produtos e clarificação da linguagem baseada nos comentários dos Clientes.</w:t>
      </w:r>
    </w:p>
    <w:p w14:paraId="402A1F99" w14:textId="7E83F37A" w:rsidR="00686E90" w:rsidRPr="001165AA" w:rsidRDefault="00686E90" w:rsidP="00F83C1F">
      <w:pPr>
        <w:pStyle w:val="BodyText"/>
        <w:numPr>
          <w:ilvl w:val="0"/>
          <w:numId w:val="16"/>
        </w:numPr>
        <w:spacing w:after="0"/>
      </w:pPr>
      <w:r>
        <w:t>As atualizações de agosto de 2015 refletem Serviços do Azure, Serviços Online e opções de aquisição de Pacotes adicionais e</w:t>
      </w:r>
      <w:r w:rsidR="005F4A48">
        <w:t> </w:t>
      </w:r>
      <w:r>
        <w:t>pretendem fazer referência e estar em alinhamento com o documento de Termos de Produto.</w:t>
      </w:r>
      <w:r w:rsidR="006337A0">
        <w:t xml:space="preserve"> </w:t>
      </w:r>
      <w:r>
        <w:t>No início de 1 de julho de 2015,</w:t>
      </w:r>
      <w:r w:rsidR="005F4A48">
        <w:t> </w:t>
      </w:r>
      <w:r>
        <w:t>os</w:t>
      </w:r>
      <w:r w:rsidR="00E363F8">
        <w:t> </w:t>
      </w:r>
      <w:r>
        <w:t xml:space="preserve">Termos de Produto substituíram os documentos da Lista de Produto e os Direitos de Utilização de Produto (PUR).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46106"/>
      <w:r>
        <w:lastRenderedPageBreak/>
        <w:t>Apêndice</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46107"/>
      <w:bookmarkStart w:id="71" w:name="_Toc403380329"/>
      <w:r>
        <w:rPr>
          <w:rFonts w:asciiTheme="majorHAnsi" w:eastAsiaTheme="majorEastAsia" w:hAnsiTheme="majorHAnsi" w:cstheme="majorBidi"/>
          <w:bCs/>
          <w:color w:val="8064A2" w:themeColor="accent4"/>
          <w:sz w:val="28"/>
          <w:szCs w:val="26"/>
        </w:rPr>
        <w:t>Definição de R</w:t>
      </w:r>
      <w:r>
        <w:rPr>
          <w:rFonts w:asciiTheme="majorHAnsi" w:eastAsiaTheme="majorEastAsia" w:hAnsiTheme="majorHAnsi" w:cstheme="majorBidi"/>
          <w:color w:val="8064A2" w:themeColor="accent4"/>
          <w:sz w:val="28"/>
          <w:szCs w:val="26"/>
        </w:rPr>
        <w:t>egiões</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71747BBC" w:rsidR="0074401C" w:rsidRPr="001165AA" w:rsidRDefault="0074401C" w:rsidP="00D7507A">
      <w:pPr>
        <w:pStyle w:val="BodyText"/>
      </w:pPr>
      <w:r>
        <w:t>Esta lista a seguir apresenta os países</w:t>
      </w:r>
      <w:r>
        <w:rPr>
          <w:color w:val="1F497D"/>
        </w:rPr>
        <w:t xml:space="preserve">, </w:t>
      </w:r>
      <w:r>
        <w:t>regiões ou territórios</w:t>
      </w:r>
      <w:r>
        <w:rPr>
          <w:color w:val="FF0000"/>
        </w:rPr>
        <w:t xml:space="preserve"> </w:t>
      </w:r>
      <w:r>
        <w:t>que fazem parte da definição da Microsoft de região EMEA (Europa, Médio</w:t>
      </w:r>
      <w:r w:rsidR="0020648E">
        <w:t> </w:t>
      </w:r>
      <w:r>
        <w:t>Oriente e África), que pode ser referida em alguns Termos de Países de Tipo de Conta de Aquisição.</w:t>
      </w:r>
      <w:r w:rsidR="006337A0">
        <w:t xml:space="preserve"> </w:t>
      </w:r>
      <w:r>
        <w:t>O MPSA poderá não estar</w:t>
      </w:r>
      <w:r w:rsidR="0020648E">
        <w:t> </w:t>
      </w:r>
      <w:r>
        <w:t>disponível em todos os países.</w:t>
      </w:r>
    </w:p>
    <w:p w14:paraId="3A80FA13" w14:textId="37A99DEB" w:rsidR="003B5822" w:rsidRPr="001165AA" w:rsidRDefault="00632BEC" w:rsidP="003B5822">
      <w:pPr>
        <w:pStyle w:val="BodyText"/>
      </w:pPr>
      <w:r>
        <w:rPr>
          <w:sz w:val="14"/>
        </w:rPr>
        <w:t>Afeganistão, Albânia, Argélia, Andorra, Angola, Arménia, Áustria, Azerbaijão, Barém, Bielorrússia, Bélgica, Benim, Bósnia e Herzegovina, Botsuana, Bulgária, Burquina Faso, Burundi, Camarões, Cabo Verde, República Centro-Africana, Chade, Comores, Congo, República Democrática do Congo, Costa do Marfim, Croácia, Chipre, República Checa, Dinamarca, Jibuti, Egito, Guiné Equatorial, Eritreia, Estónia, Etiópia, Finlândia, França, Polinésia Francesa, Gabão, Gâmbia, Geórgia, Alemanha, Gana, Grécia, Guiné, Guiné-Bissau, Santa Sé (Estado da Cidade do Vaticano), Hungria, Islândia, Iraque, Irlanda, Israel, Itália, Jordânia, Cazaquistão, Quénia, Koweit, Quirguizistão, Letónia, Líbano, Líbia, Listenstaine, Lituânia, Luxemburgo, Macedónia, Madagáscar, Maláui, Mali, Malta, Mauritânia, Maurícia, Moldávia, Mónaco, Mongólia, Montenegro, Marrocos, Moçambique, Namíbia, Países Baixos, Nova Caledónia, Níger, Nigéria, Noruega, Omã, Paquistão, Polónia, Portugal, Catar, Roménia, Rússia, Ruanda, São Marinho, Arábia Saudita, Senegal, Sérvia, Seicheles, Serra Leoa, Eslováquia, Eslovénia, Somália, África do Sul, Sudão do Sul, Espanha, Suécia, Suíça, Síria, Tajiquistão, Tanzânia, Togo, Tunísia, Turquia, Turquemenistão, Uganda, Ucrânia, Emirados Árabes Unidos, Reino Unido, Usbequistão, Iémen, Zâmbia, Zimbabué</w:t>
      </w:r>
      <w:r w:rsidRPr="00B367A8">
        <w:rPr>
          <w:rFonts w:cs="Segoe UI"/>
          <w:color w:val="1C4269"/>
          <w:sz w:val="14"/>
          <w:szCs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DFEB04" w14:textId="77777777" w:rsidR="00DD4337" w:rsidRDefault="00DD4337" w:rsidP="00B85670">
      <w:pPr>
        <w:spacing w:line="240" w:lineRule="auto"/>
      </w:pPr>
      <w:r>
        <w:separator/>
      </w:r>
    </w:p>
  </w:endnote>
  <w:endnote w:type="continuationSeparator" w:id="0">
    <w:p w14:paraId="624790D7" w14:textId="77777777" w:rsidR="00DD4337" w:rsidRDefault="00DD4337" w:rsidP="00B85670">
      <w:pPr>
        <w:spacing w:line="240" w:lineRule="auto"/>
      </w:pPr>
      <w:r>
        <w:continuationSeparator/>
      </w:r>
    </w:p>
  </w:endnote>
  <w:endnote w:type="continuationNotice" w:id="1">
    <w:p w14:paraId="1F89F98E" w14:textId="77777777" w:rsidR="00DD4337" w:rsidRDefault="00DD433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963BB" w14:textId="77777777" w:rsidR="00711102" w:rsidRDefault="007111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70594" w14:textId="77777777" w:rsidR="00711102" w:rsidRDefault="007111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2468D94C" w:rsidR="0092123D" w:rsidRPr="001A6E41" w:rsidRDefault="0092123D" w:rsidP="00BD5A0B">
    <w:pPr>
      <w:pStyle w:val="Footer"/>
      <w:tabs>
        <w:tab w:val="clear" w:pos="4680"/>
        <w:tab w:val="clear" w:pos="9360"/>
        <w:tab w:val="right" w:pos="10800"/>
      </w:tabs>
      <w:rPr>
        <w:sz w:val="16"/>
        <w:szCs w:val="16"/>
        <w:lang w:val="en-US" w:eastAsia="en-US" w:bidi="ar-SA"/>
      </w:rPr>
    </w:pPr>
    <w:r w:rsidRPr="001A6E41">
      <w:rPr>
        <w:sz w:val="16"/>
        <w:szCs w:val="16"/>
        <w:lang w:val="en-US" w:eastAsia="en-US" w:bidi="ar-SA"/>
      </w:rPr>
      <w:t>© 2016 Microsoft Corporation.</w:t>
    </w:r>
    <w:r w:rsidR="006337A0" w:rsidRPr="001A6E41">
      <w:rPr>
        <w:sz w:val="16"/>
        <w:szCs w:val="16"/>
        <w:lang w:val="en-US" w:eastAsia="en-US" w:bidi="ar-SA"/>
      </w:rPr>
      <w:t xml:space="preserve"> </w:t>
    </w:r>
    <w:r w:rsidRPr="001A6E41">
      <w:rPr>
        <w:sz w:val="16"/>
        <w:szCs w:val="16"/>
        <w:lang w:val="en-US" w:eastAsia="en-US" w:bidi="ar-SA"/>
      </w:rPr>
      <w:t>All rights reserved.</w:t>
    </w:r>
  </w:p>
  <w:p w14:paraId="3AE7A789" w14:textId="0737243E" w:rsidR="0092123D" w:rsidRPr="00F90F7D" w:rsidRDefault="0092123D" w:rsidP="00BD5A0B">
    <w:pPr>
      <w:pStyle w:val="Footer"/>
      <w:tabs>
        <w:tab w:val="clear" w:pos="4680"/>
        <w:tab w:val="clear" w:pos="9360"/>
        <w:tab w:val="right" w:pos="10800"/>
      </w:tabs>
      <w:rPr>
        <w:rStyle w:val="LogoportDoNotTranslate"/>
      </w:rPr>
    </w:pPr>
    <w:r w:rsidRPr="001A6E41">
      <w:rPr>
        <w:sz w:val="16"/>
        <w:szCs w:val="16"/>
        <w:lang w:val="en-US" w:eastAsia="en-US" w:bidi="ar-SA"/>
      </w:rPr>
      <w:t>Microsoft is a registered trademark of Microsoft Corporation in the United States and/or other countries</w:t>
    </w:r>
    <w:r>
      <w:rPr>
        <w:rStyle w:val="LogoportDoNotTranslate"/>
      </w:rPr>
      <w:tab/>
    </w:r>
    <w:r w:rsidRPr="00C33F36">
      <w:rPr>
        <w:noProof/>
        <w:lang w:val="en-US" w:eastAsia="en-US" w:bidi="ar-SA"/>
      </w:rPr>
      <w:fldChar w:fldCharType="begin"/>
    </w:r>
    <w:r w:rsidRPr="00C33F36">
      <w:rPr>
        <w:noProof/>
        <w:lang w:val="en-US" w:eastAsia="en-US" w:bidi="ar-SA"/>
      </w:rPr>
      <w:instrText xml:space="preserve"> PAGE   \* MERGEFORMAT </w:instrText>
    </w:r>
    <w:r w:rsidRPr="00C33F36">
      <w:rPr>
        <w:noProof/>
        <w:lang w:val="en-US" w:eastAsia="en-US" w:bidi="ar-SA"/>
      </w:rPr>
      <w:fldChar w:fldCharType="separate"/>
    </w:r>
    <w:r w:rsidR="00711102">
      <w:rPr>
        <w:noProof/>
        <w:lang w:val="en-US" w:eastAsia="en-US" w:bidi="ar-SA"/>
      </w:rPr>
      <w:t>1</w:t>
    </w:r>
    <w:r w:rsidRPr="00C33F36">
      <w:rPr>
        <w:noProof/>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C8975" w14:textId="77777777" w:rsidR="00DD4337" w:rsidRDefault="00DD4337" w:rsidP="00B85670">
      <w:pPr>
        <w:spacing w:line="240" w:lineRule="auto"/>
      </w:pPr>
      <w:r>
        <w:separator/>
      </w:r>
    </w:p>
  </w:footnote>
  <w:footnote w:type="continuationSeparator" w:id="0">
    <w:p w14:paraId="72F79B91" w14:textId="77777777" w:rsidR="00DD4337" w:rsidRDefault="00DD4337" w:rsidP="00B85670">
      <w:pPr>
        <w:spacing w:line="240" w:lineRule="auto"/>
      </w:pPr>
      <w:r>
        <w:continuationSeparator/>
      </w:r>
    </w:p>
  </w:footnote>
  <w:footnote w:type="continuationNotice" w:id="1">
    <w:p w14:paraId="54261B28" w14:textId="77777777" w:rsidR="00DD4337" w:rsidRDefault="00DD4337">
      <w:pPr>
        <w:spacing w:line="240" w:lineRule="auto"/>
      </w:pPr>
    </w:p>
  </w:footnote>
  <w:footnote w:id="2">
    <w:p w14:paraId="7F46D9E4" w14:textId="5022EC9D" w:rsidR="00087B2C" w:rsidRPr="00BF4A83" w:rsidRDefault="00087B2C" w:rsidP="00087B2C">
      <w:pPr>
        <w:pStyle w:val="FootnoteText"/>
        <w:rPr>
          <w:sz w:val="14"/>
          <w:szCs w:val="14"/>
        </w:rPr>
      </w:pPr>
      <w:r w:rsidRPr="00BF4A83">
        <w:rPr>
          <w:rStyle w:val="FootnoteReference"/>
          <w:sz w:val="14"/>
          <w:szCs w:val="14"/>
        </w:rPr>
        <w:footnoteRef/>
      </w:r>
      <w:r w:rsidRPr="00BF4A83">
        <w:rPr>
          <w:sz w:val="14"/>
          <w:szCs w:val="14"/>
        </w:rPr>
        <w:t xml:space="preserve"> A assinatura física dos contratos criados eletronicamente é suportada conforme necessário.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A8E8FE" w14:textId="77777777" w:rsidR="00711102" w:rsidRDefault="007111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20CF"/>
    <w:rsid w:val="000226A2"/>
    <w:rsid w:val="0002636F"/>
    <w:rsid w:val="0002652A"/>
    <w:rsid w:val="000273F6"/>
    <w:rsid w:val="000323FD"/>
    <w:rsid w:val="0003398D"/>
    <w:rsid w:val="00035F7B"/>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87B2C"/>
    <w:rsid w:val="0009057E"/>
    <w:rsid w:val="00090662"/>
    <w:rsid w:val="00092E4D"/>
    <w:rsid w:val="00093757"/>
    <w:rsid w:val="000977E7"/>
    <w:rsid w:val="000A1A63"/>
    <w:rsid w:val="000A23F4"/>
    <w:rsid w:val="000A2A6A"/>
    <w:rsid w:val="000A2D10"/>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3EB0"/>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4FAE"/>
    <w:rsid w:val="00147EA4"/>
    <w:rsid w:val="00150ABC"/>
    <w:rsid w:val="00150F43"/>
    <w:rsid w:val="00164356"/>
    <w:rsid w:val="001645CF"/>
    <w:rsid w:val="00164C1C"/>
    <w:rsid w:val="001660CB"/>
    <w:rsid w:val="001660F0"/>
    <w:rsid w:val="00166B80"/>
    <w:rsid w:val="00170D4D"/>
    <w:rsid w:val="001711E4"/>
    <w:rsid w:val="00172EAD"/>
    <w:rsid w:val="0017396A"/>
    <w:rsid w:val="0017451D"/>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A6E41"/>
    <w:rsid w:val="001A73E7"/>
    <w:rsid w:val="001B055F"/>
    <w:rsid w:val="001B1954"/>
    <w:rsid w:val="001B290F"/>
    <w:rsid w:val="001B2CA6"/>
    <w:rsid w:val="001C0208"/>
    <w:rsid w:val="001C08A0"/>
    <w:rsid w:val="001C260E"/>
    <w:rsid w:val="001C49C7"/>
    <w:rsid w:val="001C4E58"/>
    <w:rsid w:val="001C5448"/>
    <w:rsid w:val="001D1377"/>
    <w:rsid w:val="001D165B"/>
    <w:rsid w:val="001D20AA"/>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648E"/>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397C"/>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47D84"/>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A21"/>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605"/>
    <w:rsid w:val="003C0DC6"/>
    <w:rsid w:val="003C15F7"/>
    <w:rsid w:val="003C692B"/>
    <w:rsid w:val="003C799A"/>
    <w:rsid w:val="003D33C9"/>
    <w:rsid w:val="003D3C28"/>
    <w:rsid w:val="003D4DA6"/>
    <w:rsid w:val="003E081A"/>
    <w:rsid w:val="003E1D31"/>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406"/>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202"/>
    <w:rsid w:val="004C5992"/>
    <w:rsid w:val="004C7599"/>
    <w:rsid w:val="004C7DD3"/>
    <w:rsid w:val="004D00A7"/>
    <w:rsid w:val="004D1317"/>
    <w:rsid w:val="004D2F8D"/>
    <w:rsid w:val="004D494E"/>
    <w:rsid w:val="004D68DA"/>
    <w:rsid w:val="004E076F"/>
    <w:rsid w:val="004E0BC6"/>
    <w:rsid w:val="004E1749"/>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2D78"/>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4DC1"/>
    <w:rsid w:val="005C53E6"/>
    <w:rsid w:val="005C5C70"/>
    <w:rsid w:val="005C6D7F"/>
    <w:rsid w:val="005D0AAB"/>
    <w:rsid w:val="005D44D8"/>
    <w:rsid w:val="005D454E"/>
    <w:rsid w:val="005D57A6"/>
    <w:rsid w:val="005E083D"/>
    <w:rsid w:val="005E1FDC"/>
    <w:rsid w:val="005E32B9"/>
    <w:rsid w:val="005E5A9C"/>
    <w:rsid w:val="005E5F33"/>
    <w:rsid w:val="005E6BDD"/>
    <w:rsid w:val="005F0262"/>
    <w:rsid w:val="005F07A3"/>
    <w:rsid w:val="005F0D98"/>
    <w:rsid w:val="005F0E34"/>
    <w:rsid w:val="005F4A48"/>
    <w:rsid w:val="005F64D8"/>
    <w:rsid w:val="00601C69"/>
    <w:rsid w:val="00602974"/>
    <w:rsid w:val="00603D7B"/>
    <w:rsid w:val="0060420C"/>
    <w:rsid w:val="00604521"/>
    <w:rsid w:val="00604C01"/>
    <w:rsid w:val="00604EBB"/>
    <w:rsid w:val="006056EC"/>
    <w:rsid w:val="00605AA7"/>
    <w:rsid w:val="0060730F"/>
    <w:rsid w:val="00607CCC"/>
    <w:rsid w:val="00611212"/>
    <w:rsid w:val="006125B7"/>
    <w:rsid w:val="00614328"/>
    <w:rsid w:val="00615EDF"/>
    <w:rsid w:val="00616C6F"/>
    <w:rsid w:val="0062098D"/>
    <w:rsid w:val="00622F47"/>
    <w:rsid w:val="00623302"/>
    <w:rsid w:val="00624BA5"/>
    <w:rsid w:val="006256C1"/>
    <w:rsid w:val="00630854"/>
    <w:rsid w:val="00632BEC"/>
    <w:rsid w:val="0063375C"/>
    <w:rsid w:val="006337A0"/>
    <w:rsid w:val="00633DBA"/>
    <w:rsid w:val="00634CEB"/>
    <w:rsid w:val="00636207"/>
    <w:rsid w:val="006400A4"/>
    <w:rsid w:val="006404E6"/>
    <w:rsid w:val="00640A51"/>
    <w:rsid w:val="00640E85"/>
    <w:rsid w:val="0064400B"/>
    <w:rsid w:val="00647F2A"/>
    <w:rsid w:val="006529C6"/>
    <w:rsid w:val="006535B0"/>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1BB0"/>
    <w:rsid w:val="006E3AD7"/>
    <w:rsid w:val="006E3F30"/>
    <w:rsid w:val="006E40BF"/>
    <w:rsid w:val="006E5C0F"/>
    <w:rsid w:val="006E79DF"/>
    <w:rsid w:val="006F536A"/>
    <w:rsid w:val="006F5B5A"/>
    <w:rsid w:val="006F6FFE"/>
    <w:rsid w:val="00703255"/>
    <w:rsid w:val="00703748"/>
    <w:rsid w:val="007057E6"/>
    <w:rsid w:val="00705924"/>
    <w:rsid w:val="00707565"/>
    <w:rsid w:val="00711102"/>
    <w:rsid w:val="007112C0"/>
    <w:rsid w:val="00711E35"/>
    <w:rsid w:val="00711FB4"/>
    <w:rsid w:val="00714CC6"/>
    <w:rsid w:val="00716335"/>
    <w:rsid w:val="007235A9"/>
    <w:rsid w:val="00726061"/>
    <w:rsid w:val="00726ACE"/>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6FCC"/>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3FE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5F1A"/>
    <w:rsid w:val="007C7763"/>
    <w:rsid w:val="007C7AA8"/>
    <w:rsid w:val="007D0603"/>
    <w:rsid w:val="007D090C"/>
    <w:rsid w:val="007D1148"/>
    <w:rsid w:val="007D2001"/>
    <w:rsid w:val="007D4FAA"/>
    <w:rsid w:val="007E0E51"/>
    <w:rsid w:val="007E4DEB"/>
    <w:rsid w:val="007E67BC"/>
    <w:rsid w:val="007F09D5"/>
    <w:rsid w:val="007F17B1"/>
    <w:rsid w:val="007F1CC7"/>
    <w:rsid w:val="007F1E73"/>
    <w:rsid w:val="007F3063"/>
    <w:rsid w:val="007F390C"/>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5C23"/>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6A76"/>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099A"/>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3A43"/>
    <w:rsid w:val="00AD4051"/>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584C"/>
    <w:rsid w:val="00B06B12"/>
    <w:rsid w:val="00B075C4"/>
    <w:rsid w:val="00B129B1"/>
    <w:rsid w:val="00B12F09"/>
    <w:rsid w:val="00B16140"/>
    <w:rsid w:val="00B174DD"/>
    <w:rsid w:val="00B200D7"/>
    <w:rsid w:val="00B21920"/>
    <w:rsid w:val="00B21E66"/>
    <w:rsid w:val="00B22BC1"/>
    <w:rsid w:val="00B367A8"/>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1D23"/>
    <w:rsid w:val="00BC431D"/>
    <w:rsid w:val="00BC6802"/>
    <w:rsid w:val="00BC69B3"/>
    <w:rsid w:val="00BC7B19"/>
    <w:rsid w:val="00BD112B"/>
    <w:rsid w:val="00BD1241"/>
    <w:rsid w:val="00BD19F4"/>
    <w:rsid w:val="00BD209A"/>
    <w:rsid w:val="00BD2C94"/>
    <w:rsid w:val="00BD5A0B"/>
    <w:rsid w:val="00BD77F0"/>
    <w:rsid w:val="00BE1DB8"/>
    <w:rsid w:val="00BE480E"/>
    <w:rsid w:val="00BF15E8"/>
    <w:rsid w:val="00BF426F"/>
    <w:rsid w:val="00BF4A83"/>
    <w:rsid w:val="00BF4EDE"/>
    <w:rsid w:val="00BF5666"/>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33F36"/>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16BD"/>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967C4"/>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337"/>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363F8"/>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376E"/>
    <w:rsid w:val="00F350C7"/>
    <w:rsid w:val="00F35328"/>
    <w:rsid w:val="00F360FC"/>
    <w:rsid w:val="00F40756"/>
    <w:rsid w:val="00F413BF"/>
    <w:rsid w:val="00F414D9"/>
    <w:rsid w:val="00F42B5F"/>
    <w:rsid w:val="00F43BA1"/>
    <w:rsid w:val="00F43DF3"/>
    <w:rsid w:val="00F44EC7"/>
    <w:rsid w:val="00F45A5D"/>
    <w:rsid w:val="00F46230"/>
    <w:rsid w:val="00F4625E"/>
    <w:rsid w:val="00F55CB5"/>
    <w:rsid w:val="00F572F6"/>
    <w:rsid w:val="00F60100"/>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6E9"/>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K5iSKYbUsjwwPxg5BlUe7qqalKc=" w:salt="U8epG/avge2PPXUP467ov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pt-PT" w:eastAsia="pt-PT" w:bidi="pt-PT"/>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6FEDF-5338-4DB1-B788-85D832D7F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3890</Words>
  <Characters>22178</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2016-08-05T17:23:00Z</dcterms:created>
  <dcterms:modified xsi:type="dcterms:W3CDTF">2016-08-05T17:23:00Z</dcterms:modified>
  <cp:contentStatus/>
</cp:coreProperties>
</file>