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F54" w:rsidRPr="005A6CF9" w:rsidRDefault="00296F54" w:rsidP="00296F54">
      <w:pPr>
        <w:pStyle w:val="DocSubtitle"/>
        <w:rPr>
          <w:lang w:val="es-ES"/>
        </w:rPr>
      </w:pPr>
      <w:bookmarkStart w:id="0" w:name="_GoBack"/>
      <w:bookmarkEnd w:id="0"/>
      <w:r>
        <w:rPr>
          <w:noProof/>
        </w:rPr>
        <w:drawing>
          <wp:anchor distT="0" distB="0" distL="114300" distR="114300" simplePos="0" relativeHeight="251660288" behindDoc="1" locked="0" layoutInCell="0" allowOverlap="1" wp14:anchorId="72200FD1" wp14:editId="530BBCF6">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rsidRPr="005A6CF9">
        <w:rPr>
          <w:lang w:val="es-ES"/>
        </w:rPr>
        <w:t xml:space="preserve">Licencias por Volumen de Microsoft </w:t>
      </w:r>
    </w:p>
    <w:p w:rsidR="00296F54" w:rsidRPr="00655696" w:rsidRDefault="00296F54" w:rsidP="00296F54">
      <w:pPr>
        <w:pStyle w:val="DocTitle"/>
        <w:rPr>
          <w:lang w:val="es-ES"/>
        </w:rPr>
      </w:pPr>
      <w:r w:rsidRPr="00655696">
        <w:rPr>
          <w:lang w:val="es-ES"/>
        </w:rPr>
        <w:t>Manual de Licencia del Contrato de Productos y Servicios de Microsoft</w:t>
      </w:r>
    </w:p>
    <w:p w:rsidR="00296F54" w:rsidRPr="00655696" w:rsidRDefault="00296F54" w:rsidP="00296F54">
      <w:pPr>
        <w:pStyle w:val="DocTitle"/>
        <w:rPr>
          <w:lang w:val="es-ES"/>
        </w:rPr>
      </w:pPr>
    </w:p>
    <w:p w:rsidR="00296F54" w:rsidRPr="00483B32" w:rsidRDefault="00296F54" w:rsidP="00296F54">
      <w:pPr>
        <w:pStyle w:val="DocTitle"/>
      </w:pPr>
      <w:r>
        <w:t>Agosto de 2015</w:t>
      </w:r>
    </w:p>
    <w:p w:rsidR="00296F54" w:rsidRPr="00483B32" w:rsidRDefault="00296F54" w:rsidP="00296F54"/>
    <w:p w:rsidR="00296F54" w:rsidRPr="00483B32" w:rsidRDefault="00296F54" w:rsidP="00296F54"/>
    <w:p w:rsidR="00296F54" w:rsidRPr="00483B32" w:rsidRDefault="00296F54" w:rsidP="00296F54">
      <w:r>
        <w:rPr>
          <w:noProof/>
        </w:rPr>
        <w:drawing>
          <wp:anchor distT="0" distB="0" distL="114300" distR="114300" simplePos="0" relativeHeight="251659264" behindDoc="1" locked="1" layoutInCell="0" allowOverlap="1" wp14:anchorId="045D02E9" wp14:editId="7F455A7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296F54" w:rsidRPr="00483B32" w:rsidRDefault="00296F54" w:rsidP="00296F54">
      <w:pPr>
        <w:pStyle w:val="DocTitlewhite"/>
      </w:pPr>
    </w:p>
    <w:p w:rsidR="00296F54" w:rsidRPr="00483B32" w:rsidRDefault="00296F54" w:rsidP="00296F54"/>
    <w:p w:rsidR="00296F54" w:rsidRPr="00483B32" w:rsidRDefault="00296F54" w:rsidP="00296F54"/>
    <w:p w:rsidR="00296F54" w:rsidRPr="00483B32" w:rsidRDefault="00296F54" w:rsidP="00296F54"/>
    <w:p w:rsidR="00296F54" w:rsidRPr="00483B32" w:rsidRDefault="00296F54" w:rsidP="00296F54">
      <w:pPr>
        <w:pStyle w:val="DocTitle"/>
      </w:pPr>
    </w:p>
    <w:p w:rsidR="00296F54" w:rsidRPr="00483B32" w:rsidRDefault="00296F54" w:rsidP="00296F54"/>
    <w:p w:rsidR="00296F54" w:rsidRDefault="00296F54" w:rsidP="00296F54">
      <w:pPr>
        <w:pStyle w:val="BodyText"/>
        <w:sectPr w:rsidR="00296F54"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296F54" w:rsidRPr="00483B32" w:rsidRDefault="00296F54" w:rsidP="00296F54">
      <w:pPr>
        <w:pStyle w:val="BodyText"/>
      </w:pPr>
      <w:r>
        <w:rPr>
          <w:rFonts w:ascii="Segoe UI Light" w:hAnsi="Segoe UI Light"/>
          <w:color w:val="68217A"/>
          <w:sz w:val="36"/>
        </w:rPr>
        <w:lastRenderedPageBreak/>
        <w:t>Tabla de contenido</w:t>
      </w:r>
    </w:p>
    <w:p w:rsidR="00296F54" w:rsidRDefault="00296F54" w:rsidP="00296F54">
      <w:pPr>
        <w:pStyle w:val="TOC1"/>
        <w:rPr>
          <w:rFonts w:asciiTheme="minorHAnsi" w:eastAsiaTheme="minorEastAsia" w:hAnsiTheme="minorHAnsi"/>
          <w:color w:val="auto"/>
          <w:sz w:val="22"/>
        </w:rPr>
      </w:pPr>
      <w:r>
        <w:fldChar w:fldCharType="begin"/>
      </w:r>
      <w:r>
        <w:instrText xml:space="preserve"> TOC \o "1-2" \h \z \u </w:instrText>
      </w:r>
      <w:r>
        <w:fldChar w:fldCharType="separate"/>
      </w:r>
      <w:hyperlink w:anchor="_Toc428279757" w:history="1">
        <w:r w:rsidRPr="005551C9">
          <w:rPr>
            <w:rStyle w:val="Hyperlink"/>
          </w:rPr>
          <w:t>Recursos y propósito del documento</w:t>
        </w:r>
        <w:r>
          <w:rPr>
            <w:webHidden/>
          </w:rPr>
          <w:tab/>
        </w:r>
        <w:r>
          <w:rPr>
            <w:webHidden/>
          </w:rPr>
          <w:fldChar w:fldCharType="begin"/>
        </w:r>
        <w:r>
          <w:rPr>
            <w:webHidden/>
          </w:rPr>
          <w:instrText xml:space="preserve"> PAGEREF _Toc428279757 \h </w:instrText>
        </w:r>
        <w:r>
          <w:rPr>
            <w:webHidden/>
          </w:rPr>
        </w:r>
        <w:r>
          <w:rPr>
            <w:webHidden/>
          </w:rPr>
          <w:fldChar w:fldCharType="separate"/>
        </w:r>
        <w:r>
          <w:rPr>
            <w:webHidden/>
          </w:rPr>
          <w:t>2</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58" w:history="1">
        <w:r w:rsidRPr="005551C9">
          <w:rPr>
            <w:rStyle w:val="Hyperlink"/>
          </w:rPr>
          <w:t>Sección 1</w:t>
        </w:r>
        <w:r>
          <w:rPr>
            <w:webHidden/>
          </w:rPr>
          <w:tab/>
        </w:r>
        <w:r>
          <w:rPr>
            <w:webHidden/>
          </w:rPr>
          <w:fldChar w:fldCharType="begin"/>
        </w:r>
        <w:r>
          <w:rPr>
            <w:webHidden/>
          </w:rPr>
          <w:instrText xml:space="preserve"> PAGEREF _Toc428279758 \h </w:instrText>
        </w:r>
        <w:r>
          <w:rPr>
            <w:webHidden/>
          </w:rPr>
        </w:r>
        <w:r>
          <w:rPr>
            <w:webHidden/>
          </w:rPr>
          <w:fldChar w:fldCharType="separate"/>
        </w:r>
        <w:r>
          <w:rPr>
            <w:webHidden/>
          </w:rPr>
          <w:t>3</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59" w:history="1">
        <w:r w:rsidRPr="005551C9">
          <w:rPr>
            <w:rStyle w:val="Hyperlink"/>
            <w:rFonts w:asciiTheme="majorHAnsi" w:eastAsiaTheme="majorEastAsia" w:hAnsiTheme="majorHAnsi" w:cstheme="majorBidi"/>
            <w:bCs/>
          </w:rPr>
          <w:t>Cómo funciona el Contrato de Productos y Servicios de Microsoft</w:t>
        </w:r>
        <w:r>
          <w:rPr>
            <w:webHidden/>
          </w:rPr>
          <w:tab/>
        </w:r>
        <w:r>
          <w:rPr>
            <w:webHidden/>
          </w:rPr>
          <w:fldChar w:fldCharType="begin"/>
        </w:r>
        <w:r>
          <w:rPr>
            <w:webHidden/>
          </w:rPr>
          <w:instrText xml:space="preserve"> PAGEREF _Toc428279759 \h </w:instrText>
        </w:r>
        <w:r>
          <w:rPr>
            <w:webHidden/>
          </w:rPr>
        </w:r>
        <w:r>
          <w:rPr>
            <w:webHidden/>
          </w:rPr>
          <w:fldChar w:fldCharType="separate"/>
        </w:r>
        <w:r>
          <w:rPr>
            <w:webHidden/>
          </w:rPr>
          <w:t>3</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60" w:history="1">
        <w:r w:rsidRPr="005551C9">
          <w:rPr>
            <w:rStyle w:val="Hyperlink"/>
            <w:rFonts w:asciiTheme="majorHAnsi" w:eastAsiaTheme="majorEastAsia" w:hAnsiTheme="majorHAnsi" w:cstheme="majorBidi"/>
            <w:bCs/>
          </w:rPr>
          <w:t>Estructura del contrato</w:t>
        </w:r>
        <w:r>
          <w:rPr>
            <w:webHidden/>
          </w:rPr>
          <w:tab/>
        </w:r>
        <w:r>
          <w:rPr>
            <w:webHidden/>
          </w:rPr>
          <w:fldChar w:fldCharType="begin"/>
        </w:r>
        <w:r>
          <w:rPr>
            <w:webHidden/>
          </w:rPr>
          <w:instrText xml:space="preserve"> PAGEREF _Toc428279760 \h </w:instrText>
        </w:r>
        <w:r>
          <w:rPr>
            <w:webHidden/>
          </w:rPr>
        </w:r>
        <w:r>
          <w:rPr>
            <w:webHidden/>
          </w:rPr>
          <w:fldChar w:fldCharType="separate"/>
        </w:r>
        <w:r>
          <w:rPr>
            <w:webHidden/>
          </w:rPr>
          <w:t>4</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61" w:history="1">
        <w:r w:rsidRPr="005551C9">
          <w:rPr>
            <w:rStyle w:val="Hyperlink"/>
            <w:rFonts w:asciiTheme="majorHAnsi" w:eastAsiaTheme="majorEastAsia" w:hAnsiTheme="majorHAnsi" w:cstheme="majorBidi"/>
            <w:bCs/>
          </w:rPr>
          <w:t>Adquisiciones Transaccionales</w:t>
        </w:r>
        <w:r>
          <w:rPr>
            <w:webHidden/>
          </w:rPr>
          <w:tab/>
        </w:r>
        <w:r>
          <w:rPr>
            <w:webHidden/>
          </w:rPr>
          <w:fldChar w:fldCharType="begin"/>
        </w:r>
        <w:r>
          <w:rPr>
            <w:webHidden/>
          </w:rPr>
          <w:instrText xml:space="preserve"> PAGEREF _Toc428279761 \h </w:instrText>
        </w:r>
        <w:r>
          <w:rPr>
            <w:webHidden/>
          </w:rPr>
        </w:r>
        <w:r>
          <w:rPr>
            <w:webHidden/>
          </w:rPr>
          <w:fldChar w:fldCharType="separate"/>
        </w:r>
        <w:r>
          <w:rPr>
            <w:webHidden/>
          </w:rPr>
          <w:t>4</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62" w:history="1">
        <w:r w:rsidRPr="005551C9">
          <w:rPr>
            <w:rStyle w:val="Hyperlink"/>
          </w:rPr>
          <w:t>Apartado 2</w:t>
        </w:r>
        <w:r>
          <w:rPr>
            <w:webHidden/>
          </w:rPr>
          <w:tab/>
        </w:r>
        <w:r>
          <w:rPr>
            <w:webHidden/>
          </w:rPr>
          <w:fldChar w:fldCharType="begin"/>
        </w:r>
        <w:r>
          <w:rPr>
            <w:webHidden/>
          </w:rPr>
          <w:instrText xml:space="preserve"> PAGEREF _Toc428279762 \h </w:instrText>
        </w:r>
        <w:r>
          <w:rPr>
            <w:webHidden/>
          </w:rPr>
        </w:r>
        <w:r>
          <w:rPr>
            <w:webHidden/>
          </w:rPr>
          <w:fldChar w:fldCharType="separate"/>
        </w:r>
        <w:r>
          <w:rPr>
            <w:webHidden/>
          </w:rPr>
          <w:t>6</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63" w:history="1">
        <w:r w:rsidRPr="005551C9">
          <w:rPr>
            <w:rStyle w:val="Hyperlink"/>
            <w:rFonts w:asciiTheme="majorHAnsi" w:eastAsiaTheme="majorEastAsia" w:hAnsiTheme="majorHAnsi" w:cstheme="majorBidi"/>
            <w:bCs/>
          </w:rPr>
          <w:t>Beneficios de Servicios Online</w:t>
        </w:r>
        <w:r>
          <w:rPr>
            <w:webHidden/>
          </w:rPr>
          <w:tab/>
        </w:r>
        <w:r>
          <w:rPr>
            <w:webHidden/>
          </w:rPr>
          <w:fldChar w:fldCharType="begin"/>
        </w:r>
        <w:r>
          <w:rPr>
            <w:webHidden/>
          </w:rPr>
          <w:instrText xml:space="preserve"> PAGEREF _Toc428279763 \h </w:instrText>
        </w:r>
        <w:r>
          <w:rPr>
            <w:webHidden/>
          </w:rPr>
        </w:r>
        <w:r>
          <w:rPr>
            <w:webHidden/>
          </w:rPr>
          <w:fldChar w:fldCharType="separate"/>
        </w:r>
        <w:r>
          <w:rPr>
            <w:webHidden/>
          </w:rPr>
          <w:t>6</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64" w:history="1">
        <w:r w:rsidRPr="005551C9">
          <w:rPr>
            <w:rStyle w:val="Hyperlink"/>
            <w:rFonts w:asciiTheme="majorHAnsi" w:eastAsiaTheme="majorEastAsia" w:hAnsiTheme="majorHAnsi" w:cstheme="majorBidi"/>
            <w:bCs/>
          </w:rPr>
          <w:t>Software Assurance y sus beneficios</w:t>
        </w:r>
        <w:r>
          <w:rPr>
            <w:webHidden/>
          </w:rPr>
          <w:tab/>
        </w:r>
        <w:r>
          <w:rPr>
            <w:webHidden/>
          </w:rPr>
          <w:fldChar w:fldCharType="begin"/>
        </w:r>
        <w:r>
          <w:rPr>
            <w:webHidden/>
          </w:rPr>
          <w:instrText xml:space="preserve"> PAGEREF _Toc428279764 \h </w:instrText>
        </w:r>
        <w:r>
          <w:rPr>
            <w:webHidden/>
          </w:rPr>
        </w:r>
        <w:r>
          <w:rPr>
            <w:webHidden/>
          </w:rPr>
          <w:fldChar w:fldCharType="separate"/>
        </w:r>
        <w:r>
          <w:rPr>
            <w:webHidden/>
          </w:rPr>
          <w:t>6</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65" w:history="1">
        <w:r w:rsidRPr="005551C9">
          <w:rPr>
            <w:rStyle w:val="Hyperlink"/>
            <w:rFonts w:asciiTheme="majorHAnsi" w:eastAsiaTheme="majorEastAsia" w:hAnsiTheme="majorHAnsi" w:cstheme="majorBidi"/>
            <w:bCs/>
          </w:rPr>
          <w:t>Disponibilidad de los Beneficios de Software Assurance de MPSA</w:t>
        </w:r>
        <w:r>
          <w:rPr>
            <w:webHidden/>
          </w:rPr>
          <w:tab/>
        </w:r>
        <w:r>
          <w:rPr>
            <w:webHidden/>
          </w:rPr>
          <w:fldChar w:fldCharType="begin"/>
        </w:r>
        <w:r>
          <w:rPr>
            <w:webHidden/>
          </w:rPr>
          <w:instrText xml:space="preserve"> PAGEREF _Toc428279765 \h </w:instrText>
        </w:r>
        <w:r>
          <w:rPr>
            <w:webHidden/>
          </w:rPr>
        </w:r>
        <w:r>
          <w:rPr>
            <w:webHidden/>
          </w:rPr>
          <w:fldChar w:fldCharType="separate"/>
        </w:r>
        <w:r>
          <w:rPr>
            <w:webHidden/>
          </w:rPr>
          <w:t>7</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66" w:history="1">
        <w:r w:rsidRPr="005551C9">
          <w:rPr>
            <w:rStyle w:val="Hyperlink"/>
            <w:rFonts w:asciiTheme="majorHAnsi" w:eastAsiaTheme="majorEastAsia" w:hAnsiTheme="majorHAnsi" w:cstheme="majorBidi"/>
            <w:bCs/>
          </w:rPr>
          <w:t>Beneficios según los puntos</w:t>
        </w:r>
        <w:r>
          <w:rPr>
            <w:webHidden/>
          </w:rPr>
          <w:tab/>
        </w:r>
        <w:r>
          <w:rPr>
            <w:webHidden/>
          </w:rPr>
          <w:fldChar w:fldCharType="begin"/>
        </w:r>
        <w:r>
          <w:rPr>
            <w:webHidden/>
          </w:rPr>
          <w:instrText xml:space="preserve"> PAGEREF _Toc428279766 \h </w:instrText>
        </w:r>
        <w:r>
          <w:rPr>
            <w:webHidden/>
          </w:rPr>
        </w:r>
        <w:r>
          <w:rPr>
            <w:webHidden/>
          </w:rPr>
          <w:fldChar w:fldCharType="separate"/>
        </w:r>
        <w:r>
          <w:rPr>
            <w:webHidden/>
          </w:rPr>
          <w:t>8</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67" w:history="1">
        <w:r w:rsidRPr="005551C9">
          <w:rPr>
            <w:rStyle w:val="Hyperlink"/>
          </w:rPr>
          <w:t>Planning Services</w:t>
        </w:r>
        <w:r>
          <w:rPr>
            <w:webHidden/>
          </w:rPr>
          <w:tab/>
        </w:r>
        <w:r>
          <w:rPr>
            <w:webHidden/>
          </w:rPr>
          <w:fldChar w:fldCharType="begin"/>
        </w:r>
        <w:r>
          <w:rPr>
            <w:webHidden/>
          </w:rPr>
          <w:instrText xml:space="preserve"> PAGEREF _Toc428279767 \h </w:instrText>
        </w:r>
        <w:r>
          <w:rPr>
            <w:webHidden/>
          </w:rPr>
        </w:r>
        <w:r>
          <w:rPr>
            <w:webHidden/>
          </w:rPr>
          <w:fldChar w:fldCharType="separate"/>
        </w:r>
        <w:r>
          <w:rPr>
            <w:webHidden/>
          </w:rPr>
          <w:t>8</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68" w:history="1">
        <w:r w:rsidRPr="005551C9">
          <w:rPr>
            <w:rStyle w:val="Hyperlink"/>
          </w:rPr>
          <w:t>Cupones de Formación</w:t>
        </w:r>
        <w:r>
          <w:rPr>
            <w:webHidden/>
          </w:rPr>
          <w:tab/>
        </w:r>
        <w:r>
          <w:rPr>
            <w:webHidden/>
          </w:rPr>
          <w:fldChar w:fldCharType="begin"/>
        </w:r>
        <w:r>
          <w:rPr>
            <w:webHidden/>
          </w:rPr>
          <w:instrText xml:space="preserve"> PAGEREF _Toc428279768 \h </w:instrText>
        </w:r>
        <w:r>
          <w:rPr>
            <w:webHidden/>
          </w:rPr>
        </w:r>
        <w:r>
          <w:rPr>
            <w:webHidden/>
          </w:rPr>
          <w:fldChar w:fldCharType="separate"/>
        </w:r>
        <w:r>
          <w:rPr>
            <w:webHidden/>
          </w:rPr>
          <w:t>10</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69" w:history="1">
        <w:r w:rsidRPr="005551C9">
          <w:rPr>
            <w:rStyle w:val="Hyperlink"/>
          </w:rPr>
          <w:t>24x7 Soporte Técnico para la Resolución de Problemas</w:t>
        </w:r>
        <w:r>
          <w:rPr>
            <w:webHidden/>
          </w:rPr>
          <w:tab/>
        </w:r>
        <w:r>
          <w:rPr>
            <w:webHidden/>
          </w:rPr>
          <w:fldChar w:fldCharType="begin"/>
        </w:r>
        <w:r>
          <w:rPr>
            <w:webHidden/>
          </w:rPr>
          <w:instrText xml:space="preserve"> PAGEREF _Toc428279769 \h </w:instrText>
        </w:r>
        <w:r>
          <w:rPr>
            <w:webHidden/>
          </w:rPr>
        </w:r>
        <w:r>
          <w:rPr>
            <w:webHidden/>
          </w:rPr>
          <w:fldChar w:fldCharType="separate"/>
        </w:r>
        <w:r>
          <w:rPr>
            <w:webHidden/>
          </w:rPr>
          <w:t>11</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70" w:history="1">
        <w:r w:rsidRPr="005551C9">
          <w:rPr>
            <w:rStyle w:val="Hyperlink"/>
            <w:rFonts w:asciiTheme="majorHAnsi" w:eastAsiaTheme="majorEastAsia" w:hAnsiTheme="majorHAnsi" w:cstheme="majorBidi"/>
            <w:bCs/>
          </w:rPr>
          <w:t>Beneficios del Producto certificado</w:t>
        </w:r>
        <w:r>
          <w:rPr>
            <w:webHidden/>
          </w:rPr>
          <w:tab/>
        </w:r>
        <w:r>
          <w:rPr>
            <w:webHidden/>
          </w:rPr>
          <w:fldChar w:fldCharType="begin"/>
        </w:r>
        <w:r>
          <w:rPr>
            <w:webHidden/>
          </w:rPr>
          <w:instrText xml:space="preserve"> PAGEREF _Toc428279770 \h </w:instrText>
        </w:r>
        <w:r>
          <w:rPr>
            <w:webHidden/>
          </w:rPr>
        </w:r>
        <w:r>
          <w:rPr>
            <w:webHidden/>
          </w:rPr>
          <w:fldChar w:fldCharType="separate"/>
        </w:r>
        <w:r>
          <w:rPr>
            <w:webHidden/>
          </w:rPr>
          <w:t>14</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71" w:history="1">
        <w:r w:rsidRPr="005551C9">
          <w:rPr>
            <w:rStyle w:val="Hyperlink"/>
          </w:rPr>
          <w:t>Derecho a Versiones Nuevas</w:t>
        </w:r>
        <w:r>
          <w:rPr>
            <w:webHidden/>
          </w:rPr>
          <w:tab/>
        </w:r>
        <w:r>
          <w:rPr>
            <w:webHidden/>
          </w:rPr>
          <w:fldChar w:fldCharType="begin"/>
        </w:r>
        <w:r>
          <w:rPr>
            <w:webHidden/>
          </w:rPr>
          <w:instrText xml:space="preserve"> PAGEREF _Toc428279771 \h </w:instrText>
        </w:r>
        <w:r>
          <w:rPr>
            <w:webHidden/>
          </w:rPr>
        </w:r>
        <w:r>
          <w:rPr>
            <w:webHidden/>
          </w:rPr>
          <w:fldChar w:fldCharType="separate"/>
        </w:r>
        <w:r>
          <w:rPr>
            <w:webHidden/>
          </w:rPr>
          <w:t>14</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72" w:history="1">
        <w:r w:rsidRPr="005551C9">
          <w:rPr>
            <w:rStyle w:val="Hyperlink"/>
          </w:rPr>
          <w:t>Office Multi Language Pack</w:t>
        </w:r>
        <w:r>
          <w:rPr>
            <w:webHidden/>
          </w:rPr>
          <w:tab/>
        </w:r>
        <w:r>
          <w:rPr>
            <w:webHidden/>
          </w:rPr>
          <w:fldChar w:fldCharType="begin"/>
        </w:r>
        <w:r>
          <w:rPr>
            <w:webHidden/>
          </w:rPr>
          <w:instrText xml:space="preserve"> PAGEREF _Toc428279772 \h </w:instrText>
        </w:r>
        <w:r>
          <w:rPr>
            <w:webHidden/>
          </w:rPr>
        </w:r>
        <w:r>
          <w:rPr>
            <w:webHidden/>
          </w:rPr>
          <w:fldChar w:fldCharType="separate"/>
        </w:r>
        <w:r>
          <w:rPr>
            <w:webHidden/>
          </w:rPr>
          <w:t>14</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73" w:history="1">
        <w:r w:rsidRPr="005551C9">
          <w:rPr>
            <w:rStyle w:val="Hyperlink"/>
          </w:rPr>
          <w:t>E-Learning</w:t>
        </w:r>
        <w:r>
          <w:rPr>
            <w:webHidden/>
          </w:rPr>
          <w:tab/>
        </w:r>
        <w:r>
          <w:rPr>
            <w:webHidden/>
          </w:rPr>
          <w:fldChar w:fldCharType="begin"/>
        </w:r>
        <w:r>
          <w:rPr>
            <w:webHidden/>
          </w:rPr>
          <w:instrText xml:space="preserve"> PAGEREF _Toc428279773 \h </w:instrText>
        </w:r>
        <w:r>
          <w:rPr>
            <w:webHidden/>
          </w:rPr>
        </w:r>
        <w:r>
          <w:rPr>
            <w:webHidden/>
          </w:rPr>
          <w:fldChar w:fldCharType="separate"/>
        </w:r>
        <w:r>
          <w:rPr>
            <w:webHidden/>
          </w:rPr>
          <w:t>14</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74" w:history="1">
        <w:r w:rsidRPr="005551C9">
          <w:rPr>
            <w:rStyle w:val="Hyperlink"/>
          </w:rPr>
          <w:t>Home Use Program (Programa de Uso en el Hogar)</w:t>
        </w:r>
        <w:r>
          <w:rPr>
            <w:webHidden/>
          </w:rPr>
          <w:tab/>
        </w:r>
        <w:r>
          <w:rPr>
            <w:webHidden/>
          </w:rPr>
          <w:fldChar w:fldCharType="begin"/>
        </w:r>
        <w:r>
          <w:rPr>
            <w:webHidden/>
          </w:rPr>
          <w:instrText xml:space="preserve"> PAGEREF _Toc428279774 \h </w:instrText>
        </w:r>
        <w:r>
          <w:rPr>
            <w:webHidden/>
          </w:rPr>
        </w:r>
        <w:r>
          <w:rPr>
            <w:webHidden/>
          </w:rPr>
          <w:fldChar w:fldCharType="separate"/>
        </w:r>
        <w:r>
          <w:rPr>
            <w:webHidden/>
          </w:rPr>
          <w:t>14</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75" w:history="1">
        <w:r w:rsidRPr="005551C9">
          <w:rPr>
            <w:rStyle w:val="Hyperlink"/>
          </w:rPr>
          <w:t>Programa de Licencia de Origen Empresarial</w:t>
        </w:r>
        <w:r>
          <w:rPr>
            <w:webHidden/>
          </w:rPr>
          <w:tab/>
        </w:r>
        <w:r>
          <w:rPr>
            <w:webHidden/>
          </w:rPr>
          <w:fldChar w:fldCharType="begin"/>
        </w:r>
        <w:r>
          <w:rPr>
            <w:webHidden/>
          </w:rPr>
          <w:instrText xml:space="preserve"> PAGEREF _Toc428279775 \h </w:instrText>
        </w:r>
        <w:r>
          <w:rPr>
            <w:webHidden/>
          </w:rPr>
        </w:r>
        <w:r>
          <w:rPr>
            <w:webHidden/>
          </w:rPr>
          <w:fldChar w:fldCharType="separate"/>
        </w:r>
        <w:r>
          <w:rPr>
            <w:webHidden/>
          </w:rPr>
          <w:t>15</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76" w:history="1">
        <w:r w:rsidRPr="005551C9">
          <w:rPr>
            <w:rStyle w:val="Hyperlink"/>
          </w:rPr>
          <w:t>Copia de Seguridad para Recuperación de Desastres</w:t>
        </w:r>
        <w:r>
          <w:rPr>
            <w:webHidden/>
          </w:rPr>
          <w:tab/>
        </w:r>
        <w:r>
          <w:rPr>
            <w:webHidden/>
          </w:rPr>
          <w:fldChar w:fldCharType="begin"/>
        </w:r>
        <w:r>
          <w:rPr>
            <w:webHidden/>
          </w:rPr>
          <w:instrText xml:space="preserve"> PAGEREF _Toc428279776 \h </w:instrText>
        </w:r>
        <w:r>
          <w:rPr>
            <w:webHidden/>
          </w:rPr>
        </w:r>
        <w:r>
          <w:rPr>
            <w:webHidden/>
          </w:rPr>
          <w:fldChar w:fldCharType="separate"/>
        </w:r>
        <w:r>
          <w:rPr>
            <w:webHidden/>
          </w:rPr>
          <w:t>16</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77" w:history="1">
        <w:r w:rsidRPr="005551C9">
          <w:rPr>
            <w:rStyle w:val="Hyperlink"/>
          </w:rPr>
          <w:t>Movilidad de Licencias a través de Software Assurance.</w:t>
        </w:r>
        <w:r>
          <w:rPr>
            <w:webHidden/>
          </w:rPr>
          <w:tab/>
        </w:r>
        <w:r>
          <w:rPr>
            <w:webHidden/>
          </w:rPr>
          <w:fldChar w:fldCharType="begin"/>
        </w:r>
        <w:r>
          <w:rPr>
            <w:webHidden/>
          </w:rPr>
          <w:instrText xml:space="preserve"> PAGEREF _Toc428279777 \h </w:instrText>
        </w:r>
        <w:r>
          <w:rPr>
            <w:webHidden/>
          </w:rPr>
        </w:r>
        <w:r>
          <w:rPr>
            <w:webHidden/>
          </w:rPr>
          <w:fldChar w:fldCharType="separate"/>
        </w:r>
        <w:r>
          <w:rPr>
            <w:webHidden/>
          </w:rPr>
          <w:t>16</w:t>
        </w:r>
        <w:r>
          <w:rPr>
            <w:webHidden/>
          </w:rPr>
          <w:fldChar w:fldCharType="end"/>
        </w:r>
      </w:hyperlink>
    </w:p>
    <w:p w:rsidR="00296F54" w:rsidRDefault="00296F54" w:rsidP="00296F54">
      <w:pPr>
        <w:pStyle w:val="TOC2"/>
        <w:rPr>
          <w:rFonts w:asciiTheme="minorHAnsi" w:eastAsiaTheme="minorEastAsia" w:hAnsiTheme="minorHAnsi" w:cstheme="minorBidi"/>
          <w:color w:val="auto"/>
          <w:sz w:val="22"/>
          <w:szCs w:val="22"/>
        </w:rPr>
      </w:pPr>
      <w:hyperlink w:anchor="_Toc428279778" w:history="1">
        <w:r w:rsidRPr="005551C9">
          <w:rPr>
            <w:rStyle w:val="Hyperlink"/>
          </w:rPr>
          <w:t>Soporte Técnico de Revisiones Ampliado</w:t>
        </w:r>
        <w:r>
          <w:rPr>
            <w:webHidden/>
          </w:rPr>
          <w:tab/>
        </w:r>
        <w:r>
          <w:rPr>
            <w:webHidden/>
          </w:rPr>
          <w:fldChar w:fldCharType="begin"/>
        </w:r>
        <w:r>
          <w:rPr>
            <w:webHidden/>
          </w:rPr>
          <w:instrText xml:space="preserve"> PAGEREF _Toc428279778 \h </w:instrText>
        </w:r>
        <w:r>
          <w:rPr>
            <w:webHidden/>
          </w:rPr>
        </w:r>
        <w:r>
          <w:rPr>
            <w:webHidden/>
          </w:rPr>
          <w:fldChar w:fldCharType="separate"/>
        </w:r>
        <w:r>
          <w:rPr>
            <w:webHidden/>
          </w:rPr>
          <w:t>16</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79" w:history="1">
        <w:r w:rsidRPr="005551C9">
          <w:rPr>
            <w:rStyle w:val="Hyperlink"/>
          </w:rPr>
          <w:t>Apartado 3</w:t>
        </w:r>
        <w:r>
          <w:rPr>
            <w:webHidden/>
          </w:rPr>
          <w:tab/>
        </w:r>
        <w:r>
          <w:rPr>
            <w:webHidden/>
          </w:rPr>
          <w:fldChar w:fldCharType="begin"/>
        </w:r>
        <w:r>
          <w:rPr>
            <w:webHidden/>
          </w:rPr>
          <w:instrText xml:space="preserve"> PAGEREF _Toc428279779 \h </w:instrText>
        </w:r>
        <w:r>
          <w:rPr>
            <w:webHidden/>
          </w:rPr>
        </w:r>
        <w:r>
          <w:rPr>
            <w:webHidden/>
          </w:rPr>
          <w:fldChar w:fldCharType="separate"/>
        </w:r>
        <w:r>
          <w:rPr>
            <w:webHidden/>
          </w:rPr>
          <w:t>16</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0" w:history="1">
        <w:r w:rsidRPr="005551C9">
          <w:rPr>
            <w:rStyle w:val="Hyperlink"/>
            <w:rFonts w:asciiTheme="majorHAnsi" w:eastAsiaTheme="majorEastAsia" w:hAnsiTheme="majorHAnsi" w:cstheme="majorBidi"/>
            <w:bCs/>
          </w:rPr>
          <w:t>Copias de los Productos y derechos a reemplazar copias</w:t>
        </w:r>
        <w:r>
          <w:rPr>
            <w:webHidden/>
          </w:rPr>
          <w:tab/>
        </w:r>
        <w:r>
          <w:rPr>
            <w:webHidden/>
          </w:rPr>
          <w:fldChar w:fldCharType="begin"/>
        </w:r>
        <w:r>
          <w:rPr>
            <w:webHidden/>
          </w:rPr>
          <w:instrText xml:space="preserve"> PAGEREF _Toc428279780 \h </w:instrText>
        </w:r>
        <w:r>
          <w:rPr>
            <w:webHidden/>
          </w:rPr>
        </w:r>
        <w:r>
          <w:rPr>
            <w:webHidden/>
          </w:rPr>
          <w:fldChar w:fldCharType="separate"/>
        </w:r>
        <w:r>
          <w:rPr>
            <w:webHidden/>
          </w:rPr>
          <w:t>16</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1" w:history="1">
        <w:r w:rsidRPr="005551C9">
          <w:rPr>
            <w:rStyle w:val="Hyperlink"/>
            <w:rFonts w:asciiTheme="majorHAnsi" w:eastAsiaTheme="majorEastAsia" w:hAnsiTheme="majorHAnsi" w:cstheme="majorBidi"/>
            <w:bCs/>
          </w:rPr>
          <w:t>Proceso de Transferencia de Licencia</w:t>
        </w:r>
        <w:r>
          <w:rPr>
            <w:webHidden/>
          </w:rPr>
          <w:tab/>
        </w:r>
        <w:r>
          <w:rPr>
            <w:webHidden/>
          </w:rPr>
          <w:fldChar w:fldCharType="begin"/>
        </w:r>
        <w:r>
          <w:rPr>
            <w:webHidden/>
          </w:rPr>
          <w:instrText xml:space="preserve"> PAGEREF _Toc428279781 \h </w:instrText>
        </w:r>
        <w:r>
          <w:rPr>
            <w:webHidden/>
          </w:rPr>
        </w:r>
        <w:r>
          <w:rPr>
            <w:webHidden/>
          </w:rPr>
          <w:fldChar w:fldCharType="separate"/>
        </w:r>
        <w:r>
          <w:rPr>
            <w:webHidden/>
          </w:rPr>
          <w:t>17</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2" w:history="1">
        <w:r w:rsidRPr="005551C9">
          <w:rPr>
            <w:rStyle w:val="Hyperlink"/>
            <w:rFonts w:asciiTheme="majorHAnsi" w:eastAsiaTheme="majorEastAsia" w:hAnsiTheme="majorHAnsi" w:cstheme="majorBidi"/>
            <w:bCs/>
          </w:rPr>
          <w:t xml:space="preserve">Proceso de Verificación del Cumplimiento y </w:t>
        </w:r>
        <w:r w:rsidRPr="005551C9">
          <w:rPr>
            <w:rStyle w:val="Hyperlink"/>
            <w:rFonts w:asciiTheme="majorHAnsi" w:eastAsiaTheme="majorEastAsia" w:hAnsiTheme="majorHAnsi"/>
          </w:rPr>
          <w:t>Limitaciones</w:t>
        </w:r>
        <w:r>
          <w:rPr>
            <w:webHidden/>
          </w:rPr>
          <w:tab/>
        </w:r>
        <w:r>
          <w:rPr>
            <w:webHidden/>
          </w:rPr>
          <w:fldChar w:fldCharType="begin"/>
        </w:r>
        <w:r>
          <w:rPr>
            <w:webHidden/>
          </w:rPr>
          <w:instrText xml:space="preserve"> PAGEREF _Toc428279782 \h </w:instrText>
        </w:r>
        <w:r>
          <w:rPr>
            <w:webHidden/>
          </w:rPr>
        </w:r>
        <w:r>
          <w:rPr>
            <w:webHidden/>
          </w:rPr>
          <w:fldChar w:fldCharType="separate"/>
        </w:r>
        <w:r>
          <w:rPr>
            <w:webHidden/>
          </w:rPr>
          <w:t>17</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3" w:history="1">
        <w:r w:rsidRPr="005551C9">
          <w:rPr>
            <w:rStyle w:val="Hyperlink"/>
            <w:rFonts w:asciiTheme="majorHAnsi" w:eastAsiaTheme="majorEastAsia" w:hAnsiTheme="majorHAnsi" w:cstheme="majorBidi"/>
            <w:bCs/>
          </w:rPr>
          <w:t>Desinversiones</w:t>
        </w:r>
        <w:r>
          <w:rPr>
            <w:webHidden/>
          </w:rPr>
          <w:tab/>
        </w:r>
        <w:r>
          <w:rPr>
            <w:webHidden/>
          </w:rPr>
          <w:fldChar w:fldCharType="begin"/>
        </w:r>
        <w:r>
          <w:rPr>
            <w:webHidden/>
          </w:rPr>
          <w:instrText xml:space="preserve"> PAGEREF _Toc428279783 \h </w:instrText>
        </w:r>
        <w:r>
          <w:rPr>
            <w:webHidden/>
          </w:rPr>
        </w:r>
        <w:r>
          <w:rPr>
            <w:webHidden/>
          </w:rPr>
          <w:fldChar w:fldCharType="separate"/>
        </w:r>
        <w:r>
          <w:rPr>
            <w:webHidden/>
          </w:rPr>
          <w:t>17</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4" w:history="1">
        <w:r w:rsidRPr="005551C9">
          <w:rPr>
            <w:rStyle w:val="Hyperlink"/>
            <w:rFonts w:asciiTheme="majorHAnsi" w:eastAsiaTheme="majorEastAsia" w:hAnsiTheme="majorHAnsi" w:cstheme="majorBidi"/>
            <w:bCs/>
          </w:rPr>
          <w:t>Desastre natural</w:t>
        </w:r>
        <w:r>
          <w:rPr>
            <w:webHidden/>
          </w:rPr>
          <w:tab/>
        </w:r>
        <w:r>
          <w:rPr>
            <w:webHidden/>
          </w:rPr>
          <w:fldChar w:fldCharType="begin"/>
        </w:r>
        <w:r>
          <w:rPr>
            <w:webHidden/>
          </w:rPr>
          <w:instrText xml:space="preserve"> PAGEREF _Toc428279784 \h </w:instrText>
        </w:r>
        <w:r>
          <w:rPr>
            <w:webHidden/>
          </w:rPr>
        </w:r>
        <w:r>
          <w:rPr>
            <w:webHidden/>
          </w:rPr>
          <w:fldChar w:fldCharType="separate"/>
        </w:r>
        <w:r>
          <w:rPr>
            <w:webHidden/>
          </w:rPr>
          <w:t>17</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5" w:history="1">
        <w:r w:rsidRPr="005551C9">
          <w:rPr>
            <w:rStyle w:val="Hyperlink"/>
          </w:rPr>
          <w:t>Apartado 4</w:t>
        </w:r>
        <w:r>
          <w:rPr>
            <w:webHidden/>
          </w:rPr>
          <w:tab/>
        </w:r>
        <w:r>
          <w:rPr>
            <w:webHidden/>
          </w:rPr>
          <w:fldChar w:fldCharType="begin"/>
        </w:r>
        <w:r>
          <w:rPr>
            <w:webHidden/>
          </w:rPr>
          <w:instrText xml:space="preserve"> PAGEREF _Toc428279785 \h </w:instrText>
        </w:r>
        <w:r>
          <w:rPr>
            <w:webHidden/>
          </w:rPr>
        </w:r>
        <w:r>
          <w:rPr>
            <w:webHidden/>
          </w:rPr>
          <w:fldChar w:fldCharType="separate"/>
        </w:r>
        <w:r>
          <w:rPr>
            <w:webHidden/>
          </w:rPr>
          <w:t>17</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6" w:history="1">
        <w:r w:rsidRPr="005551C9">
          <w:rPr>
            <w:rStyle w:val="Hyperlink"/>
            <w:rFonts w:asciiTheme="majorHAnsi" w:eastAsiaTheme="majorEastAsia" w:hAnsiTheme="majorHAnsi" w:cstheme="majorBidi"/>
          </w:rPr>
          <w:t>Cambios en el Manual de Licencia durante los últimos 12 meses</w:t>
        </w:r>
        <w:r>
          <w:rPr>
            <w:webHidden/>
          </w:rPr>
          <w:tab/>
        </w:r>
        <w:r>
          <w:rPr>
            <w:webHidden/>
          </w:rPr>
          <w:fldChar w:fldCharType="begin"/>
        </w:r>
        <w:r>
          <w:rPr>
            <w:webHidden/>
          </w:rPr>
          <w:instrText xml:space="preserve"> PAGEREF _Toc428279786 \h </w:instrText>
        </w:r>
        <w:r>
          <w:rPr>
            <w:webHidden/>
          </w:rPr>
        </w:r>
        <w:r>
          <w:rPr>
            <w:webHidden/>
          </w:rPr>
          <w:fldChar w:fldCharType="separate"/>
        </w:r>
        <w:r>
          <w:rPr>
            <w:webHidden/>
          </w:rPr>
          <w:t>17</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7" w:history="1">
        <w:r w:rsidRPr="005551C9">
          <w:rPr>
            <w:rStyle w:val="Hyperlink"/>
          </w:rPr>
          <w:t>Apéndice</w:t>
        </w:r>
        <w:r>
          <w:rPr>
            <w:webHidden/>
          </w:rPr>
          <w:tab/>
        </w:r>
        <w:r>
          <w:rPr>
            <w:webHidden/>
          </w:rPr>
          <w:fldChar w:fldCharType="begin"/>
        </w:r>
        <w:r>
          <w:rPr>
            <w:webHidden/>
          </w:rPr>
          <w:instrText xml:space="preserve"> PAGEREF _Toc428279787 \h </w:instrText>
        </w:r>
        <w:r>
          <w:rPr>
            <w:webHidden/>
          </w:rPr>
        </w:r>
        <w:r>
          <w:rPr>
            <w:webHidden/>
          </w:rPr>
          <w:fldChar w:fldCharType="separate"/>
        </w:r>
        <w:r>
          <w:rPr>
            <w:webHidden/>
          </w:rPr>
          <w:t>18</w:t>
        </w:r>
        <w:r>
          <w:rPr>
            <w:webHidden/>
          </w:rPr>
          <w:fldChar w:fldCharType="end"/>
        </w:r>
      </w:hyperlink>
    </w:p>
    <w:p w:rsidR="00296F54" w:rsidRDefault="00296F54" w:rsidP="00296F54">
      <w:pPr>
        <w:pStyle w:val="TOC1"/>
        <w:rPr>
          <w:rFonts w:asciiTheme="minorHAnsi" w:eastAsiaTheme="minorEastAsia" w:hAnsiTheme="minorHAnsi"/>
          <w:color w:val="auto"/>
          <w:sz w:val="22"/>
        </w:rPr>
      </w:pPr>
      <w:hyperlink w:anchor="_Toc428279788" w:history="1">
        <w:r w:rsidRPr="005551C9">
          <w:rPr>
            <w:rStyle w:val="Hyperlink"/>
            <w:rFonts w:asciiTheme="majorHAnsi" w:eastAsiaTheme="majorEastAsia" w:hAnsiTheme="majorHAnsi" w:cstheme="majorBidi"/>
            <w:bCs/>
          </w:rPr>
          <w:t>Definición de R</w:t>
        </w:r>
        <w:r w:rsidRPr="005551C9">
          <w:rPr>
            <w:rStyle w:val="Hyperlink"/>
            <w:rFonts w:asciiTheme="majorHAnsi" w:eastAsiaTheme="majorEastAsia" w:hAnsiTheme="majorHAnsi" w:cstheme="majorBidi"/>
          </w:rPr>
          <w:t>egiones</w:t>
        </w:r>
        <w:r>
          <w:rPr>
            <w:webHidden/>
          </w:rPr>
          <w:tab/>
        </w:r>
        <w:r>
          <w:rPr>
            <w:webHidden/>
          </w:rPr>
          <w:fldChar w:fldCharType="begin"/>
        </w:r>
        <w:r>
          <w:rPr>
            <w:webHidden/>
          </w:rPr>
          <w:instrText xml:space="preserve"> PAGEREF _Toc428279788 \h </w:instrText>
        </w:r>
        <w:r>
          <w:rPr>
            <w:webHidden/>
          </w:rPr>
        </w:r>
        <w:r>
          <w:rPr>
            <w:webHidden/>
          </w:rPr>
          <w:fldChar w:fldCharType="separate"/>
        </w:r>
        <w:r>
          <w:rPr>
            <w:webHidden/>
          </w:rPr>
          <w:t>18</w:t>
        </w:r>
        <w:r>
          <w:rPr>
            <w:webHidden/>
          </w:rPr>
          <w:fldChar w:fldCharType="end"/>
        </w:r>
      </w:hyperlink>
    </w:p>
    <w:p w:rsidR="00296F54" w:rsidRPr="00483B32" w:rsidRDefault="00296F54" w:rsidP="00296F54">
      <w:pPr>
        <w:pStyle w:val="BodyText"/>
      </w:pPr>
      <w:r>
        <w:fldChar w:fldCharType="end"/>
      </w:r>
    </w:p>
    <w:p w:rsidR="00296F54" w:rsidRPr="00655696" w:rsidRDefault="00296F54" w:rsidP="00296F54">
      <w:pPr>
        <w:pStyle w:val="Hdg1noborder"/>
        <w:rPr>
          <w:lang w:val="es-ES"/>
        </w:rPr>
      </w:pPr>
      <w:bookmarkStart w:id="1" w:name="_Toc403380293"/>
      <w:bookmarkStart w:id="2" w:name="_Toc403985011"/>
      <w:bookmarkStart w:id="3" w:name="_Toc428279757"/>
      <w:r w:rsidRPr="00655696">
        <w:rPr>
          <w:lang w:val="es-ES"/>
        </w:rPr>
        <w:lastRenderedPageBreak/>
        <w:t>Recursos y propósito del documento</w:t>
      </w:r>
      <w:bookmarkEnd w:id="1"/>
      <w:bookmarkEnd w:id="2"/>
      <w:bookmarkEnd w:id="3"/>
    </w:p>
    <w:p w:rsidR="00296F54" w:rsidRPr="00655696" w:rsidRDefault="00296F54" w:rsidP="00296F54">
      <w:pPr>
        <w:pStyle w:val="BodyText"/>
        <w:rPr>
          <w:lang w:val="es-ES"/>
        </w:rPr>
      </w:pPr>
      <w:r w:rsidRPr="00655696">
        <w:rPr>
          <w:lang w:val="es-ES"/>
        </w:rPr>
        <w:t>El Manual de Licencia proporciona información adicional a los clientes con un Contrato de Productos y Servicios de Microsoft (MPSA) sobre la estructura de la cuenta, los procesos de realización de pedidos, los precios, Software Assurance, los beneficios de Software Assurance y otros términos. Todos los términos en mayúsculas que se utilizan, pero no se definen en este Manual de Licencia, tendrán el mismo significado que el establecido en el MPSA.</w:t>
      </w:r>
    </w:p>
    <w:p w:rsidR="00296F54" w:rsidRPr="00655696" w:rsidRDefault="00296F54" w:rsidP="00296F54">
      <w:pPr>
        <w:pStyle w:val="BodyText"/>
        <w:rPr>
          <w:lang w:val="es-ES"/>
        </w:rPr>
      </w:pPr>
      <w:r w:rsidRPr="00655696">
        <w:rPr>
          <w:lang w:val="es-ES"/>
        </w:rPr>
        <w:t xml:space="preserve">Encontrará información general del MPSA en la guía de licencias en </w:t>
      </w:r>
      <w:hyperlink r:id="rId11" w:history="1">
        <w:r w:rsidRPr="00655696">
          <w:rPr>
            <w:rStyle w:val="Hyperlink"/>
            <w:lang w:val="es-ES"/>
          </w:rPr>
          <w:t>http://www.microsoft.com/licensing/mpsa/</w:t>
        </w:r>
      </w:hyperlink>
      <w:r w:rsidRPr="00655696">
        <w:rPr>
          <w:rStyle w:val="Hyperlink"/>
          <w:lang w:val="es-ES"/>
        </w:rPr>
        <w:t xml:space="preserve">. </w:t>
      </w:r>
    </w:p>
    <w:p w:rsidR="00296F54" w:rsidRPr="00655696" w:rsidRDefault="00296F54" w:rsidP="00296F54">
      <w:pPr>
        <w:pStyle w:val="BodyText"/>
        <w:rPr>
          <w:lang w:val="es-ES"/>
        </w:rPr>
      </w:pPr>
      <w:r w:rsidRPr="00655696">
        <w:rPr>
          <w:lang w:val="es-ES"/>
        </w:rPr>
        <w:t xml:space="preserve">Para obtener la versión más reciente de este documento e información sobre los Términos de Productos consulte </w:t>
      </w:r>
      <w:hyperlink r:id="rId12" w:history="1">
        <w:r w:rsidRPr="00655696">
          <w:rPr>
            <w:rStyle w:val="Hyperlink"/>
            <w:lang w:val="es-ES"/>
          </w:rPr>
          <w:t>http://www.microsoft.com/licensing/contracts</w:t>
        </w:r>
      </w:hyperlink>
      <w:r w:rsidRPr="00655696">
        <w:rPr>
          <w:rStyle w:val="Hyperlink"/>
          <w:lang w:val="es-ES"/>
        </w:rPr>
        <w:t>.</w:t>
      </w:r>
      <w:r w:rsidRPr="00655696">
        <w:rPr>
          <w:lang w:val="es-ES"/>
        </w:rPr>
        <w:t xml:space="preserve"> </w:t>
      </w:r>
    </w:p>
    <w:p w:rsidR="00296F54" w:rsidRPr="00655696" w:rsidRDefault="00296F54" w:rsidP="00296F54">
      <w:pPr>
        <w:spacing w:line="240" w:lineRule="auto"/>
        <w:rPr>
          <w:lang w:val="es-ES"/>
        </w:rPr>
      </w:pPr>
      <w:r w:rsidRPr="00655696">
        <w:rPr>
          <w:lang w:val="es-ES"/>
        </w:rPr>
        <w:br w:type="page"/>
      </w:r>
    </w:p>
    <w:p w:rsidR="00296F54" w:rsidRPr="00655696" w:rsidRDefault="00296F54" w:rsidP="00296F54">
      <w:pPr>
        <w:pStyle w:val="Hdg1noborder"/>
        <w:spacing w:before="120" w:after="0"/>
        <w:rPr>
          <w:lang w:val="es-ES"/>
        </w:rPr>
      </w:pPr>
      <w:bookmarkStart w:id="4" w:name="_Toc403380294"/>
      <w:bookmarkStart w:id="5" w:name="_Toc403985012"/>
      <w:bookmarkStart w:id="6" w:name="_Toc428279758"/>
      <w:r w:rsidRPr="00655696">
        <w:rPr>
          <w:lang w:val="es-ES"/>
        </w:rPr>
        <w:lastRenderedPageBreak/>
        <w:t>Sección 1</w:t>
      </w:r>
      <w:bookmarkEnd w:id="4"/>
      <w:bookmarkEnd w:id="5"/>
      <w:bookmarkEnd w:id="6"/>
    </w:p>
    <w:p w:rsidR="00296F54" w:rsidRPr="00655696" w:rsidRDefault="00296F54" w:rsidP="00296F54">
      <w:pPr>
        <w:pStyle w:val="Hdg1noborder"/>
        <w:spacing w:before="120" w:after="120" w:line="240" w:lineRule="auto"/>
        <w:rPr>
          <w:rFonts w:eastAsiaTheme="majorEastAsia"/>
          <w:lang w:val="es-ES"/>
        </w:rPr>
      </w:pPr>
      <w:bookmarkStart w:id="7" w:name="_Toc403380295"/>
      <w:bookmarkStart w:id="8" w:name="_Toc403985013"/>
      <w:bookmarkStart w:id="9" w:name="_Toc428279759"/>
      <w:r w:rsidRPr="00655696">
        <w:rPr>
          <w:rFonts w:asciiTheme="majorHAnsi" w:eastAsiaTheme="majorEastAsia" w:hAnsiTheme="majorHAnsi" w:cstheme="majorBidi"/>
          <w:bCs/>
          <w:color w:val="FFC000" w:themeColor="accent4"/>
          <w:sz w:val="28"/>
          <w:szCs w:val="26"/>
          <w:lang w:val="es-ES"/>
        </w:rPr>
        <w:t>Cómo funciona el Contrato de Productos y Servicios de Microsoft</w:t>
      </w:r>
      <w:bookmarkEnd w:id="7"/>
      <w:bookmarkEnd w:id="8"/>
      <w:bookmarkEnd w:id="9"/>
    </w:p>
    <w:p w:rsidR="00296F54" w:rsidRPr="00655696" w:rsidRDefault="00296F54" w:rsidP="00296F54">
      <w:pPr>
        <w:pStyle w:val="Thirdheading"/>
        <w:rPr>
          <w:lang w:val="es-ES"/>
        </w:rPr>
      </w:pPr>
      <w:r w:rsidRPr="00655696">
        <w:rPr>
          <w:b/>
          <w:lang w:val="es-ES"/>
        </w:rPr>
        <w:t>Estructura de la cuenta</w:t>
      </w:r>
    </w:p>
    <w:p w:rsidR="00296F54" w:rsidRPr="00655696" w:rsidRDefault="00296F54" w:rsidP="00296F54">
      <w:pPr>
        <w:pStyle w:val="BodyText"/>
        <w:rPr>
          <w:lang w:val="es-ES"/>
        </w:rPr>
      </w:pPr>
      <w:r w:rsidRPr="00655696">
        <w:rPr>
          <w:lang w:val="es-ES"/>
        </w:rPr>
        <w:t>Con el Contrato de Productos y Servicios de Microsoft, tiene la flexibilidad de configurar la estructura de adquisición que desee para las compras de Licencias por Volumen con Cuentas de Compra. Una Cuenta de compra se define como cualquier unidad dentro de su organización para la que desee habilitar la compra tanto de Software como de Servicios Online. Las Cuentas de Compra se asocian al MPSA de la organización, a través de la persona jurídica definida en el formulario de registro de la Cuenta de Compra.</w:t>
      </w:r>
    </w:p>
    <w:p w:rsidR="00296F54" w:rsidRPr="00655696" w:rsidRDefault="00296F54" w:rsidP="00296F54">
      <w:pPr>
        <w:pStyle w:val="BodyText"/>
        <w:rPr>
          <w:lang w:val="es-ES"/>
        </w:rPr>
      </w:pPr>
      <w:r w:rsidRPr="00655696">
        <w:rPr>
          <w:lang w:val="es-ES"/>
        </w:rPr>
        <w:t xml:space="preserve">Existen tres tipos de Cuentas de Compra para diferentes tipos de Clientes: Commercial, Government y Academic. </w:t>
      </w:r>
    </w:p>
    <w:p w:rsidR="00296F54" w:rsidRPr="00655696" w:rsidRDefault="00296F54" w:rsidP="00296F54">
      <w:pPr>
        <w:pStyle w:val="BodyText"/>
        <w:rPr>
          <w:lang w:val="es-ES"/>
        </w:rPr>
      </w:pPr>
      <w:r w:rsidRPr="00655696">
        <w:rPr>
          <w:lang w:val="es-ES"/>
        </w:rPr>
        <w:t>La estructura flexible de la Cuenta de Compra le autoriza a definir y redefinir la configuración de adquisición de la organización según las necesidades de su negocio. Estas cuentas pueden establecerse en el nivel de organización, en el nivel de filial, en el nivel de departamento o incluso para solo un subconjunto del personal.</w:t>
      </w:r>
    </w:p>
    <w:p w:rsidR="00296F54" w:rsidRPr="00655696" w:rsidRDefault="00296F54" w:rsidP="00296F54">
      <w:pPr>
        <w:pStyle w:val="BodyText"/>
        <w:rPr>
          <w:lang w:val="es-ES"/>
        </w:rPr>
      </w:pPr>
      <w:r w:rsidRPr="00655696">
        <w:rPr>
          <w:lang w:val="es-ES"/>
        </w:rPr>
        <w:t xml:space="preserve">El primer paso es decidir cómo quiere que su organización adquiera Productos. Esto ayudará a guiar la estructura que se establece para las adquisiciones de transacción de Licencias por Volumen. </w:t>
      </w:r>
    </w:p>
    <w:p w:rsidR="00296F54" w:rsidRPr="00655696" w:rsidRDefault="00296F54" w:rsidP="00296F54">
      <w:pPr>
        <w:pStyle w:val="BodyText"/>
        <w:rPr>
          <w:lang w:val="es-ES"/>
        </w:rPr>
      </w:pPr>
      <w:r w:rsidRPr="00655696">
        <w:rPr>
          <w:lang w:val="es-ES"/>
        </w:rPr>
        <w:t xml:space="preserve">Por ejemplo, si desea administrar centralmente las adquisiciones, podría registrar una Cuenta de Compra: </w:t>
      </w:r>
    </w:p>
    <w:tbl>
      <w:tblPr>
        <w:tblStyle w:val="MediumShading1-Accent4"/>
        <w:tblW w:w="0" w:type="auto"/>
        <w:tblInd w:w="108" w:type="dxa"/>
        <w:tblLook w:val="04A0" w:firstRow="1" w:lastRow="0" w:firstColumn="1" w:lastColumn="0" w:noHBand="0" w:noVBand="1"/>
      </w:tblPr>
      <w:tblGrid>
        <w:gridCol w:w="6750"/>
      </w:tblGrid>
      <w:tr w:rsidR="00296F54"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96F54" w:rsidRPr="004105EA" w:rsidRDefault="00296F54" w:rsidP="0019337E">
            <w:pPr>
              <w:pStyle w:val="BodyText"/>
              <w:spacing w:after="0" w:line="240" w:lineRule="auto"/>
              <w:jc w:val="center"/>
              <w:rPr>
                <w:color w:val="FFFFFF" w:themeColor="background1"/>
                <w:sz w:val="16"/>
              </w:rPr>
            </w:pPr>
            <w:r>
              <w:rPr>
                <w:color w:val="FFFFFF" w:themeColor="background1"/>
                <w:sz w:val="16"/>
              </w:rPr>
              <w:t>CUENTA DE COMPRA</w:t>
            </w:r>
          </w:p>
        </w:tc>
      </w:tr>
      <w:tr w:rsidR="00296F54"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96F54" w:rsidRPr="004105EA" w:rsidRDefault="00296F54" w:rsidP="0019337E">
            <w:pPr>
              <w:pStyle w:val="BodyText"/>
              <w:spacing w:after="0" w:line="240" w:lineRule="auto"/>
              <w:jc w:val="center"/>
              <w:rPr>
                <w:color w:val="FFFFFF" w:themeColor="background1"/>
                <w:sz w:val="16"/>
              </w:rPr>
            </w:pPr>
            <w:r>
              <w:rPr>
                <w:color w:val="FFC000" w:themeColor="accent4"/>
                <w:sz w:val="16"/>
              </w:rPr>
              <w:t>MPSA</w:t>
            </w:r>
          </w:p>
        </w:tc>
      </w:tr>
    </w:tbl>
    <w:p w:rsidR="00296F54" w:rsidRPr="00655696" w:rsidRDefault="00296F54" w:rsidP="00296F54">
      <w:pPr>
        <w:pStyle w:val="BodyText"/>
        <w:spacing w:before="240"/>
        <w:rPr>
          <w:lang w:val="es-ES"/>
        </w:rPr>
      </w:pPr>
      <w:r w:rsidRPr="00655696">
        <w:rPr>
          <w:lang w:val="es-ES"/>
        </w:rPr>
        <w:t xml:space="preserve">También, si desea disponer de un enfoque más descentralizado, puede registrar varias Cuentas de compra y también puede disponer de diferentes tipos de Cuentas de compra a través de un único MPSA: </w:t>
      </w:r>
    </w:p>
    <w:tbl>
      <w:tblPr>
        <w:tblStyle w:val="MediumShading1-Accent4"/>
        <w:tblW w:w="0" w:type="auto"/>
        <w:tblInd w:w="108" w:type="dxa"/>
        <w:tblLook w:val="04A0" w:firstRow="1" w:lastRow="0" w:firstColumn="1" w:lastColumn="0" w:noHBand="0" w:noVBand="1"/>
      </w:tblPr>
      <w:tblGrid>
        <w:gridCol w:w="2250"/>
        <w:gridCol w:w="2250"/>
        <w:gridCol w:w="2250"/>
      </w:tblGrid>
      <w:tr w:rsidR="00296F54"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96F54" w:rsidRPr="00483B32" w:rsidRDefault="00296F54" w:rsidP="0019337E">
            <w:pPr>
              <w:pStyle w:val="BodyText"/>
              <w:spacing w:after="0" w:line="240" w:lineRule="auto"/>
              <w:jc w:val="center"/>
            </w:pPr>
            <w:r>
              <w:rPr>
                <w:color w:val="FFFFFF" w:themeColor="background1"/>
                <w:sz w:val="16"/>
              </w:rPr>
              <w:t>CUENTA DE COMPRA 1</w:t>
            </w:r>
          </w:p>
          <w:p w:rsidR="00296F54" w:rsidRPr="004105EA" w:rsidRDefault="00296F54" w:rsidP="0019337E">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296F54" w:rsidRPr="00483B32" w:rsidRDefault="00296F5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2</w:t>
            </w:r>
          </w:p>
          <w:p w:rsidR="00296F54" w:rsidRPr="004105EA" w:rsidRDefault="00296F5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296F54" w:rsidRPr="00483B32" w:rsidRDefault="00296F5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3</w:t>
            </w:r>
          </w:p>
          <w:p w:rsidR="00296F54" w:rsidRPr="004105EA" w:rsidRDefault="00296F5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96F54"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96F54" w:rsidRPr="004105EA" w:rsidRDefault="00296F54" w:rsidP="0019337E">
            <w:pPr>
              <w:pStyle w:val="BodyText"/>
              <w:spacing w:after="0" w:line="240" w:lineRule="auto"/>
              <w:jc w:val="center"/>
              <w:rPr>
                <w:color w:val="FFFFFF" w:themeColor="background1"/>
                <w:sz w:val="16"/>
              </w:rPr>
            </w:pPr>
            <w:r>
              <w:rPr>
                <w:color w:val="FFC000" w:themeColor="accent4"/>
                <w:sz w:val="16"/>
              </w:rPr>
              <w:t>MPSA</w:t>
            </w:r>
          </w:p>
        </w:tc>
      </w:tr>
    </w:tbl>
    <w:p w:rsidR="00296F54" w:rsidRPr="00483B32" w:rsidRDefault="00296F54" w:rsidP="00296F54">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96F54"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96F54" w:rsidRPr="00483B32" w:rsidRDefault="00296F54" w:rsidP="0019337E">
            <w:pPr>
              <w:pStyle w:val="BodyText"/>
              <w:spacing w:after="0" w:line="240" w:lineRule="auto"/>
              <w:jc w:val="center"/>
            </w:pPr>
            <w:r>
              <w:rPr>
                <w:color w:val="FFFFFF" w:themeColor="background1"/>
                <w:sz w:val="16"/>
              </w:rPr>
              <w:t>CUENTA DE COMPRA 1</w:t>
            </w:r>
          </w:p>
          <w:p w:rsidR="00296F54" w:rsidRPr="004105EA" w:rsidRDefault="00296F54" w:rsidP="0019337E">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rsidR="00296F54" w:rsidRPr="00483B32" w:rsidRDefault="00296F5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2</w:t>
            </w:r>
          </w:p>
          <w:p w:rsidR="00296F54" w:rsidRPr="004105EA" w:rsidRDefault="00296F5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296F54" w:rsidRPr="00483B32" w:rsidRDefault="00296F5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3</w:t>
            </w:r>
          </w:p>
          <w:p w:rsidR="00296F54" w:rsidRPr="004105EA" w:rsidRDefault="00296F54"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96F54"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96F54" w:rsidRPr="004105EA" w:rsidRDefault="00296F54" w:rsidP="0019337E">
            <w:pPr>
              <w:pStyle w:val="BodyText"/>
              <w:spacing w:after="0" w:line="240" w:lineRule="auto"/>
              <w:jc w:val="center"/>
              <w:rPr>
                <w:color w:val="FFFFFF" w:themeColor="background1"/>
                <w:sz w:val="16"/>
              </w:rPr>
            </w:pPr>
            <w:r>
              <w:rPr>
                <w:color w:val="FFC000" w:themeColor="accent4"/>
                <w:sz w:val="16"/>
              </w:rPr>
              <w:t>MPSA</w:t>
            </w:r>
          </w:p>
        </w:tc>
      </w:tr>
    </w:tbl>
    <w:p w:rsidR="00296F54" w:rsidRPr="00483B32" w:rsidRDefault="00296F54" w:rsidP="00296F54">
      <w:pPr>
        <w:pStyle w:val="Thirdheading"/>
      </w:pPr>
    </w:p>
    <w:p w:rsidR="00296F54" w:rsidRPr="00655696" w:rsidRDefault="00296F54" w:rsidP="00296F54">
      <w:pPr>
        <w:pStyle w:val="Thirdheading"/>
        <w:rPr>
          <w:lang w:val="es-ES"/>
        </w:rPr>
      </w:pPr>
      <w:r w:rsidRPr="00655696">
        <w:rPr>
          <w:b/>
          <w:lang w:val="es-ES"/>
        </w:rPr>
        <w:t>Mes aniversario de la Cuenta de Compra</w:t>
      </w:r>
    </w:p>
    <w:p w:rsidR="00296F54" w:rsidRPr="00655696" w:rsidRDefault="00296F54" w:rsidP="00296F54">
      <w:pPr>
        <w:pStyle w:val="BodyText"/>
        <w:rPr>
          <w:lang w:val="es-ES"/>
        </w:rPr>
      </w:pPr>
      <w:r w:rsidRPr="00655696">
        <w:rPr>
          <w:lang w:val="es-ES"/>
        </w:rPr>
        <w:t xml:space="preserve">Al registrar cada Cuenta de Compra, se elige un determinado mes en el que organizar las adquisiciones que tienen periodos de suscripción, para proporcionar un aniversario único y coherente para las renovaciones. Por ejemplo, si en una de sus cuentas se elige enero como mes de aniversario, cualquier adquisición de Servicios Online que se realice con la cuenta se alineará a dicho mes, lo que derivará en el establecimiento de una prórroga para los Servicios Online que tendrá lugar en enero de cada año. Esta designación puede cambiarse más adelante según sea necesario para su organización a través del Centro de Licencias por Volumen de Microsoft (MVLC). </w:t>
      </w:r>
    </w:p>
    <w:p w:rsidR="00296F54" w:rsidRPr="00655696" w:rsidRDefault="00296F54" w:rsidP="00296F54">
      <w:pPr>
        <w:pStyle w:val="BodyText"/>
        <w:rPr>
          <w:lang w:val="es-ES"/>
        </w:rPr>
      </w:pPr>
      <w:r w:rsidRPr="00655696">
        <w:rPr>
          <w:lang w:val="es-ES"/>
        </w:rPr>
        <w:t xml:space="preserve">Para Cuentas de Compra Government y Academic, es posible especificar una fecha final para las adquisiciones. Cuando se seleccione esta opción, los periodos de suscripción no se extenderán más allá de esta fecha. Es posible extender esta fecha, si fuera necesario. </w:t>
      </w:r>
    </w:p>
    <w:p w:rsidR="00296F54" w:rsidRPr="00655696" w:rsidRDefault="00296F54" w:rsidP="00296F54">
      <w:pPr>
        <w:pStyle w:val="BodyText"/>
        <w:rPr>
          <w:lang w:val="es-ES"/>
        </w:rPr>
      </w:pPr>
    </w:p>
    <w:p w:rsidR="00296F54" w:rsidRPr="00655696" w:rsidRDefault="00296F54" w:rsidP="00296F54">
      <w:pPr>
        <w:pStyle w:val="Thirdheading"/>
        <w:rPr>
          <w:lang w:val="es-ES"/>
        </w:rPr>
      </w:pPr>
      <w:r w:rsidRPr="00655696">
        <w:rPr>
          <w:b/>
          <w:lang w:val="es-ES"/>
        </w:rPr>
        <w:t>El Administrador del Contrato</w:t>
      </w:r>
    </w:p>
    <w:p w:rsidR="00296F54" w:rsidRPr="00483B32" w:rsidRDefault="00296F54" w:rsidP="00296F54">
      <w:pPr>
        <w:pStyle w:val="BodyText"/>
      </w:pPr>
      <w:r w:rsidRPr="00655696">
        <w:rPr>
          <w:lang w:val="es-ES"/>
        </w:rPr>
        <w:t xml:space="preserve">Para cada MPSA, se designa una Cuenta de Compra como un Administrador del Contrato. Esto le proporciona una vista consolidada de todos los activos de la organización y una única fuente práctica para administrar todas las Cuentas de Compra. </w:t>
      </w:r>
      <w:r>
        <w:t>La cuenta del Administrador del Contrato:</w:t>
      </w:r>
    </w:p>
    <w:p w:rsidR="00296F54" w:rsidRPr="00655696" w:rsidRDefault="00296F54" w:rsidP="00296F54">
      <w:pPr>
        <w:pStyle w:val="BodyText"/>
        <w:numPr>
          <w:ilvl w:val="0"/>
          <w:numId w:val="16"/>
        </w:numPr>
        <w:spacing w:after="0"/>
        <w:rPr>
          <w:lang w:val="es-ES"/>
        </w:rPr>
      </w:pPr>
      <w:r w:rsidRPr="00655696">
        <w:rPr>
          <w:lang w:val="es-ES"/>
        </w:rPr>
        <w:t>Proporciona una vista de activos completa de todas las Cuentas de Compra.</w:t>
      </w:r>
    </w:p>
    <w:p w:rsidR="00296F54" w:rsidRPr="00655696" w:rsidRDefault="00296F54" w:rsidP="00296F54">
      <w:pPr>
        <w:pStyle w:val="BodyText"/>
        <w:numPr>
          <w:ilvl w:val="0"/>
          <w:numId w:val="16"/>
        </w:numPr>
        <w:spacing w:after="0"/>
        <w:rPr>
          <w:lang w:val="es-ES"/>
        </w:rPr>
      </w:pPr>
      <w:r w:rsidRPr="00655696">
        <w:rPr>
          <w:lang w:val="es-ES"/>
        </w:rPr>
        <w:lastRenderedPageBreak/>
        <w:t>Se notifica cuando se asocia una Cuenta de compra a su MPSA.</w:t>
      </w:r>
    </w:p>
    <w:p w:rsidR="00296F54" w:rsidRPr="00655696" w:rsidRDefault="00296F54" w:rsidP="00296F54">
      <w:pPr>
        <w:pStyle w:val="BodyText"/>
        <w:numPr>
          <w:ilvl w:val="0"/>
          <w:numId w:val="16"/>
        </w:numPr>
        <w:spacing w:after="0"/>
        <w:rPr>
          <w:lang w:val="es-ES"/>
        </w:rPr>
      </w:pPr>
      <w:r w:rsidRPr="00655696">
        <w:rPr>
          <w:lang w:val="es-ES"/>
        </w:rPr>
        <w:t>Tiene el derecho de terminar la vinculación de cualquier Cuenta de Compra al MPSA.</w:t>
      </w:r>
    </w:p>
    <w:p w:rsidR="00296F54" w:rsidRPr="00655696" w:rsidRDefault="00296F54" w:rsidP="00296F54">
      <w:pPr>
        <w:pStyle w:val="BodyText"/>
        <w:numPr>
          <w:ilvl w:val="0"/>
          <w:numId w:val="16"/>
        </w:numPr>
        <w:spacing w:after="0"/>
        <w:rPr>
          <w:lang w:val="es-ES"/>
        </w:rPr>
      </w:pPr>
      <w:r w:rsidRPr="00655696">
        <w:rPr>
          <w:lang w:val="es-ES"/>
        </w:rPr>
        <w:t>Tiene el derecho de terminar el MPSA.</w:t>
      </w:r>
    </w:p>
    <w:p w:rsidR="00296F54" w:rsidRPr="00655696" w:rsidRDefault="00296F54" w:rsidP="00296F54">
      <w:pPr>
        <w:pStyle w:val="BodyText"/>
        <w:numPr>
          <w:ilvl w:val="0"/>
          <w:numId w:val="16"/>
        </w:numPr>
        <w:spacing w:after="0"/>
        <w:rPr>
          <w:lang w:val="es-ES"/>
        </w:rPr>
      </w:pPr>
      <w:r w:rsidRPr="00655696">
        <w:rPr>
          <w:lang w:val="es-ES"/>
        </w:rPr>
        <w:t xml:space="preserve">No puede realizar pedidos para otras Cuentas de Compra ni administrar sus activos. </w:t>
      </w:r>
    </w:p>
    <w:p w:rsidR="00296F54" w:rsidRPr="00655696" w:rsidRDefault="00296F54" w:rsidP="00296F54">
      <w:pPr>
        <w:pStyle w:val="BodyText"/>
        <w:numPr>
          <w:ilvl w:val="0"/>
          <w:numId w:val="16"/>
        </w:numPr>
        <w:spacing w:after="0"/>
        <w:rPr>
          <w:lang w:val="es-ES"/>
        </w:rPr>
      </w:pPr>
      <w:r w:rsidRPr="00655696">
        <w:rPr>
          <w:lang w:val="es-ES"/>
        </w:rPr>
        <w:t>El Cliente (persona jurídica) del Administrador del Contrato se usa para la definición de Filial.</w:t>
      </w:r>
    </w:p>
    <w:p w:rsidR="00296F54" w:rsidRPr="00655696" w:rsidRDefault="00296F54" w:rsidP="00296F54">
      <w:pPr>
        <w:pStyle w:val="Thirdheading"/>
        <w:spacing w:line="240" w:lineRule="auto"/>
        <w:rPr>
          <w:lang w:val="es-ES"/>
        </w:rPr>
      </w:pPr>
      <w:r w:rsidRPr="00655696">
        <w:rPr>
          <w:b/>
          <w:lang w:val="es-ES"/>
        </w:rPr>
        <w:t>Partners:</w:t>
      </w:r>
    </w:p>
    <w:p w:rsidR="00296F54" w:rsidRPr="00655696" w:rsidRDefault="00296F54" w:rsidP="00296F54">
      <w:pPr>
        <w:pStyle w:val="BodyText"/>
        <w:spacing w:after="0"/>
        <w:rPr>
          <w:lang w:val="es-ES"/>
        </w:rPr>
      </w:pPr>
      <w:r w:rsidRPr="00655696">
        <w:rPr>
          <w:lang w:val="es-ES"/>
        </w:rPr>
        <w:t>Las adquisiciones con MPSA pueden realizarse a través de Partner de Soluciones de Licencia (LSP, del inglés “Licensing Solution Partners”). Cada Cuenta de compra puede elegir un LSP particular que trabajará con usted para registrar Cuentas de compra y crear el contrato de forma electrónica con una firma electrónica</w:t>
      </w:r>
      <w:r>
        <w:rPr>
          <w:rStyle w:val="FootnoteReference"/>
        </w:rPr>
        <w:footnoteReference w:id="1"/>
      </w:r>
      <w:r w:rsidRPr="00655696">
        <w:rPr>
          <w:lang w:val="es-ES"/>
        </w:rPr>
        <w:t xml:space="preserve">. Puede agregar LSP a las cuentas a lo largo del tiempo según sea necesario para adquisiciones transaccionales. Para obtener más información relacionada con las ubicaciones geográficas de partners de todo el mundo, consulte </w:t>
      </w:r>
      <w:hyperlink r:id="rId13" w:history="1">
        <w:r w:rsidRPr="00655696">
          <w:rPr>
            <w:rStyle w:val="Hyperlink"/>
            <w:lang w:val="es-ES"/>
          </w:rPr>
          <w:t>http://pinpoint.microsoft.com</w:t>
        </w:r>
      </w:hyperlink>
      <w:r w:rsidRPr="00655696">
        <w:rPr>
          <w:rStyle w:val="Hyperlink"/>
          <w:color w:val="auto"/>
          <w:lang w:val="es-ES"/>
        </w:rPr>
        <w:t>.</w:t>
      </w:r>
    </w:p>
    <w:p w:rsidR="00296F54" w:rsidRPr="00655696" w:rsidRDefault="00296F54" w:rsidP="00296F54">
      <w:pPr>
        <w:pStyle w:val="Hdg1noborder"/>
        <w:spacing w:before="240"/>
        <w:rPr>
          <w:rFonts w:eastAsiaTheme="majorEastAsia"/>
          <w:lang w:val="es-ES"/>
        </w:rPr>
      </w:pPr>
      <w:bookmarkStart w:id="10" w:name="_Toc403380296"/>
      <w:bookmarkStart w:id="11" w:name="_Toc403985014"/>
      <w:bookmarkStart w:id="12" w:name="_Toc428279760"/>
      <w:r w:rsidRPr="00655696">
        <w:rPr>
          <w:rFonts w:asciiTheme="majorHAnsi" w:eastAsiaTheme="majorEastAsia" w:hAnsiTheme="majorHAnsi" w:cstheme="majorBidi"/>
          <w:bCs/>
          <w:color w:val="FFC000" w:themeColor="accent4"/>
          <w:sz w:val="28"/>
          <w:szCs w:val="26"/>
          <w:lang w:val="es-ES"/>
        </w:rPr>
        <w:t>Estructura del contrato</w:t>
      </w:r>
      <w:bookmarkEnd w:id="10"/>
      <w:bookmarkEnd w:id="11"/>
      <w:bookmarkEnd w:id="12"/>
    </w:p>
    <w:p w:rsidR="00296F54" w:rsidRPr="00655696" w:rsidRDefault="00296F54" w:rsidP="00296F54">
      <w:pPr>
        <w:pStyle w:val="BodyText"/>
        <w:rPr>
          <w:lang w:val="es-ES"/>
        </w:rPr>
      </w:pPr>
      <w:r w:rsidRPr="00655696">
        <w:rPr>
          <w:lang w:val="es-ES"/>
        </w:rPr>
        <w:t xml:space="preserve">Para adaptarse mejor a su estructura organizacional, los términos y condiciones del MPSA se crean mediante las secciones siguientes: </w:t>
      </w:r>
    </w:p>
    <w:p w:rsidR="00296F54" w:rsidRPr="00655696" w:rsidRDefault="00296F54" w:rsidP="00296F54">
      <w:pPr>
        <w:pStyle w:val="BodyText"/>
        <w:numPr>
          <w:ilvl w:val="0"/>
          <w:numId w:val="45"/>
        </w:numPr>
        <w:rPr>
          <w:lang w:val="es-ES"/>
        </w:rPr>
      </w:pPr>
      <w:r w:rsidRPr="00655696">
        <w:rPr>
          <w:lang w:val="es-ES"/>
        </w:rPr>
        <w:t>Términos y Condiciones Generales: aplicables a todos los tipos de Clientes a escala mundial</w:t>
      </w:r>
    </w:p>
    <w:p w:rsidR="00296F54" w:rsidRPr="00655696" w:rsidRDefault="00296F54" w:rsidP="00296F54">
      <w:pPr>
        <w:pStyle w:val="BodyText"/>
        <w:numPr>
          <w:ilvl w:val="0"/>
          <w:numId w:val="45"/>
        </w:numPr>
        <w:rPr>
          <w:lang w:val="es-ES"/>
        </w:rPr>
      </w:pPr>
      <w:r w:rsidRPr="00655696">
        <w:rPr>
          <w:lang w:val="es-ES"/>
        </w:rPr>
        <w:t>Servicios Profesionales: términos y condiciones para los servicios de consulta y soporte técnico de Microsoft a escala mundial</w:t>
      </w:r>
    </w:p>
    <w:p w:rsidR="00296F54" w:rsidRPr="00655696" w:rsidRDefault="00296F54" w:rsidP="00296F54">
      <w:pPr>
        <w:pStyle w:val="BodyText"/>
        <w:numPr>
          <w:ilvl w:val="0"/>
          <w:numId w:val="45"/>
        </w:numPr>
        <w:rPr>
          <w:lang w:val="es-ES"/>
        </w:rPr>
      </w:pPr>
      <w:r w:rsidRPr="00655696">
        <w:rPr>
          <w:lang w:val="es-ES"/>
        </w:rPr>
        <w:t>Términos del Tipo de Cuenta de Compra: al registrar una Cuenta de Compra Government o Academic, estas incluyen estos términos y condiciones específicos del tipo de Cliente</w:t>
      </w:r>
    </w:p>
    <w:p w:rsidR="00296F54" w:rsidRPr="00655696" w:rsidRDefault="00296F54" w:rsidP="00296F54">
      <w:pPr>
        <w:pStyle w:val="BodyText"/>
        <w:numPr>
          <w:ilvl w:val="0"/>
          <w:numId w:val="45"/>
        </w:numPr>
        <w:rPr>
          <w:lang w:val="es-ES"/>
        </w:rPr>
      </w:pPr>
      <w:r w:rsidRPr="00655696">
        <w:rPr>
          <w:lang w:val="es-ES"/>
        </w:rPr>
        <w:t xml:space="preserve">Términos Nacionales del Tipo de Cuenta de Compra: para Clientes Government y Academic en determinados países o regiones, existen términos y condiciones adicionales que se aplicarán </w:t>
      </w:r>
    </w:p>
    <w:p w:rsidR="00296F54" w:rsidRPr="00655696" w:rsidRDefault="00296F54" w:rsidP="00296F54">
      <w:pPr>
        <w:pStyle w:val="BodyText"/>
        <w:rPr>
          <w:lang w:val="es-ES"/>
        </w:rPr>
      </w:pPr>
      <w:r w:rsidRPr="00655696">
        <w:rPr>
          <w:lang w:val="es-ES"/>
        </w:rPr>
        <w:t xml:space="preserve">Para ser susceptible de considerarse una Cuenta de Compra Government o Academic, las organizaciones deben cumplir los requisitos de elegibilidad que pueden consultarse en </w:t>
      </w:r>
      <w:hyperlink r:id="rId14" w:history="1">
        <w:r w:rsidRPr="00655696">
          <w:rPr>
            <w:rStyle w:val="Hyperlink"/>
            <w:lang w:val="es-ES"/>
          </w:rPr>
          <w:t>http://www.microsoftvolumelicensing.com/contracts</w:t>
        </w:r>
      </w:hyperlink>
      <w:r w:rsidRPr="00655696">
        <w:rPr>
          <w:lang w:val="es-ES"/>
        </w:rPr>
        <w:t>.</w:t>
      </w:r>
    </w:p>
    <w:p w:rsidR="00296F54" w:rsidRPr="00655696" w:rsidRDefault="00296F54" w:rsidP="00296F54">
      <w:pPr>
        <w:pStyle w:val="Hdg1noborder"/>
        <w:spacing w:before="240"/>
        <w:rPr>
          <w:rFonts w:eastAsiaTheme="majorEastAsia"/>
          <w:lang w:val="es-ES"/>
        </w:rPr>
      </w:pPr>
      <w:bookmarkStart w:id="13" w:name="_Toc403380297"/>
      <w:bookmarkStart w:id="14" w:name="_Toc403985015"/>
      <w:bookmarkStart w:id="15" w:name="_Toc428279761"/>
      <w:r w:rsidRPr="00655696">
        <w:rPr>
          <w:rFonts w:asciiTheme="majorHAnsi" w:eastAsiaTheme="majorEastAsia" w:hAnsiTheme="majorHAnsi" w:cstheme="majorBidi"/>
          <w:bCs/>
          <w:color w:val="FFC000" w:themeColor="accent4"/>
          <w:sz w:val="28"/>
          <w:szCs w:val="26"/>
          <w:lang w:val="es-ES"/>
        </w:rPr>
        <w:t>Adquisiciones Transaccionales</w:t>
      </w:r>
      <w:bookmarkEnd w:id="13"/>
      <w:bookmarkEnd w:id="14"/>
      <w:bookmarkEnd w:id="15"/>
    </w:p>
    <w:p w:rsidR="00296F54" w:rsidRPr="00655696" w:rsidRDefault="00296F54" w:rsidP="00296F54">
      <w:pPr>
        <w:pStyle w:val="Thirdheading"/>
        <w:rPr>
          <w:lang w:val="es-ES"/>
        </w:rPr>
      </w:pPr>
      <w:r w:rsidRPr="00655696">
        <w:rPr>
          <w:b/>
          <w:lang w:val="es-ES"/>
        </w:rPr>
        <w:t>Productos</w:t>
      </w:r>
    </w:p>
    <w:p w:rsidR="00296F54" w:rsidRPr="00655696" w:rsidRDefault="00296F54" w:rsidP="00296F54">
      <w:pPr>
        <w:pStyle w:val="BodyText"/>
        <w:rPr>
          <w:lang w:val="es-ES"/>
        </w:rPr>
      </w:pPr>
      <w:r w:rsidRPr="00655696">
        <w:rPr>
          <w:lang w:val="es-ES"/>
        </w:rPr>
        <w:t xml:space="preserve">Puede solicitar Servicios en Línea y Software a través de un MPSA. Actualmente, la mayoría del Software se vende a través de Select Plus y Office 365, los productos de Intune, CRM Online y Yammer están disponibles a través del MPSA. Para ver la lista completa de Productos disponible a través de MPSA consulte los Términos de Productos en </w:t>
      </w:r>
      <w:hyperlink r:id="rId15" w:history="1">
        <w:r w:rsidRPr="00655696">
          <w:rPr>
            <w:rStyle w:val="Hyperlink"/>
            <w:lang w:val="es-ES"/>
          </w:rPr>
          <w:t>http://www.microsoft.com/licensing/contracts</w:t>
        </w:r>
      </w:hyperlink>
      <w:r w:rsidRPr="00655696">
        <w:rPr>
          <w:lang w:val="es-ES"/>
        </w:rPr>
        <w:t xml:space="preserve">. </w:t>
      </w:r>
    </w:p>
    <w:p w:rsidR="00296F54" w:rsidRPr="00655696" w:rsidRDefault="00296F54" w:rsidP="00296F54">
      <w:pPr>
        <w:pStyle w:val="Thirdheading"/>
        <w:rPr>
          <w:lang w:val="es-ES"/>
        </w:rPr>
      </w:pPr>
      <w:r w:rsidRPr="00655696">
        <w:rPr>
          <w:b/>
          <w:lang w:val="es-ES"/>
        </w:rPr>
        <w:t>Acceso a descargas e información de la cuenta</w:t>
      </w:r>
    </w:p>
    <w:p w:rsidR="00296F54" w:rsidRPr="00655696" w:rsidRDefault="00296F54" w:rsidP="00296F54">
      <w:pPr>
        <w:pStyle w:val="BodyText"/>
        <w:rPr>
          <w:lang w:val="es-ES"/>
        </w:rPr>
      </w:pPr>
      <w:r w:rsidRPr="00655696">
        <w:rPr>
          <w:lang w:val="es-ES"/>
        </w:rPr>
        <w:t>El Centro de Licencias por Volumen de Microsoft (MVLC, del inglés “Microsoft Volume Licensing Center”). es el portal disponible para descargar software, acceder a claves de productos, ver su cartera de licencias y servicios, así como para el aprovisionamiento de Servicios Online. Puede acceder al MVLC en</w:t>
      </w:r>
      <w:r w:rsidRPr="00655696">
        <w:rPr>
          <w:color w:val="1F497D"/>
          <w:lang w:val="es-ES"/>
        </w:rPr>
        <w:t xml:space="preserve"> </w:t>
      </w:r>
      <w:hyperlink r:id="rId16" w:history="1">
        <w:r w:rsidRPr="00655696">
          <w:rPr>
            <w:rStyle w:val="Hyperlink"/>
            <w:lang w:val="es-ES"/>
          </w:rPr>
          <w:t>https://licensing.microsoft.com/customer/</w:t>
        </w:r>
      </w:hyperlink>
      <w:r w:rsidRPr="00655696">
        <w:rPr>
          <w:color w:val="1F497D"/>
          <w:lang w:val="es-ES"/>
        </w:rPr>
        <w:t>.</w:t>
      </w:r>
    </w:p>
    <w:p w:rsidR="00296F54" w:rsidRPr="00655696" w:rsidRDefault="00296F54" w:rsidP="00296F54">
      <w:pPr>
        <w:pStyle w:val="Thirdheading"/>
        <w:rPr>
          <w:lang w:val="es-ES"/>
        </w:rPr>
      </w:pPr>
      <w:r w:rsidRPr="00655696">
        <w:rPr>
          <w:b/>
          <w:lang w:val="es-ES"/>
        </w:rPr>
        <w:t>Niveles de precios</w:t>
      </w:r>
    </w:p>
    <w:p w:rsidR="00296F54" w:rsidRPr="00655696" w:rsidRDefault="00296F54" w:rsidP="00296F54">
      <w:pPr>
        <w:pStyle w:val="BodyText"/>
        <w:rPr>
          <w:lang w:val="es-ES"/>
        </w:rPr>
      </w:pPr>
      <w:r w:rsidRPr="00655696">
        <w:rPr>
          <w:lang w:val="es-ES"/>
        </w:rPr>
        <w:t>Debe lograr un mínimo de 500 puntos por grupo anualmente para ser susceptible de adquirir productos en ese grupo a través del MPSA. De forma alternativa, puede ser susceptible de adquirir dichos productos mediante la adquisición de al menos 250 puntos para los Servicios Online en dicho grupo o mediante la asociación de un contrato cualificado activo (Inscripción Enterprise, Inscripción Enterprise Subscription o Contrato Select Plus) con el MPSA. También tendrá que estar afiliado con el Cliente que ha celebrado el contrato cualificado y contar con su aprobación para asociarlo con el MPSA. También puede usar los servicios de Microsoft Azure facturados a través de la Cuenta de compra sin haber alcanzado el mínimo de puntos requerido.</w:t>
      </w:r>
    </w:p>
    <w:p w:rsidR="00296F54" w:rsidRPr="00655696" w:rsidRDefault="00296F54" w:rsidP="00296F54">
      <w:pPr>
        <w:pStyle w:val="BodyText"/>
        <w:rPr>
          <w:lang w:val="es-ES"/>
        </w:rPr>
      </w:pPr>
      <w:r w:rsidRPr="00655696">
        <w:rPr>
          <w:lang w:val="es-ES"/>
        </w:rPr>
        <w:t xml:space="preserve">Las organizaciones comerciales que registran las Cuentas de compra a través de un MPSA tienen cuatro niveles de precios disponibles por grupo de productos, tal y como se define a continuación. En el caso de las Cuentas de Compra Commercial, los puntos para cada nivel de precios se enumeran en la tabla siguiente: </w:t>
      </w:r>
    </w:p>
    <w:tbl>
      <w:tblPr>
        <w:tblStyle w:val="MediumShading1-Accent4"/>
        <w:tblW w:w="4126" w:type="pct"/>
        <w:tblInd w:w="108" w:type="dxa"/>
        <w:tblLook w:val="04A0" w:firstRow="1" w:lastRow="0" w:firstColumn="1" w:lastColumn="0" w:noHBand="0" w:noVBand="1"/>
      </w:tblPr>
      <w:tblGrid>
        <w:gridCol w:w="4500"/>
        <w:gridCol w:w="4590"/>
      </w:tblGrid>
      <w:tr w:rsidR="00296F54" w:rsidRPr="005A6CF9"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296F54" w:rsidRPr="00B50681" w:rsidRDefault="00296F54" w:rsidP="0019337E">
            <w:pPr>
              <w:pStyle w:val="VLTableHeader"/>
              <w:spacing w:before="0" w:after="0"/>
              <w:jc w:val="center"/>
              <w:rPr>
                <w:b/>
              </w:rPr>
            </w:pPr>
            <w:r>
              <w:rPr>
                <w:b/>
              </w:rPr>
              <w:lastRenderedPageBreak/>
              <w:t>Nivel de precios – Commercial</w:t>
            </w:r>
          </w:p>
        </w:tc>
        <w:tc>
          <w:tcPr>
            <w:tcW w:w="2525" w:type="pct"/>
          </w:tcPr>
          <w:p w:rsidR="00296F54" w:rsidRPr="005A6CF9" w:rsidRDefault="00296F54"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lang w:val="es-ES"/>
              </w:rPr>
            </w:pPr>
            <w:r w:rsidRPr="005A6CF9">
              <w:rPr>
                <w:b/>
                <w:lang w:val="es-ES"/>
              </w:rPr>
              <w:t>Mínimo de puntos anuales por grupo</w:t>
            </w:r>
          </w:p>
        </w:tc>
      </w:tr>
      <w:tr w:rsidR="00296F54"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296F54" w:rsidRPr="00B50681" w:rsidRDefault="00296F54" w:rsidP="0019337E">
            <w:pPr>
              <w:pStyle w:val="VLBodyCopy2"/>
              <w:jc w:val="center"/>
              <w:rPr>
                <w:b w:val="0"/>
              </w:rPr>
            </w:pPr>
            <w:r>
              <w:rPr>
                <w:b w:val="0"/>
              </w:rPr>
              <w:t>A</w:t>
            </w:r>
          </w:p>
        </w:tc>
        <w:tc>
          <w:tcPr>
            <w:tcW w:w="2525" w:type="pct"/>
          </w:tcPr>
          <w:p w:rsidR="00296F54" w:rsidRPr="00B50681" w:rsidRDefault="00296F54" w:rsidP="0019337E">
            <w:pPr>
              <w:pStyle w:val="VLBodyCopy2"/>
              <w:jc w:val="center"/>
              <w:cnfStyle w:val="000000100000" w:firstRow="0" w:lastRow="0" w:firstColumn="0" w:lastColumn="0" w:oddVBand="0" w:evenVBand="0" w:oddHBand="1" w:evenHBand="0" w:firstRowFirstColumn="0" w:firstRowLastColumn="0" w:lastRowFirstColumn="0" w:lastRowLastColumn="0"/>
            </w:pPr>
            <w:r>
              <w:t>500 o 250 solo para OLS</w:t>
            </w:r>
          </w:p>
        </w:tc>
      </w:tr>
      <w:tr w:rsidR="00296F54"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296F54" w:rsidRPr="00B50681" w:rsidRDefault="00296F54" w:rsidP="0019337E">
            <w:pPr>
              <w:pStyle w:val="VLBodyCopy2"/>
              <w:jc w:val="center"/>
              <w:rPr>
                <w:b w:val="0"/>
              </w:rPr>
            </w:pPr>
            <w:r>
              <w:rPr>
                <w:b w:val="0"/>
              </w:rPr>
              <w:t>B</w:t>
            </w:r>
          </w:p>
        </w:tc>
        <w:tc>
          <w:tcPr>
            <w:tcW w:w="2525" w:type="pct"/>
          </w:tcPr>
          <w:p w:rsidR="00296F54" w:rsidRPr="00B50681" w:rsidRDefault="00296F54"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296F54"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296F54" w:rsidRPr="00B50681" w:rsidRDefault="00296F54" w:rsidP="0019337E">
            <w:pPr>
              <w:pStyle w:val="VLBodyCopy2"/>
              <w:jc w:val="center"/>
              <w:rPr>
                <w:b w:val="0"/>
              </w:rPr>
            </w:pPr>
            <w:r>
              <w:rPr>
                <w:b w:val="0"/>
              </w:rPr>
              <w:t>C</w:t>
            </w:r>
          </w:p>
        </w:tc>
        <w:tc>
          <w:tcPr>
            <w:tcW w:w="2525" w:type="pct"/>
          </w:tcPr>
          <w:p w:rsidR="00296F54" w:rsidRPr="00B50681" w:rsidRDefault="00296F54"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296F54"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296F54" w:rsidRPr="00B50681" w:rsidRDefault="00296F54" w:rsidP="0019337E">
            <w:pPr>
              <w:pStyle w:val="VLBodyCopy2"/>
              <w:jc w:val="center"/>
              <w:rPr>
                <w:b w:val="0"/>
              </w:rPr>
            </w:pPr>
            <w:r>
              <w:rPr>
                <w:b w:val="0"/>
              </w:rPr>
              <w:t>D</w:t>
            </w:r>
          </w:p>
        </w:tc>
        <w:tc>
          <w:tcPr>
            <w:tcW w:w="2525" w:type="pct"/>
          </w:tcPr>
          <w:p w:rsidR="00296F54" w:rsidRPr="00B50681" w:rsidRDefault="00296F54"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296F54" w:rsidRPr="00655696" w:rsidRDefault="00296F54" w:rsidP="00296F54">
      <w:pPr>
        <w:pStyle w:val="BodyText"/>
        <w:rPr>
          <w:lang w:val="es-ES"/>
        </w:rPr>
      </w:pPr>
      <w:bookmarkStart w:id="16" w:name="_Toc364455186"/>
      <w:r w:rsidRPr="00655696">
        <w:rPr>
          <w:lang w:val="es-ES"/>
        </w:rPr>
        <w:t>De forma predeterminada, el nivel de precios inicial tras la firma es el nivel A. La organización se moverá automáticamente a un nivel de precios mejor si se produce uno de estos eventos:</w:t>
      </w:r>
    </w:p>
    <w:p w:rsidR="00296F54" w:rsidRPr="00655696" w:rsidRDefault="00296F54" w:rsidP="00296F54">
      <w:pPr>
        <w:pStyle w:val="BodyText"/>
        <w:numPr>
          <w:ilvl w:val="0"/>
          <w:numId w:val="16"/>
        </w:numPr>
        <w:spacing w:after="0"/>
        <w:rPr>
          <w:lang w:val="es-ES"/>
        </w:rPr>
      </w:pPr>
      <w:r w:rsidRPr="00655696">
        <w:rPr>
          <w:lang w:val="es-ES"/>
        </w:rPr>
        <w:t xml:space="preserve">Realiza un pedido que tenga suficientes puntos como para subirlo al siguiente nivel de precios. </w:t>
      </w:r>
    </w:p>
    <w:p w:rsidR="00296F54" w:rsidRPr="00655696" w:rsidRDefault="00296F54" w:rsidP="00296F54">
      <w:pPr>
        <w:pStyle w:val="BodyText"/>
        <w:numPr>
          <w:ilvl w:val="0"/>
          <w:numId w:val="16"/>
        </w:numPr>
        <w:spacing w:after="0"/>
        <w:rPr>
          <w:lang w:val="es-ES"/>
        </w:rPr>
      </w:pPr>
      <w:r w:rsidRPr="00655696">
        <w:rPr>
          <w:lang w:val="es-ES"/>
        </w:rPr>
        <w:t xml:space="preserve">Asocia un contrato cualificado activo con un nivel de precios de grupo de productos mejor que el grupo correspondiente en el MPSA. </w:t>
      </w:r>
    </w:p>
    <w:p w:rsidR="00296F54" w:rsidRPr="00655696" w:rsidRDefault="00296F54" w:rsidP="00296F54">
      <w:pPr>
        <w:pStyle w:val="BodyText"/>
        <w:rPr>
          <w:lang w:val="es-ES"/>
        </w:rPr>
      </w:pPr>
    </w:p>
    <w:p w:rsidR="00296F54" w:rsidRPr="00655696" w:rsidRDefault="00296F54" w:rsidP="00296F54">
      <w:pPr>
        <w:pStyle w:val="BodyText"/>
        <w:rPr>
          <w:lang w:val="es-ES"/>
        </w:rPr>
      </w:pPr>
      <w:r w:rsidRPr="00655696">
        <w:rPr>
          <w:lang w:val="es-ES"/>
        </w:rPr>
        <w:t xml:space="preserve">Las Cuentas de compra Government y Academic tienen un solo nivel de precios que reflejan los precios más beneficiosos que Microsoft puede ofrecer a través del MPSA (en el caso de las cuentas Government es equivalente al nivel de precios comerciales Nivel D). </w:t>
      </w:r>
    </w:p>
    <w:p w:rsidR="00296F54" w:rsidRPr="00655696" w:rsidRDefault="00296F54" w:rsidP="00296F54">
      <w:pPr>
        <w:pStyle w:val="Thirdheading"/>
        <w:rPr>
          <w:lang w:val="es-ES"/>
        </w:rPr>
      </w:pPr>
      <w:r w:rsidRPr="00655696">
        <w:rPr>
          <w:b/>
          <w:lang w:val="es-ES"/>
        </w:rPr>
        <w:t>Puntos</w:t>
      </w:r>
    </w:p>
    <w:p w:rsidR="00296F54" w:rsidRPr="00655696" w:rsidRDefault="00296F54" w:rsidP="00296F54">
      <w:pPr>
        <w:pStyle w:val="BodyText"/>
        <w:rPr>
          <w:lang w:val="es-ES"/>
        </w:rPr>
      </w:pPr>
      <w:r w:rsidRPr="00655696">
        <w:rPr>
          <w:lang w:val="es-ES"/>
        </w:rPr>
        <w:t>Microsoft categoriza los productos en tres grupos de productos diferentes</w:t>
      </w:r>
      <w:r w:rsidRPr="00655696">
        <w:rPr>
          <w:szCs w:val="22"/>
          <w:lang w:val="es-ES"/>
        </w:rPr>
        <w:t xml:space="preserve"> con niveles de precios escalonados</w:t>
      </w:r>
      <w:r w:rsidRPr="00655696">
        <w:rPr>
          <w:lang w:val="es-ES"/>
        </w:rPr>
        <w:t xml:space="preserve">: aplicaciones, sistemas y servidores. El nivel de precios para cada grupo se basa en los puntos que puede ganar al adquirir en estos grupos. Los puntos se cuentan de forma acumulativa a través de sus Cuentas de compra del mismo tipo (ej.: Commercial). </w:t>
      </w:r>
    </w:p>
    <w:p w:rsidR="00296F54" w:rsidRPr="00655696" w:rsidRDefault="00296F54" w:rsidP="00296F54">
      <w:pPr>
        <w:pStyle w:val="BodyText"/>
        <w:numPr>
          <w:ilvl w:val="0"/>
          <w:numId w:val="16"/>
        </w:numPr>
        <w:spacing w:after="0"/>
        <w:rPr>
          <w:lang w:val="es-ES"/>
        </w:rPr>
      </w:pPr>
      <w:r w:rsidRPr="00655696">
        <w:rPr>
          <w:lang w:val="es-ES"/>
        </w:rPr>
        <w:t xml:space="preserve">Aplicaciones. Algunos ejemplos de productos de aplicación son Microsoft Office Professional, cliente de Microsoft Lync y Office 365. </w:t>
      </w:r>
    </w:p>
    <w:p w:rsidR="00296F54" w:rsidRPr="00655696" w:rsidRDefault="00296F54" w:rsidP="00296F54">
      <w:pPr>
        <w:pStyle w:val="BodyText"/>
        <w:numPr>
          <w:ilvl w:val="0"/>
          <w:numId w:val="16"/>
        </w:numPr>
        <w:spacing w:after="0"/>
        <w:rPr>
          <w:lang w:val="es-ES"/>
        </w:rPr>
      </w:pPr>
      <w:r w:rsidRPr="00655696">
        <w:rPr>
          <w:lang w:val="es-ES"/>
        </w:rPr>
        <w:t>Sistemas. Las actualizaciones del sistema operativo Windows como Windows Professional son un ejemplo de producto de sistema.</w:t>
      </w:r>
    </w:p>
    <w:p w:rsidR="00296F54" w:rsidRPr="00655696" w:rsidRDefault="00296F54" w:rsidP="00296F54">
      <w:pPr>
        <w:pStyle w:val="BodyText"/>
        <w:numPr>
          <w:ilvl w:val="0"/>
          <w:numId w:val="16"/>
        </w:numPr>
        <w:spacing w:after="0"/>
        <w:rPr>
          <w:lang w:val="es-ES"/>
        </w:rPr>
      </w:pPr>
      <w:r w:rsidRPr="00655696">
        <w:rPr>
          <w:lang w:val="es-ES"/>
        </w:rPr>
        <w:t>Servidores. Algunos ejemplos de productos de servidor son Microsoft Exchange Server, software de la base de datos de Microsoft SQL Server, Intune y Licencias de Acceso Cliente (“CAL”) asociadas.</w:t>
      </w:r>
    </w:p>
    <w:p w:rsidR="00296F54" w:rsidRPr="00655696" w:rsidRDefault="00296F54" w:rsidP="00296F54">
      <w:pPr>
        <w:pStyle w:val="BodyText"/>
        <w:spacing w:after="0"/>
        <w:rPr>
          <w:lang w:val="es-ES"/>
        </w:rPr>
      </w:pPr>
    </w:p>
    <w:p w:rsidR="00296F54" w:rsidRPr="00483B32" w:rsidRDefault="00296F54" w:rsidP="00296F54">
      <w:pPr>
        <w:pStyle w:val="BodyText"/>
        <w:spacing w:after="0" w:line="240" w:lineRule="auto"/>
      </w:pPr>
      <w:r>
        <w:t>Ejemplo:</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ayout w:type="fixed"/>
        <w:tblLook w:val="04A0" w:firstRow="1" w:lastRow="0" w:firstColumn="1" w:lastColumn="0" w:noHBand="0" w:noVBand="1"/>
      </w:tblPr>
      <w:tblGrid>
        <w:gridCol w:w="2250"/>
        <w:gridCol w:w="810"/>
        <w:gridCol w:w="2970"/>
        <w:gridCol w:w="961"/>
        <w:gridCol w:w="2610"/>
        <w:gridCol w:w="918"/>
      </w:tblGrid>
      <w:tr w:rsidR="00296F54"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tcPr>
          <w:p w:rsidR="00296F54" w:rsidRPr="0020545D" w:rsidRDefault="00296F54" w:rsidP="0019337E">
            <w:pPr>
              <w:pStyle w:val="BodyText"/>
              <w:spacing w:after="0" w:line="240" w:lineRule="auto"/>
              <w:rPr>
                <w:color w:val="FFFFFF" w:themeColor="background1"/>
              </w:rPr>
            </w:pPr>
            <w:r>
              <w:rPr>
                <w:color w:val="FFFFFF" w:themeColor="background1"/>
              </w:rPr>
              <w:t>Grupo de aplicaciones</w:t>
            </w:r>
          </w:p>
        </w:tc>
        <w:tc>
          <w:tcPr>
            <w:tcW w:w="810" w:type="dxa"/>
          </w:tcPr>
          <w:p w:rsidR="00296F54" w:rsidRPr="0020545D" w:rsidRDefault="00296F5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c>
          <w:tcPr>
            <w:tcW w:w="2970" w:type="dxa"/>
          </w:tcPr>
          <w:p w:rsidR="00296F54" w:rsidRPr="0020545D" w:rsidRDefault="00296F5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Grupo de Sistemas</w:t>
            </w:r>
          </w:p>
        </w:tc>
        <w:tc>
          <w:tcPr>
            <w:tcW w:w="961" w:type="dxa"/>
          </w:tcPr>
          <w:p w:rsidR="00296F54" w:rsidRPr="0020545D" w:rsidRDefault="00296F5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c>
          <w:tcPr>
            <w:tcW w:w="2610" w:type="dxa"/>
          </w:tcPr>
          <w:p w:rsidR="00296F54" w:rsidRPr="0020545D" w:rsidRDefault="00296F5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Grupo de servidores</w:t>
            </w:r>
          </w:p>
        </w:tc>
        <w:tc>
          <w:tcPr>
            <w:tcW w:w="918" w:type="dxa"/>
          </w:tcPr>
          <w:p w:rsidR="00296F54" w:rsidRPr="0020545D" w:rsidRDefault="00296F54"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r>
      <w:tr w:rsidR="00296F54"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96F54" w:rsidRDefault="00296F54" w:rsidP="0019337E">
            <w:pPr>
              <w:pStyle w:val="BodyText"/>
              <w:spacing w:after="0" w:line="240" w:lineRule="auto"/>
            </w:pPr>
            <w:r>
              <w:rPr>
                <w:b w:val="0"/>
                <w:color w:val="000000" w:themeColor="text1"/>
                <w:sz w:val="16"/>
              </w:rPr>
              <w:t>Office Professional</w:t>
            </w:r>
          </w:p>
        </w:tc>
        <w:tc>
          <w:tcPr>
            <w:tcW w:w="810" w:type="dxa"/>
            <w:vAlign w:val="center"/>
          </w:tcPr>
          <w:p w:rsidR="00296F54" w:rsidRDefault="00296F5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70" w:type="dxa"/>
            <w:vAlign w:val="center"/>
          </w:tcPr>
          <w:p w:rsidR="00296F54" w:rsidRDefault="00296F5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961" w:type="dxa"/>
            <w:vAlign w:val="center"/>
          </w:tcPr>
          <w:p w:rsidR="00296F54" w:rsidRDefault="00296F5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296F54" w:rsidRDefault="00296F5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918" w:type="dxa"/>
            <w:vAlign w:val="center"/>
          </w:tcPr>
          <w:p w:rsidR="00296F54" w:rsidRDefault="00296F54"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296F54" w:rsidTr="0019337E">
        <w:trPr>
          <w:trHeight w:val="70"/>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96F54" w:rsidRPr="0020545D" w:rsidRDefault="00296F54" w:rsidP="0019337E">
            <w:pPr>
              <w:pStyle w:val="BodyText"/>
              <w:spacing w:after="0" w:line="240" w:lineRule="auto"/>
              <w:rPr>
                <w:b w:val="0"/>
                <w:color w:val="000000" w:themeColor="text1"/>
                <w:sz w:val="16"/>
              </w:rPr>
            </w:pPr>
            <w:r>
              <w:rPr>
                <w:b w:val="0"/>
                <w:color w:val="000000" w:themeColor="text1"/>
                <w:sz w:val="16"/>
              </w:rPr>
              <w:t>O365 K1/E1/3/4</w:t>
            </w:r>
          </w:p>
        </w:tc>
        <w:tc>
          <w:tcPr>
            <w:tcW w:w="810" w:type="dxa"/>
            <w:vAlign w:val="center"/>
          </w:tcPr>
          <w:p w:rsidR="00296F54" w:rsidRPr="0020545D" w:rsidRDefault="00296F5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70" w:type="dxa"/>
            <w:vAlign w:val="center"/>
          </w:tcPr>
          <w:p w:rsidR="00296F54" w:rsidRPr="0020545D" w:rsidRDefault="00296F5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961" w:type="dxa"/>
            <w:vAlign w:val="center"/>
          </w:tcPr>
          <w:p w:rsidR="00296F54" w:rsidRPr="0020545D" w:rsidRDefault="00296F5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296F54" w:rsidRPr="0020545D" w:rsidRDefault="00296F5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918" w:type="dxa"/>
            <w:vAlign w:val="center"/>
          </w:tcPr>
          <w:p w:rsidR="00296F54" w:rsidRPr="0020545D" w:rsidRDefault="00296F54"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296F54" w:rsidRPr="00655696" w:rsidRDefault="00296F54" w:rsidP="00296F54">
      <w:pPr>
        <w:pStyle w:val="BodyText"/>
        <w:spacing w:before="120"/>
        <w:rPr>
          <w:lang w:val="es-ES"/>
        </w:rPr>
      </w:pPr>
      <w:r w:rsidRPr="00655696">
        <w:rPr>
          <w:bCs/>
          <w:lang w:val="es-ES"/>
        </w:rPr>
        <w:t xml:space="preserve">Para obtener más información, incluida una lista completa de puntos de Producto para licencias, visite </w:t>
      </w:r>
      <w:hyperlink r:id="rId17" w:history="1">
        <w:r w:rsidRPr="00655696">
          <w:rPr>
            <w:rStyle w:val="Hyperlink"/>
            <w:lang w:val="es-ES"/>
          </w:rPr>
          <w:t>http://www.microsoft.com/licensing/contracts</w:t>
        </w:r>
      </w:hyperlink>
    </w:p>
    <w:bookmarkEnd w:id="16"/>
    <w:p w:rsidR="00296F54" w:rsidRPr="00655696" w:rsidRDefault="00296F54" w:rsidP="00296F54">
      <w:pPr>
        <w:pStyle w:val="Thirdheading"/>
        <w:rPr>
          <w:lang w:val="es-ES"/>
        </w:rPr>
      </w:pPr>
      <w:r w:rsidRPr="00655696">
        <w:rPr>
          <w:b/>
          <w:lang w:val="es-ES"/>
        </w:rPr>
        <w:t>Ajustes en el nivel de precios</w:t>
      </w:r>
    </w:p>
    <w:p w:rsidR="00296F54" w:rsidRPr="00655696" w:rsidRDefault="00296F54" w:rsidP="00296F54">
      <w:pPr>
        <w:pStyle w:val="BodyText"/>
        <w:rPr>
          <w:lang w:val="es-ES"/>
        </w:rPr>
      </w:pPr>
      <w:r w:rsidRPr="00655696">
        <w:rPr>
          <w:lang w:val="es-ES"/>
        </w:rPr>
        <w:t>Alcanzará el siguiente nivel de precios para un grupo cuando la organización alcance el número de puntos mínimo anual correspondiente. El pedido que le haga susceptible para el siguiente nivel de umbral de descuento (por ejemplo, del Nivel A al Nivel B) recibe un descuento asociado con el siguiente nivel. Los niveles de precios de cada grupo de Productos se revisan anualmente en el mes aniversario del cumplimiento del contrato que se establece en el mismo mes en el que se activa el MPSA. Todos los puntos que gane en un determinado año que estén sobre el nivel de precios actual, pero por debajo del nivel de precios siguiente se traspasarán al año siguiente para que se incluyan en el cumplimiento de ese año.</w:t>
      </w:r>
    </w:p>
    <w:p w:rsidR="00296F54" w:rsidRPr="00655696" w:rsidRDefault="00296F54" w:rsidP="00296F54">
      <w:pPr>
        <w:pStyle w:val="BodyText"/>
        <w:rPr>
          <w:lang w:val="es-ES"/>
        </w:rPr>
      </w:pPr>
      <w:r w:rsidRPr="00655696">
        <w:rPr>
          <w:lang w:val="es-ES"/>
        </w:rPr>
        <w:t>Si las adquisiciones quedan por debajo del número de puntos mínimo anual en un grupo de Productos durante cualquier año, el nivel de precios de la organización se reducirá un nivel (por ejemplo, pasando del Nivel C al Nivel B) para ese grupo el año siguiente y no se traspasarán puntos al año siguiente. Su nivel de precios solo puede descender un máximo de un nivel cada año.</w:t>
      </w:r>
    </w:p>
    <w:p w:rsidR="00296F54" w:rsidRPr="00655696" w:rsidRDefault="00296F54" w:rsidP="00296F54">
      <w:pPr>
        <w:pStyle w:val="BodyText"/>
        <w:rPr>
          <w:lang w:val="es-ES"/>
        </w:rPr>
      </w:pPr>
      <w:r w:rsidRPr="00655696">
        <w:rPr>
          <w:lang w:val="es-ES"/>
        </w:rPr>
        <w:t>Si tiene un contrato cualificado asociado a su MPSA que tenga un nivel de precios del grupo de productos mejor que el grupo correspondiente en el MPSA, se utilizará ese mejor nivel de precios del grupo de productos para los pedidos en el MPSA.</w:t>
      </w:r>
    </w:p>
    <w:p w:rsidR="00296F54" w:rsidRDefault="00296F54" w:rsidP="00296F54">
      <w:pPr>
        <w:pStyle w:val="Thirdheading"/>
        <w:rPr>
          <w:b/>
          <w:lang w:val="es-ES"/>
        </w:rPr>
      </w:pPr>
    </w:p>
    <w:p w:rsidR="00296F54" w:rsidRDefault="00296F54" w:rsidP="00296F54">
      <w:pPr>
        <w:pStyle w:val="Thirdheading"/>
        <w:rPr>
          <w:b/>
          <w:lang w:val="es-ES"/>
        </w:rPr>
      </w:pPr>
    </w:p>
    <w:p w:rsidR="00296F54" w:rsidRPr="00655696" w:rsidRDefault="00296F54" w:rsidP="00296F54">
      <w:pPr>
        <w:pStyle w:val="Thirdheading"/>
        <w:rPr>
          <w:lang w:val="es-ES"/>
        </w:rPr>
      </w:pPr>
      <w:r w:rsidRPr="00655696">
        <w:rPr>
          <w:b/>
          <w:lang w:val="es-ES"/>
        </w:rPr>
        <w:t>Mecánica del Pedido</w:t>
      </w:r>
    </w:p>
    <w:p w:rsidR="00296F54" w:rsidRPr="00655696" w:rsidRDefault="00296F54" w:rsidP="00296F54">
      <w:pPr>
        <w:pStyle w:val="BodyText"/>
        <w:rPr>
          <w:lang w:val="es-ES"/>
        </w:rPr>
      </w:pPr>
      <w:r w:rsidRPr="00655696">
        <w:rPr>
          <w:lang w:val="es-ES"/>
        </w:rPr>
        <w:t xml:space="preserve">Los pedidos de los productos que Microsoft pone a disposición a través del MPSA deben realizarse a través del o de los Partner de Soluciones de Licencia que haya elegido. Los precios y las condiciones de pago de todos los pedidos realizados a través de un Partner </w:t>
      </w:r>
      <w:r w:rsidRPr="00655696">
        <w:rPr>
          <w:lang w:val="es-ES"/>
        </w:rPr>
        <w:lastRenderedPageBreak/>
        <w:t>se determinarán según el contrato celebrado entre usted y su Partner. Cuando realice pedidos, deberá especificar todos los países en los que la organización usará los Productos.</w:t>
      </w:r>
    </w:p>
    <w:p w:rsidR="00296F54" w:rsidRPr="00655696" w:rsidRDefault="00296F54" w:rsidP="00296F54">
      <w:pPr>
        <w:pStyle w:val="BodyText"/>
        <w:rPr>
          <w:lang w:val="es-ES"/>
        </w:rPr>
      </w:pPr>
      <w:r w:rsidRPr="00655696">
        <w:rPr>
          <w:lang w:val="es-ES"/>
        </w:rPr>
        <w:t xml:space="preserve">Todos los Software Assurance y los pedidos de licencia de subscripción de software se alinearán al tercer aniversario de su Cuenta de compra tras el pedido y se factura anualmente o mediante un pago completo en el momento del pedido, según su elección. </w:t>
      </w:r>
    </w:p>
    <w:p w:rsidR="00296F54" w:rsidRPr="00655696" w:rsidRDefault="00296F54" w:rsidP="00296F54">
      <w:pPr>
        <w:pStyle w:val="BodyText"/>
        <w:rPr>
          <w:lang w:val="es-ES"/>
        </w:rPr>
      </w:pPr>
      <w:r w:rsidRPr="00655696">
        <w:rPr>
          <w:lang w:val="es-ES"/>
        </w:rPr>
        <w:t xml:space="preserve">Los pedidos para los Servicios Online o suscripciones de Paquete pueden alinearse al siguiente aniversario de su Cuenta de compra o bien al segundo o al tercero tras la fecha del pedido. Las opciones de alineación dependen de los productos seleccionados. Los pedidos adicionales de una suscripción durante este período se alinearán automáticamente a la misma fecha final. Los pedidos se facturan o bien anualmente o bien mediante el pago completo debido en el momento del pedido, según su elección. Los precios para los pedidos adicionales de una suscripción serán los mismos que el pedido inicial de la suscripción, a menos que haya una promoción disponible en el momento del pedido que sea mejor. Si el período de suscripción es mayor que un año, los pedidos adicionales recibirán el mejor de los precios actuales en el momento del pedido adicional o el precio del pedido inicial. Los precios se restablecen cuando se renueva el periodo de suscripción. </w:t>
      </w:r>
    </w:p>
    <w:p w:rsidR="00296F54" w:rsidRPr="00655696" w:rsidRDefault="00296F54" w:rsidP="00296F54">
      <w:pPr>
        <w:pStyle w:val="BodyText"/>
        <w:rPr>
          <w:lang w:val="es-ES"/>
        </w:rPr>
      </w:pPr>
      <w:r w:rsidRPr="00655696">
        <w:rPr>
          <w:lang w:val="es-ES"/>
        </w:rPr>
        <w:t xml:space="preserve">Es posible que haya otras opciones de facturación y de alineación para los pedidos realizados a través de su MPSA disponibles en el futuro. </w:t>
      </w:r>
    </w:p>
    <w:p w:rsidR="00296F54" w:rsidRPr="00655696" w:rsidRDefault="00296F54" w:rsidP="00296F54">
      <w:pPr>
        <w:pStyle w:val="BodyText"/>
        <w:rPr>
          <w:lang w:val="es-ES"/>
        </w:rPr>
      </w:pPr>
      <w:r w:rsidRPr="00655696">
        <w:rPr>
          <w:lang w:val="es-ES"/>
        </w:rPr>
        <w:t>En cuanto Microsoft haya aceptado el registro de su Cuenta de Compra, podrá utilizar cualquier Producto como si estuviera licenciado en virtud de los términos del MPSA, siempre que envíe un pedido en el mismo mes natural en que el Producto se usó por primera vez, para un número suficiente de licencias para cubrir su uso del Producto. Para obtener cantidades adicionales de un Producto licenciado, debe realizar un pedido en el mes en que esas cantidades se utilizaron por primera vez. Para los puestos de Servicios Online que requieran un pedido de reconciliación, puede encontrar informes sobre dichas cantidades a través de MVLC o con la ayuda de su Partner. </w:t>
      </w:r>
    </w:p>
    <w:p w:rsidR="00296F54" w:rsidRPr="00655696" w:rsidRDefault="00296F54" w:rsidP="00296F54">
      <w:pPr>
        <w:pStyle w:val="BodyText"/>
        <w:rPr>
          <w:lang w:val="es-ES"/>
        </w:rPr>
      </w:pPr>
      <w:r w:rsidRPr="00655696">
        <w:rPr>
          <w:lang w:val="es-ES"/>
        </w:rPr>
        <w:t>Microsoft podrá cambiar los Productos disponibles a través del MPSA y podrá negarse a aceptar un pedido si tiene una razón comercial para hacerlo.</w:t>
      </w:r>
    </w:p>
    <w:p w:rsidR="00296F54" w:rsidRPr="00655696" w:rsidRDefault="00296F54" w:rsidP="00296F54">
      <w:pPr>
        <w:pStyle w:val="BodyText"/>
        <w:rPr>
          <w:lang w:val="es-ES"/>
        </w:rPr>
      </w:pPr>
      <w:r w:rsidRPr="00655696">
        <w:rPr>
          <w:lang w:val="es-ES"/>
        </w:rPr>
        <w:t xml:space="preserve">La información sobre los pedidos recibidos y procesados por Microsoft están disponibles en el MVLC en </w:t>
      </w:r>
      <w:hyperlink r:id="rId18" w:history="1">
        <w:r w:rsidRPr="00655696">
          <w:rPr>
            <w:rStyle w:val="Hyperlink"/>
            <w:lang w:val="es-ES"/>
          </w:rPr>
          <w:t>https://licensing.microsoft.com/customer</w:t>
        </w:r>
      </w:hyperlink>
      <w:r w:rsidRPr="00655696">
        <w:rPr>
          <w:lang w:val="es-ES"/>
        </w:rPr>
        <w:t>. Una vez registrado, se le proporcionará acceso al MVLC al contacto de la Cuenta de Compra y la cuenta del Administrador del Contrato designada tendrá acceso a la información de las Cuentas de Compra.</w:t>
      </w:r>
    </w:p>
    <w:p w:rsidR="00296F54" w:rsidRPr="00655696" w:rsidRDefault="00296F54" w:rsidP="00296F54">
      <w:pPr>
        <w:pStyle w:val="Hdg1noborder"/>
        <w:rPr>
          <w:lang w:val="es-ES"/>
        </w:rPr>
      </w:pPr>
      <w:bookmarkStart w:id="17" w:name="_Toc403380298"/>
      <w:bookmarkStart w:id="18" w:name="_Toc403985016"/>
      <w:bookmarkStart w:id="19" w:name="_Toc428279762"/>
      <w:r w:rsidRPr="00655696">
        <w:rPr>
          <w:lang w:val="es-ES"/>
        </w:rPr>
        <w:t>Apartado 2</w:t>
      </w:r>
      <w:bookmarkEnd w:id="17"/>
      <w:bookmarkEnd w:id="18"/>
      <w:bookmarkEnd w:id="19"/>
    </w:p>
    <w:p w:rsidR="00296F54" w:rsidRPr="00655696" w:rsidRDefault="00296F54" w:rsidP="00296F54">
      <w:pPr>
        <w:pStyle w:val="Hdg1noborder"/>
        <w:spacing w:before="120" w:after="120" w:line="240" w:lineRule="auto"/>
        <w:rPr>
          <w:rFonts w:eastAsiaTheme="majorEastAsia"/>
          <w:lang w:val="es-ES"/>
        </w:rPr>
      </w:pPr>
      <w:bookmarkStart w:id="20" w:name="_Toc403380299"/>
      <w:bookmarkStart w:id="21" w:name="_Toc403985017"/>
      <w:bookmarkStart w:id="22" w:name="_Toc428279763"/>
      <w:r w:rsidRPr="00655696">
        <w:rPr>
          <w:rFonts w:asciiTheme="majorHAnsi" w:eastAsiaTheme="majorEastAsia" w:hAnsiTheme="majorHAnsi" w:cstheme="majorBidi"/>
          <w:bCs/>
          <w:color w:val="FFC000" w:themeColor="accent4"/>
          <w:sz w:val="28"/>
          <w:szCs w:val="26"/>
          <w:lang w:val="es-ES"/>
        </w:rPr>
        <w:t>Beneficios de Servicios Online</w:t>
      </w:r>
      <w:bookmarkEnd w:id="20"/>
      <w:bookmarkEnd w:id="21"/>
      <w:bookmarkEnd w:id="22"/>
    </w:p>
    <w:p w:rsidR="00296F54" w:rsidRPr="00655696" w:rsidRDefault="00296F54" w:rsidP="00296F54">
      <w:pPr>
        <w:pStyle w:val="BodyText"/>
        <w:rPr>
          <w:rFonts w:eastAsiaTheme="majorEastAsia"/>
          <w:lang w:val="es-ES"/>
        </w:rPr>
      </w:pPr>
      <w:r w:rsidRPr="00655696">
        <w:rPr>
          <w:lang w:val="es-ES"/>
        </w:rPr>
        <w:t xml:space="preserve">Si adquiere Servicios en Línea, también será elegible para recibir beneficios de los Servicios en Línea. Por ejemplo, para Office 365, tiene derecho al beneficio E-Learning. La información detallada sobre los beneficios que están disponibles para los Servicios Online se captura en la Entrada del Prudocto en los Términos de Productos y a través de MVLC tras la adquisición. Para obtener una lista de los beneficios de Software Assurance, consulte a continuación. </w:t>
      </w:r>
    </w:p>
    <w:p w:rsidR="00296F54" w:rsidRPr="00655696" w:rsidRDefault="00296F54" w:rsidP="00296F54">
      <w:pPr>
        <w:pStyle w:val="Hdg1noborder"/>
        <w:spacing w:before="120" w:after="120" w:line="240" w:lineRule="auto"/>
        <w:rPr>
          <w:rFonts w:eastAsiaTheme="majorEastAsia"/>
          <w:lang w:val="es-ES"/>
        </w:rPr>
      </w:pPr>
      <w:bookmarkStart w:id="23" w:name="_Toc403380300"/>
      <w:bookmarkStart w:id="24" w:name="_Toc403985018"/>
      <w:bookmarkStart w:id="25" w:name="_Toc428279764"/>
      <w:r w:rsidRPr="00655696">
        <w:rPr>
          <w:rFonts w:asciiTheme="majorHAnsi" w:eastAsiaTheme="majorEastAsia" w:hAnsiTheme="majorHAnsi" w:cstheme="majorBidi"/>
          <w:bCs/>
          <w:color w:val="FFC000" w:themeColor="accent4"/>
          <w:sz w:val="28"/>
          <w:szCs w:val="26"/>
          <w:lang w:val="es-ES"/>
        </w:rPr>
        <w:t>Software Assurance y sus beneficios</w:t>
      </w:r>
      <w:bookmarkEnd w:id="23"/>
      <w:bookmarkEnd w:id="24"/>
      <w:bookmarkEnd w:id="25"/>
    </w:p>
    <w:p w:rsidR="00296F54" w:rsidRPr="00655696" w:rsidRDefault="00296F54" w:rsidP="00296F54">
      <w:pPr>
        <w:pStyle w:val="BodyText"/>
        <w:rPr>
          <w:lang w:val="es-ES"/>
        </w:rPr>
      </w:pPr>
      <w:r w:rsidRPr="00655696">
        <w:rPr>
          <w:color w:val="000000" w:themeColor="text1"/>
          <w:lang w:val="es-ES"/>
        </w:rPr>
        <w:t xml:space="preserve">Microsoft Software Assurance para Licencias por Volumen (SA) es una gama de herramientas y recursos que proporcionan ayuda para el desarrollo y la administración de productos de Microsoft. El Software Assurance que adquiere mediante el MPSA está sujeto a los términos de este Manual de Licencia y no está regido por el Apéndice B: sección de Software Assurance de los Términos de Productos. </w:t>
      </w:r>
      <w:r w:rsidRPr="00655696">
        <w:rPr>
          <w:lang w:val="es-ES"/>
        </w:rPr>
        <w:t>Tenga en cuenta que si está familiarizado con las reglas de elegibilidad y cálculo de los beneficios de SA en Select Plus, estas reglas serán compatibles con el MPSA excepto en el caso del Soporte Técnico para la Resolución de Problemas 24x7 (PRS) y los Comprobantes de formación como se detallan a continuación.</w:t>
      </w:r>
    </w:p>
    <w:p w:rsidR="00296F54" w:rsidRPr="00655696" w:rsidRDefault="00296F54" w:rsidP="00296F54">
      <w:pPr>
        <w:pStyle w:val="Thirdheading"/>
        <w:rPr>
          <w:lang w:val="es-ES"/>
        </w:rPr>
      </w:pPr>
      <w:r w:rsidRPr="00655696">
        <w:rPr>
          <w:b/>
          <w:lang w:val="es-ES"/>
        </w:rPr>
        <w:t>Adquisición de Software Assurance</w:t>
      </w:r>
    </w:p>
    <w:p w:rsidR="00296F54" w:rsidRPr="00655696" w:rsidRDefault="00296F54" w:rsidP="00296F54">
      <w:pPr>
        <w:pStyle w:val="BodyText"/>
        <w:rPr>
          <w:lang w:val="es-ES"/>
        </w:rPr>
      </w:pPr>
      <w:r w:rsidRPr="00655696">
        <w:rPr>
          <w:lang w:val="es-ES"/>
        </w:rPr>
        <w:t>Puede adquirir Software Assurance (SA) a través del MPSA de la siguiente forma:</w:t>
      </w:r>
    </w:p>
    <w:p w:rsidR="00296F54" w:rsidRPr="00655696" w:rsidRDefault="00296F54" w:rsidP="00296F54">
      <w:pPr>
        <w:pStyle w:val="BodyText"/>
        <w:numPr>
          <w:ilvl w:val="0"/>
          <w:numId w:val="16"/>
        </w:numPr>
        <w:spacing w:after="0"/>
        <w:rPr>
          <w:lang w:val="es-ES"/>
        </w:rPr>
      </w:pPr>
      <w:r w:rsidRPr="00655696">
        <w:rPr>
          <w:lang w:val="es-ES"/>
        </w:rPr>
        <w:t xml:space="preserve">Comprometerse a adjuntar SA en todas sus adquisiciones en virtud de un grupo específico de Productos (Aplicaciones, Sistemas o Servidores), denominado Afiliación a Software Assurance (SAM). </w:t>
      </w:r>
    </w:p>
    <w:p w:rsidR="00296F54" w:rsidRPr="00655696" w:rsidRDefault="00296F54" w:rsidP="00296F54">
      <w:pPr>
        <w:pStyle w:val="BodyText"/>
        <w:numPr>
          <w:ilvl w:val="0"/>
          <w:numId w:val="16"/>
        </w:numPr>
        <w:rPr>
          <w:lang w:val="es-ES"/>
        </w:rPr>
      </w:pPr>
      <w:r w:rsidRPr="00655696">
        <w:rPr>
          <w:lang w:val="es-ES"/>
        </w:rPr>
        <w:t>Adquirir SA en Productos individuales sin comprometerse a ampliar SA a otros Productos.</w:t>
      </w:r>
    </w:p>
    <w:p w:rsidR="00296F54" w:rsidRPr="00655696" w:rsidRDefault="00296F54" w:rsidP="00296F54">
      <w:pPr>
        <w:pStyle w:val="BodyText"/>
        <w:rPr>
          <w:lang w:val="es-ES"/>
        </w:rPr>
      </w:pPr>
      <w:r w:rsidRPr="00655696">
        <w:rPr>
          <w:color w:val="000000" w:themeColor="text1"/>
          <w:lang w:val="es-ES"/>
        </w:rPr>
        <w:lastRenderedPageBreak/>
        <w:t>SA debe adquirirse en el momento de adquirir la Licencia o al renovar un periodo de vigencia de SA existente. A menos que se indique de otro modo, solo las licencias para la última versión de un Producto son elegibles para SA.</w:t>
      </w:r>
    </w:p>
    <w:p w:rsidR="00296F54" w:rsidRPr="00655696" w:rsidRDefault="00296F54" w:rsidP="00296F54">
      <w:pPr>
        <w:pStyle w:val="Thirdheading"/>
        <w:rPr>
          <w:lang w:val="es-ES"/>
        </w:rPr>
      </w:pPr>
      <w:r w:rsidRPr="00655696">
        <w:rPr>
          <w:rFonts w:ascii="Segoe UI" w:hAnsi="Segoe UI" w:cs="Times New Roman"/>
          <w:color w:val="000000" w:themeColor="text1"/>
          <w:sz w:val="18"/>
          <w:szCs w:val="20"/>
          <w:lang w:val="es-ES"/>
        </w:rPr>
        <w:t>Como excepción a la regla general, los clientes pueden contar con la opción de adquirir SA para ciertas licencias adquiridas a través de minoristas (producto empaquetado completo) o a través de un Fabricante de equipos originales (OEM, del inglés “Original Equipment Manufacturer”) en los sistemas y grupos de servidores del MPSA. No se podrá solicitar ningún producto empaquetado completo (como las Tarjetas de Clave de Producto) en el Grupo de Aplicaciones en dicha excepción y solo Microsoft Office Professional 2013 que haya sido adquirido a través de un OEM puede adquirir SA para Microsoft Office Standard en el plazo de 90 días desde la fecha de adquisición.</w:t>
      </w:r>
    </w:p>
    <w:p w:rsidR="00296F54" w:rsidRPr="00655696" w:rsidRDefault="00296F54" w:rsidP="00296F54">
      <w:pPr>
        <w:pStyle w:val="Thirdheading"/>
        <w:rPr>
          <w:lang w:val="es-ES"/>
        </w:rPr>
      </w:pPr>
      <w:r w:rsidRPr="00655696">
        <w:rPr>
          <w:b/>
          <w:lang w:val="es-ES"/>
        </w:rPr>
        <w:t>Renovación de Software Assurance</w:t>
      </w:r>
    </w:p>
    <w:p w:rsidR="00296F54" w:rsidRPr="00655696" w:rsidRDefault="00296F54" w:rsidP="00296F54">
      <w:pPr>
        <w:pStyle w:val="BodyText"/>
        <w:rPr>
          <w:lang w:val="es-ES"/>
        </w:rPr>
      </w:pPr>
      <w:r w:rsidRPr="00655696">
        <w:rPr>
          <w:color w:val="000000" w:themeColor="text1"/>
          <w:lang w:val="es-ES"/>
        </w:rPr>
        <w:t>Podrá renovar SA sin necesidad de solicitar de forma simultánea una Licencia, siempre que la cobertura de SA no haya expirado.</w:t>
      </w:r>
    </w:p>
    <w:p w:rsidR="00296F54" w:rsidRPr="00655696" w:rsidRDefault="00296F54" w:rsidP="00296F54">
      <w:pPr>
        <w:pStyle w:val="Thirdheading"/>
        <w:rPr>
          <w:lang w:val="es-ES"/>
        </w:rPr>
      </w:pPr>
      <w:r w:rsidRPr="00655696">
        <w:rPr>
          <w:b/>
          <w:lang w:val="es-ES"/>
        </w:rPr>
        <w:t>Renovación de cobertura desde un contrato separado</w:t>
      </w:r>
    </w:p>
    <w:p w:rsidR="00296F54" w:rsidRPr="00655696" w:rsidRDefault="00296F54" w:rsidP="00296F54">
      <w:pPr>
        <w:pStyle w:val="BodyText"/>
        <w:rPr>
          <w:lang w:val="es-ES"/>
        </w:rPr>
      </w:pPr>
      <w:r w:rsidRPr="00655696">
        <w:rPr>
          <w:lang w:val="es-ES"/>
        </w:rPr>
        <w:t xml:space="preserve">Podrá renovar SA para cualquier Producto si obtuvo una licencia perpetua y SA para ese Producto en virtud de un contrato anterior y: </w:t>
      </w:r>
    </w:p>
    <w:p w:rsidR="00296F54" w:rsidRPr="00655696" w:rsidRDefault="00296F54" w:rsidP="00296F54">
      <w:pPr>
        <w:pStyle w:val="BodyText"/>
        <w:numPr>
          <w:ilvl w:val="0"/>
          <w:numId w:val="16"/>
        </w:numPr>
        <w:spacing w:after="0"/>
        <w:rPr>
          <w:lang w:val="es-ES"/>
        </w:rPr>
      </w:pPr>
      <w:r w:rsidRPr="00655696">
        <w:rPr>
          <w:lang w:val="es-ES"/>
        </w:rPr>
        <w:t xml:space="preserve">la fecha de inicio de renovación de la cobertura de SA es anterior al día siguiente a la fecha de expiración de la expiración de SA anterior, </w:t>
      </w:r>
    </w:p>
    <w:p w:rsidR="00296F54" w:rsidRPr="00655696" w:rsidRDefault="00296F54" w:rsidP="00296F54">
      <w:pPr>
        <w:pStyle w:val="BodyText"/>
        <w:numPr>
          <w:ilvl w:val="0"/>
          <w:numId w:val="16"/>
        </w:numPr>
        <w:spacing w:after="0"/>
        <w:rPr>
          <w:lang w:val="es-ES"/>
        </w:rPr>
      </w:pPr>
      <w:r w:rsidRPr="00655696">
        <w:rPr>
          <w:lang w:val="es-ES"/>
        </w:rPr>
        <w:t xml:space="preserve">el pedido de renovación de SA se realizará antes de la expiración de la cobertura de SA anterior. </w:t>
      </w:r>
    </w:p>
    <w:p w:rsidR="00296F54" w:rsidRPr="00655696" w:rsidRDefault="00296F54" w:rsidP="00296F54">
      <w:pPr>
        <w:pStyle w:val="Thirdheading"/>
        <w:spacing w:before="240"/>
        <w:rPr>
          <w:lang w:val="es-ES"/>
        </w:rPr>
      </w:pPr>
      <w:r w:rsidRPr="00655696">
        <w:rPr>
          <w:b/>
          <w:lang w:val="es-ES"/>
        </w:rPr>
        <w:t>Licencias de Acceso de Cliente (CAL) y Licencias de Administración de Cliente (ML)</w:t>
      </w:r>
    </w:p>
    <w:p w:rsidR="00296F54" w:rsidRPr="00655696" w:rsidRDefault="00296F54" w:rsidP="00296F54">
      <w:pPr>
        <w:pStyle w:val="BodyText"/>
        <w:rPr>
          <w:lang w:val="es-ES"/>
        </w:rPr>
      </w:pPr>
      <w:r w:rsidRPr="00655696">
        <w:rPr>
          <w:lang w:val="es-ES"/>
        </w:rPr>
        <w:t xml:space="preserve">Transición entre CAL de Usuario y CAL de Dispositivo: Cuando renueve SA para las licencias CAL, puede cambiar entre Usuario y Dispositivo. Esta transición no cambia la edición de la licencia CAL (es decir, Standard a Enterprise). </w:t>
      </w:r>
    </w:p>
    <w:p w:rsidR="00296F54" w:rsidRPr="00655696" w:rsidRDefault="00296F54" w:rsidP="00296F54">
      <w:pPr>
        <w:pStyle w:val="BodyText"/>
        <w:rPr>
          <w:lang w:val="es-ES"/>
        </w:rPr>
      </w:pPr>
      <w:r w:rsidRPr="00655696">
        <w:rPr>
          <w:lang w:val="es-ES"/>
        </w:rPr>
        <w:t>Transición entre ML de cliente de Usuario y OSE: Cuando renueve SA para los ML de cliente, puede cambiar entre Usuario y OSE.</w:t>
      </w:r>
    </w:p>
    <w:p w:rsidR="00296F54" w:rsidRPr="00655696" w:rsidRDefault="00296F54" w:rsidP="00296F54">
      <w:pPr>
        <w:pStyle w:val="Thirdheading"/>
        <w:rPr>
          <w:lang w:val="es-ES"/>
        </w:rPr>
      </w:pPr>
      <w:r w:rsidRPr="00655696">
        <w:rPr>
          <w:b/>
          <w:lang w:val="es-ES"/>
        </w:rPr>
        <w:t>Beneficios de Software Assurance</w:t>
      </w:r>
    </w:p>
    <w:p w:rsidR="00296F54" w:rsidRPr="00655696" w:rsidRDefault="00296F54" w:rsidP="00296F54">
      <w:pPr>
        <w:pStyle w:val="BodyText"/>
        <w:rPr>
          <w:lang w:val="es-ES"/>
        </w:rPr>
      </w:pPr>
      <w:r w:rsidRPr="00655696">
        <w:rPr>
          <w:lang w:val="es-ES"/>
        </w:rPr>
        <w:t xml:space="preserve">Los beneficios de Software Assurance pueden variar según Producto y grupo de Productos. El acceso y los derechos de uso de los beneficios de SA generalmente expiran en el momento de la expiración de la cobertura de SA, a menos que se indique de otro modo a continuación. La mayor parte de los beneficios de SA se conceden al comienzo del periodo de cobertura. Cualquier cambio que se produzca durante el periodo de cobertura (por ejemplo, devoluciones o adquisiciones adicionales) puede ocasionar un cambio en la elegibilidad para obtener beneficios. Cualquier excepción a las reglas anteriores se indica en las secciones de beneficios individuales, que aparecen a continuación. Los beneficios están sujetos a cambios y se pueden interrumpir en cualquier momento sin previo aviso. Los beneficios de SA se asignan a través del MPSA por Cuenta de Compra. </w:t>
      </w:r>
    </w:p>
    <w:p w:rsidR="00296F54" w:rsidRPr="00655696" w:rsidRDefault="00296F54" w:rsidP="00296F54">
      <w:pPr>
        <w:spacing w:line="240" w:lineRule="auto"/>
        <w:rPr>
          <w:lang w:val="es-ES"/>
        </w:rPr>
      </w:pPr>
      <w:r w:rsidRPr="00655696">
        <w:rPr>
          <w:rFonts w:eastAsia="Times New Roman" w:cs="Times New Roman"/>
          <w:color w:val="505050"/>
          <w:szCs w:val="20"/>
          <w:lang w:val="es-ES"/>
        </w:rPr>
        <w:t xml:space="preserve">La cobertura de SA vigente para cualquier producto certificado a través del MPSA, sin importar la versión del Producto que esté utilizando, hace que sea susceptible de obtener los beneficios que se muestran en la siguiente tabla. Consulte la sección Software Assurance de cada producto para ver los beneficios específicos de los productos como Microsoft Desktop Optimization Pack y Windows Thin PC. Los productos clasificados se identifican en cada apartado dedicado a los Términos de Productos. Algunos beneficios requiere una Afiliación a SA; una Afiliación a SA para el grupo de Productos aplicable hace que sea susceptible de obtener dichos beneficios. </w:t>
      </w:r>
    </w:p>
    <w:p w:rsidR="00296F54" w:rsidRPr="00655696" w:rsidRDefault="00296F54" w:rsidP="00296F54">
      <w:pPr>
        <w:pStyle w:val="Hdg1noborder"/>
        <w:spacing w:before="120" w:after="120" w:line="240" w:lineRule="auto"/>
        <w:rPr>
          <w:rFonts w:eastAsiaTheme="majorEastAsia"/>
          <w:lang w:val="es-ES"/>
        </w:rPr>
      </w:pPr>
      <w:bookmarkStart w:id="26" w:name="_Toc403380301"/>
      <w:bookmarkStart w:id="27" w:name="_Toc403985019"/>
      <w:bookmarkStart w:id="28" w:name="_Toc428279765"/>
      <w:r w:rsidRPr="00655696">
        <w:rPr>
          <w:rFonts w:asciiTheme="majorHAnsi" w:eastAsiaTheme="majorEastAsia" w:hAnsiTheme="majorHAnsi" w:cstheme="majorBidi"/>
          <w:bCs/>
          <w:color w:val="FFC000" w:themeColor="accent4"/>
          <w:sz w:val="28"/>
          <w:szCs w:val="26"/>
          <w:lang w:val="es-ES"/>
        </w:rPr>
        <w:t>Disponibilidad de los Beneficios de Software Assurance de MPSA</w:t>
      </w:r>
      <w:bookmarkEnd w:id="26"/>
      <w:bookmarkEnd w:id="27"/>
      <w:bookmarkEnd w:id="28"/>
    </w:p>
    <w:p w:rsidR="00296F54" w:rsidRPr="00655696" w:rsidRDefault="00296F54" w:rsidP="00296F54">
      <w:pPr>
        <w:pStyle w:val="BodyText"/>
        <w:spacing w:after="0"/>
        <w:rPr>
          <w:lang w:val="es-ES"/>
        </w:rPr>
      </w:pPr>
      <w:r w:rsidRPr="00655696">
        <w:rPr>
          <w:lang w:val="es-ES"/>
        </w:rPr>
        <w:t xml:space="preserve">A menos que se indique de otro modo a continuación, se puede acceder a los beneficios de SA a través del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296F54" w:rsidRPr="00717EC0" w:rsidTr="0019337E">
        <w:trPr>
          <w:trHeight w:val="56"/>
          <w:tblHeader/>
        </w:trPr>
        <w:tc>
          <w:tcPr>
            <w:tcW w:w="5736" w:type="dxa"/>
            <w:shd w:val="clear" w:color="auto" w:fill="BF8F00" w:themeFill="accent4" w:themeFillShade="BF"/>
            <w:vAlign w:val="center"/>
          </w:tcPr>
          <w:p w:rsidR="00296F54" w:rsidRPr="00422D62" w:rsidRDefault="00296F54" w:rsidP="0019337E">
            <w:pPr>
              <w:pStyle w:val="ProductList-Body"/>
              <w:rPr>
                <w:rFonts w:cstheme="minorHAnsi"/>
                <w:color w:val="FFFFFF" w:themeColor="background1"/>
                <w:szCs w:val="18"/>
              </w:rPr>
            </w:pPr>
            <w:r>
              <w:rPr>
                <w:rFonts w:cstheme="minorHAnsi"/>
                <w:color w:val="FFFFFF" w:themeColor="background1"/>
                <w:szCs w:val="18"/>
              </w:rPr>
              <w:t>Beneficios de SA</w:t>
            </w:r>
          </w:p>
        </w:tc>
        <w:tc>
          <w:tcPr>
            <w:tcW w:w="1648" w:type="dxa"/>
            <w:shd w:val="clear" w:color="auto" w:fill="BF8F00" w:themeFill="accent4" w:themeFillShade="BF"/>
            <w:vAlign w:val="center"/>
          </w:tcPr>
          <w:p w:rsidR="00296F54" w:rsidRPr="00422D62" w:rsidRDefault="00296F54" w:rsidP="0019337E">
            <w:pPr>
              <w:pStyle w:val="ProductList-Body"/>
              <w:jc w:val="center"/>
              <w:rPr>
                <w:rFonts w:cstheme="minorHAnsi"/>
                <w:color w:val="FFFFFF" w:themeColor="background1"/>
                <w:szCs w:val="18"/>
              </w:rPr>
            </w:pPr>
            <w:r>
              <w:rPr>
                <w:rFonts w:cstheme="minorHAnsi"/>
                <w:color w:val="FFFFFF" w:themeColor="background1"/>
                <w:szCs w:val="18"/>
              </w:rPr>
              <w:t>Grupo de aplicaciones</w:t>
            </w:r>
          </w:p>
        </w:tc>
        <w:tc>
          <w:tcPr>
            <w:tcW w:w="1828" w:type="dxa"/>
            <w:shd w:val="clear" w:color="auto" w:fill="BF8F00" w:themeFill="accent4" w:themeFillShade="BF"/>
            <w:vAlign w:val="center"/>
          </w:tcPr>
          <w:p w:rsidR="00296F54" w:rsidRPr="00422D62" w:rsidRDefault="00296F54" w:rsidP="0019337E">
            <w:pPr>
              <w:pStyle w:val="ProductList-Body"/>
              <w:jc w:val="center"/>
              <w:rPr>
                <w:rFonts w:cstheme="minorHAnsi"/>
                <w:color w:val="FFFFFF" w:themeColor="background1"/>
                <w:szCs w:val="18"/>
              </w:rPr>
            </w:pPr>
            <w:r>
              <w:rPr>
                <w:rFonts w:cstheme="minorHAnsi"/>
                <w:color w:val="FFFFFF" w:themeColor="background1"/>
                <w:szCs w:val="18"/>
              </w:rPr>
              <w:t>Grupo de Sistemas</w:t>
            </w:r>
          </w:p>
        </w:tc>
        <w:tc>
          <w:tcPr>
            <w:tcW w:w="1508" w:type="dxa"/>
            <w:shd w:val="clear" w:color="auto" w:fill="BF8F00" w:themeFill="accent4" w:themeFillShade="BF"/>
            <w:vAlign w:val="center"/>
          </w:tcPr>
          <w:p w:rsidR="00296F54" w:rsidRPr="00422D62" w:rsidRDefault="00296F54" w:rsidP="0019337E">
            <w:pPr>
              <w:pStyle w:val="ProductList-Body"/>
              <w:jc w:val="center"/>
              <w:rPr>
                <w:rFonts w:cstheme="minorHAnsi"/>
                <w:color w:val="FFFFFF" w:themeColor="background1"/>
                <w:szCs w:val="18"/>
              </w:rPr>
            </w:pPr>
            <w:r>
              <w:rPr>
                <w:rFonts w:cstheme="minorHAnsi"/>
                <w:color w:val="FFFFFF" w:themeColor="background1"/>
                <w:szCs w:val="18"/>
              </w:rPr>
              <w:t>Grupo de Servidores</w:t>
            </w:r>
          </w:p>
        </w:tc>
      </w:tr>
      <w:tr w:rsidR="00296F54" w:rsidRPr="00A84C84" w:rsidTr="0019337E">
        <w:trPr>
          <w:trHeight w:val="255"/>
        </w:trPr>
        <w:tc>
          <w:tcPr>
            <w:tcW w:w="5736" w:type="dxa"/>
          </w:tcPr>
          <w:p w:rsidR="00296F54" w:rsidRPr="00BC431D" w:rsidRDefault="00296F54" w:rsidP="0019337E">
            <w:pPr>
              <w:pStyle w:val="ProductList-Body"/>
              <w:rPr>
                <w:rStyle w:val="Hyperlink"/>
                <w:sz w:val="17"/>
                <w:szCs w:val="17"/>
              </w:rPr>
            </w:pPr>
            <w:hyperlink w:anchor="_New_Version_Rights" w:history="1">
              <w:r>
                <w:rPr>
                  <w:rStyle w:val="Hyperlink"/>
                  <w:sz w:val="17"/>
                  <w:szCs w:val="17"/>
                </w:rPr>
                <w:t>Planning Services</w:t>
              </w:r>
            </w:hyperlink>
          </w:p>
        </w:tc>
        <w:tc>
          <w:tcPr>
            <w:tcW w:w="164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296F54" w:rsidRPr="00BC431D" w:rsidRDefault="00296F54" w:rsidP="0019337E">
            <w:pPr>
              <w:pStyle w:val="ProductList-Body"/>
              <w:jc w:val="center"/>
              <w:rPr>
                <w:rFonts w:cstheme="minorHAnsi"/>
                <w:color w:val="000000" w:themeColor="text1"/>
                <w:sz w:val="17"/>
                <w:szCs w:val="17"/>
              </w:rPr>
            </w:pPr>
          </w:p>
        </w:tc>
        <w:tc>
          <w:tcPr>
            <w:tcW w:w="1508" w:type="dxa"/>
            <w:vAlign w:val="center"/>
          </w:tcPr>
          <w:p w:rsidR="00296F54" w:rsidRPr="00BC431D" w:rsidRDefault="00296F54"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296F54" w:rsidRPr="00A84C84" w:rsidTr="0019337E">
        <w:trPr>
          <w:trHeight w:val="255"/>
        </w:trPr>
        <w:tc>
          <w:tcPr>
            <w:tcW w:w="5736" w:type="dxa"/>
          </w:tcPr>
          <w:p w:rsidR="00296F54" w:rsidRPr="00BC431D" w:rsidRDefault="00296F54" w:rsidP="0019337E">
            <w:pPr>
              <w:pStyle w:val="ProductList-Body"/>
              <w:rPr>
                <w:rStyle w:val="Hyperlink"/>
                <w:sz w:val="17"/>
                <w:szCs w:val="17"/>
              </w:rPr>
            </w:pPr>
            <w:hyperlink w:anchor="_Enhanced_Edition_Benefits" w:history="1">
              <w:r>
                <w:rPr>
                  <w:rStyle w:val="Hyperlink"/>
                  <w:sz w:val="17"/>
                  <w:szCs w:val="17"/>
                </w:rPr>
                <w:t>Cupones de Formación</w:t>
              </w:r>
            </w:hyperlink>
          </w:p>
        </w:tc>
        <w:tc>
          <w:tcPr>
            <w:tcW w:w="164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296F54" w:rsidRPr="00BC431D" w:rsidRDefault="00296F54" w:rsidP="0019337E">
            <w:pPr>
              <w:pStyle w:val="ProductList-Body"/>
              <w:jc w:val="center"/>
              <w:rPr>
                <w:rFonts w:cstheme="minorHAnsi"/>
                <w:color w:val="000000" w:themeColor="text1"/>
                <w:sz w:val="17"/>
                <w:szCs w:val="17"/>
              </w:rPr>
            </w:pPr>
          </w:p>
        </w:tc>
      </w:tr>
      <w:tr w:rsidR="00296F54" w:rsidRPr="00A84C84" w:rsidTr="0019337E">
        <w:trPr>
          <w:trHeight w:val="255"/>
        </w:trPr>
        <w:tc>
          <w:tcPr>
            <w:tcW w:w="5736" w:type="dxa"/>
          </w:tcPr>
          <w:p w:rsidR="00296F54" w:rsidRPr="00655696" w:rsidRDefault="00296F54" w:rsidP="0019337E">
            <w:pPr>
              <w:pStyle w:val="ProductList-Body"/>
              <w:rPr>
                <w:sz w:val="17"/>
                <w:szCs w:val="17"/>
                <w:lang w:val="es-ES"/>
              </w:rPr>
            </w:pPr>
            <w:hyperlink w:anchor="_24x7_Problem_Resolution_1" w:history="1">
              <w:r w:rsidRPr="00655696">
                <w:rPr>
                  <w:rStyle w:val="Hyperlink"/>
                  <w:sz w:val="17"/>
                  <w:szCs w:val="17"/>
                  <w:lang w:val="es-ES"/>
                </w:rPr>
                <w:t>24x7 Soporte Técnico para la Resolución de Problemas</w:t>
              </w:r>
            </w:hyperlink>
          </w:p>
        </w:tc>
        <w:tc>
          <w:tcPr>
            <w:tcW w:w="1648" w:type="dxa"/>
            <w:vAlign w:val="center"/>
          </w:tcPr>
          <w:p w:rsidR="00296F54" w:rsidRPr="00BC431D" w:rsidRDefault="00296F54"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296F54" w:rsidRPr="00BC431D" w:rsidRDefault="00296F54"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296F54" w:rsidRPr="00A84C84" w:rsidTr="0019337E">
        <w:trPr>
          <w:trHeight w:val="255"/>
        </w:trPr>
        <w:tc>
          <w:tcPr>
            <w:tcW w:w="5736" w:type="dxa"/>
          </w:tcPr>
          <w:p w:rsidR="00296F54" w:rsidRPr="00BC431D" w:rsidRDefault="00296F54" w:rsidP="0019337E">
            <w:pPr>
              <w:pStyle w:val="ProductList-Body"/>
              <w:rPr>
                <w:rFonts w:cstheme="minorHAnsi"/>
                <w:color w:val="000000" w:themeColor="text1"/>
                <w:sz w:val="17"/>
                <w:szCs w:val="17"/>
                <w:lang w:eastAsia="ja-JP"/>
              </w:rPr>
            </w:pPr>
            <w:hyperlink w:anchor="_Derecho_a_Versiones" w:history="1">
              <w:r>
                <w:rPr>
                  <w:rStyle w:val="Hyperlink"/>
                  <w:rFonts w:cstheme="minorHAnsi"/>
                  <w:sz w:val="17"/>
                  <w:szCs w:val="17"/>
                </w:rPr>
                <w:t>Derecho a Versiones Nuevas</w:t>
              </w:r>
            </w:hyperlink>
          </w:p>
        </w:tc>
        <w:tc>
          <w:tcPr>
            <w:tcW w:w="164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296F54" w:rsidRPr="00A84C84" w:rsidTr="0019337E">
        <w:trPr>
          <w:trHeight w:val="255"/>
        </w:trPr>
        <w:tc>
          <w:tcPr>
            <w:tcW w:w="5736" w:type="dxa"/>
          </w:tcPr>
          <w:p w:rsidR="00296F54" w:rsidRPr="00BC431D" w:rsidRDefault="00296F54"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296F54" w:rsidRPr="00BC431D" w:rsidRDefault="00296F54"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296F54" w:rsidRPr="00BC431D" w:rsidRDefault="00296F54" w:rsidP="0019337E">
            <w:pPr>
              <w:pStyle w:val="ProductList-Body"/>
              <w:jc w:val="center"/>
              <w:rPr>
                <w:rFonts w:cstheme="minorHAnsi"/>
                <w:color w:val="000000" w:themeColor="text1"/>
                <w:sz w:val="17"/>
                <w:szCs w:val="17"/>
              </w:rPr>
            </w:pPr>
          </w:p>
        </w:tc>
        <w:tc>
          <w:tcPr>
            <w:tcW w:w="1508" w:type="dxa"/>
            <w:vAlign w:val="center"/>
          </w:tcPr>
          <w:p w:rsidR="00296F54" w:rsidRPr="00BC431D" w:rsidRDefault="00296F54" w:rsidP="0019337E">
            <w:pPr>
              <w:pStyle w:val="ProductList-Body"/>
              <w:jc w:val="center"/>
              <w:rPr>
                <w:rFonts w:ascii="Wingdings" w:hAnsi="Wingdings" w:cs="Wingdings"/>
                <w:color w:val="000000" w:themeColor="text1"/>
                <w:sz w:val="17"/>
                <w:szCs w:val="17"/>
              </w:rPr>
            </w:pPr>
          </w:p>
        </w:tc>
      </w:tr>
      <w:tr w:rsidR="00296F54" w:rsidRPr="00A84C84" w:rsidTr="0019337E">
        <w:trPr>
          <w:trHeight w:val="255"/>
        </w:trPr>
        <w:tc>
          <w:tcPr>
            <w:tcW w:w="5736" w:type="dxa"/>
          </w:tcPr>
          <w:p w:rsidR="00296F54" w:rsidRPr="00BC431D" w:rsidRDefault="00296F54"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E-Learning</w:t>
              </w:r>
            </w:hyperlink>
          </w:p>
        </w:tc>
        <w:tc>
          <w:tcPr>
            <w:tcW w:w="164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296F54" w:rsidRPr="00A84C84" w:rsidTr="0019337E">
        <w:trPr>
          <w:trHeight w:val="255"/>
        </w:trPr>
        <w:tc>
          <w:tcPr>
            <w:tcW w:w="5736" w:type="dxa"/>
          </w:tcPr>
          <w:p w:rsidR="00296F54" w:rsidRPr="00655696" w:rsidRDefault="00296F54" w:rsidP="0019337E">
            <w:pPr>
              <w:pStyle w:val="ProductList-Body"/>
              <w:rPr>
                <w:rFonts w:cstheme="minorHAnsi"/>
                <w:color w:val="000000" w:themeColor="text1"/>
                <w:sz w:val="17"/>
                <w:szCs w:val="17"/>
                <w:lang w:val="es-ES" w:eastAsia="ja-JP"/>
              </w:rPr>
            </w:pPr>
            <w:hyperlink w:anchor="_Home_Use_Program" w:history="1">
              <w:r w:rsidRPr="00655696">
                <w:rPr>
                  <w:rStyle w:val="Hyperlink"/>
                  <w:rFonts w:cstheme="minorHAnsi"/>
                  <w:sz w:val="17"/>
                  <w:szCs w:val="17"/>
                  <w:lang w:val="es-ES"/>
                </w:rPr>
                <w:t>Home Use Program (Programa de Uso en el Hogar)</w:t>
              </w:r>
            </w:hyperlink>
          </w:p>
        </w:tc>
        <w:tc>
          <w:tcPr>
            <w:tcW w:w="164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296F54" w:rsidRPr="00BC431D" w:rsidRDefault="00296F54" w:rsidP="0019337E">
            <w:pPr>
              <w:pStyle w:val="ProductList-Body"/>
              <w:jc w:val="center"/>
              <w:rPr>
                <w:rFonts w:cstheme="minorHAnsi"/>
                <w:color w:val="000000" w:themeColor="text1"/>
                <w:sz w:val="17"/>
                <w:szCs w:val="17"/>
              </w:rPr>
            </w:pPr>
          </w:p>
        </w:tc>
        <w:tc>
          <w:tcPr>
            <w:tcW w:w="1508" w:type="dxa"/>
            <w:vAlign w:val="center"/>
          </w:tcPr>
          <w:p w:rsidR="00296F54" w:rsidRPr="00BC431D" w:rsidRDefault="00296F54" w:rsidP="0019337E">
            <w:pPr>
              <w:pStyle w:val="ProductList-Body"/>
              <w:jc w:val="center"/>
              <w:rPr>
                <w:rFonts w:cstheme="minorHAnsi"/>
                <w:color w:val="000000" w:themeColor="text1"/>
                <w:sz w:val="17"/>
                <w:szCs w:val="17"/>
              </w:rPr>
            </w:pPr>
          </w:p>
        </w:tc>
      </w:tr>
      <w:tr w:rsidR="00296F54" w:rsidRPr="00A84C84" w:rsidTr="0019337E">
        <w:trPr>
          <w:trHeight w:val="255"/>
        </w:trPr>
        <w:tc>
          <w:tcPr>
            <w:tcW w:w="5736" w:type="dxa"/>
          </w:tcPr>
          <w:p w:rsidR="00296F54" w:rsidRPr="005A6CF9" w:rsidRDefault="00296F54" w:rsidP="0019337E">
            <w:pPr>
              <w:pStyle w:val="ProductList-Body"/>
              <w:rPr>
                <w:rFonts w:cstheme="minorHAnsi"/>
                <w:color w:val="000000" w:themeColor="text1"/>
                <w:sz w:val="17"/>
                <w:szCs w:val="17"/>
                <w:lang w:val="es-ES" w:eastAsia="ja-JP"/>
              </w:rPr>
            </w:pPr>
            <w:hyperlink w:anchor="_Programa_de_Licencia" w:history="1">
              <w:r w:rsidRPr="005A6CF9">
                <w:rPr>
                  <w:rStyle w:val="Hyperlink"/>
                  <w:rFonts w:cstheme="minorHAnsi"/>
                  <w:sz w:val="17"/>
                  <w:szCs w:val="17"/>
                  <w:lang w:val="es-ES"/>
                </w:rPr>
                <w:t>Programa de Licencia de Origen Empresarial</w:t>
              </w:r>
            </w:hyperlink>
          </w:p>
        </w:tc>
        <w:tc>
          <w:tcPr>
            <w:tcW w:w="1648" w:type="dxa"/>
            <w:vAlign w:val="center"/>
          </w:tcPr>
          <w:p w:rsidR="00296F54" w:rsidRPr="005A6CF9" w:rsidRDefault="00296F54" w:rsidP="0019337E">
            <w:pPr>
              <w:pStyle w:val="ProductList-Body"/>
              <w:jc w:val="center"/>
              <w:rPr>
                <w:rFonts w:cstheme="minorHAnsi"/>
                <w:color w:val="000000" w:themeColor="text1"/>
                <w:sz w:val="17"/>
                <w:szCs w:val="17"/>
                <w:lang w:val="es-ES"/>
              </w:rPr>
            </w:pPr>
          </w:p>
        </w:tc>
        <w:tc>
          <w:tcPr>
            <w:tcW w:w="1828" w:type="dxa"/>
            <w:vAlign w:val="center"/>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296F54" w:rsidRPr="00BC431D" w:rsidRDefault="00296F54" w:rsidP="0019337E">
            <w:pPr>
              <w:pStyle w:val="ProductList-Body"/>
              <w:jc w:val="center"/>
              <w:rPr>
                <w:rFonts w:cstheme="minorHAnsi"/>
                <w:color w:val="000000" w:themeColor="text1"/>
                <w:sz w:val="17"/>
                <w:szCs w:val="17"/>
              </w:rPr>
            </w:pPr>
          </w:p>
        </w:tc>
      </w:tr>
      <w:tr w:rsidR="00296F54" w:rsidRPr="00A84C84" w:rsidTr="0019337E">
        <w:trPr>
          <w:trHeight w:val="255"/>
        </w:trPr>
        <w:tc>
          <w:tcPr>
            <w:tcW w:w="5736" w:type="dxa"/>
          </w:tcPr>
          <w:p w:rsidR="00296F54" w:rsidRPr="00655696" w:rsidRDefault="00296F54" w:rsidP="0019337E">
            <w:pPr>
              <w:pStyle w:val="ProductList-Body"/>
              <w:rPr>
                <w:rFonts w:cstheme="minorHAnsi"/>
                <w:color w:val="000000" w:themeColor="text1"/>
                <w:sz w:val="17"/>
                <w:szCs w:val="17"/>
                <w:lang w:val="es-ES" w:eastAsia="ja-JP"/>
              </w:rPr>
            </w:pPr>
            <w:hyperlink w:anchor="_Copia_de_Seguridad" w:history="1">
              <w:r w:rsidRPr="00655696">
                <w:rPr>
                  <w:rStyle w:val="Hyperlink"/>
                  <w:rFonts w:cstheme="minorHAnsi"/>
                  <w:sz w:val="17"/>
                  <w:szCs w:val="17"/>
                  <w:lang w:val="es-ES"/>
                </w:rPr>
                <w:t>Copia de Seguridad para Recuperación de Desastres</w:t>
              </w:r>
            </w:hyperlink>
          </w:p>
        </w:tc>
        <w:tc>
          <w:tcPr>
            <w:tcW w:w="1648" w:type="dxa"/>
            <w:vAlign w:val="center"/>
          </w:tcPr>
          <w:p w:rsidR="00296F54" w:rsidRPr="00655696" w:rsidRDefault="00296F54" w:rsidP="0019337E">
            <w:pPr>
              <w:pStyle w:val="ProductList-Body"/>
              <w:jc w:val="center"/>
              <w:rPr>
                <w:rFonts w:cstheme="minorHAnsi"/>
                <w:color w:val="000000" w:themeColor="text1"/>
                <w:sz w:val="17"/>
                <w:szCs w:val="17"/>
                <w:lang w:val="es-ES"/>
              </w:rPr>
            </w:pPr>
          </w:p>
        </w:tc>
        <w:tc>
          <w:tcPr>
            <w:tcW w:w="1828" w:type="dxa"/>
            <w:vAlign w:val="center"/>
          </w:tcPr>
          <w:p w:rsidR="00296F54" w:rsidRPr="00655696" w:rsidRDefault="00296F54" w:rsidP="0019337E">
            <w:pPr>
              <w:pStyle w:val="ProductList-Body"/>
              <w:jc w:val="center"/>
              <w:rPr>
                <w:rFonts w:cstheme="minorHAnsi"/>
                <w:color w:val="000000" w:themeColor="text1"/>
                <w:sz w:val="17"/>
                <w:szCs w:val="17"/>
                <w:lang w:val="es-ES"/>
              </w:rPr>
            </w:pPr>
          </w:p>
        </w:tc>
        <w:tc>
          <w:tcPr>
            <w:tcW w:w="150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296F54" w:rsidRPr="00A84C84" w:rsidTr="0019337E">
        <w:trPr>
          <w:trHeight w:val="246"/>
        </w:trPr>
        <w:tc>
          <w:tcPr>
            <w:tcW w:w="5736" w:type="dxa"/>
          </w:tcPr>
          <w:p w:rsidR="00296F54" w:rsidRPr="005A6CF9" w:rsidRDefault="00296F54" w:rsidP="0019337E">
            <w:pPr>
              <w:pStyle w:val="ProductList-Body"/>
              <w:rPr>
                <w:rFonts w:cstheme="minorHAnsi"/>
                <w:color w:val="000000" w:themeColor="text1"/>
                <w:sz w:val="17"/>
                <w:szCs w:val="17"/>
                <w:lang w:val="es-ES" w:eastAsia="ja-JP"/>
              </w:rPr>
            </w:pPr>
            <w:hyperlink w:anchor="_Movilidad_de_Licencias" w:history="1">
              <w:r w:rsidRPr="005A6CF9">
                <w:rPr>
                  <w:rStyle w:val="Hyperlink"/>
                  <w:rFonts w:cstheme="minorHAnsi"/>
                  <w:sz w:val="17"/>
                  <w:szCs w:val="17"/>
                  <w:lang w:val="es-ES"/>
                </w:rPr>
                <w:t>Movilidad de Licencias a través de SA</w:t>
              </w:r>
            </w:hyperlink>
          </w:p>
        </w:tc>
        <w:tc>
          <w:tcPr>
            <w:tcW w:w="1648" w:type="dxa"/>
            <w:vAlign w:val="center"/>
          </w:tcPr>
          <w:p w:rsidR="00296F54" w:rsidRPr="005A6CF9" w:rsidRDefault="00296F54" w:rsidP="0019337E">
            <w:pPr>
              <w:pStyle w:val="ProductList-Body"/>
              <w:jc w:val="center"/>
              <w:rPr>
                <w:rFonts w:cstheme="minorHAnsi"/>
                <w:color w:val="000000" w:themeColor="text1"/>
                <w:sz w:val="17"/>
                <w:szCs w:val="17"/>
                <w:lang w:val="es-ES"/>
              </w:rPr>
            </w:pPr>
          </w:p>
        </w:tc>
        <w:tc>
          <w:tcPr>
            <w:tcW w:w="1828" w:type="dxa"/>
            <w:vAlign w:val="center"/>
          </w:tcPr>
          <w:p w:rsidR="00296F54" w:rsidRPr="005A6CF9" w:rsidRDefault="00296F54" w:rsidP="0019337E">
            <w:pPr>
              <w:pStyle w:val="ProductList-Body"/>
              <w:jc w:val="center"/>
              <w:rPr>
                <w:rFonts w:ascii="Wingdings" w:hAnsi="Wingdings" w:cs="Wingdings"/>
                <w:color w:val="000000" w:themeColor="text1"/>
                <w:sz w:val="17"/>
                <w:szCs w:val="17"/>
                <w:lang w:val="es-ES"/>
              </w:rPr>
            </w:pPr>
          </w:p>
        </w:tc>
        <w:tc>
          <w:tcPr>
            <w:tcW w:w="1508" w:type="dxa"/>
            <w:vAlign w:val="center"/>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296F54" w:rsidRPr="00A84C84" w:rsidTr="0019337E">
        <w:trPr>
          <w:trHeight w:val="255"/>
        </w:trPr>
        <w:tc>
          <w:tcPr>
            <w:tcW w:w="5736" w:type="dxa"/>
          </w:tcPr>
          <w:p w:rsidR="00296F54" w:rsidRPr="005A6CF9" w:rsidRDefault="00296F54" w:rsidP="0019337E">
            <w:pPr>
              <w:pStyle w:val="ProductList-Body"/>
              <w:rPr>
                <w:rFonts w:cstheme="minorHAnsi"/>
                <w:color w:val="000000" w:themeColor="text1"/>
                <w:sz w:val="17"/>
                <w:szCs w:val="17"/>
                <w:lang w:val="es-ES" w:eastAsia="ja-JP"/>
              </w:rPr>
            </w:pPr>
            <w:hyperlink w:anchor="_Extended_Hotfix_Support" w:history="1">
              <w:r w:rsidRPr="005A6CF9">
                <w:rPr>
                  <w:rStyle w:val="Hyperlink"/>
                  <w:rFonts w:cstheme="minorHAnsi"/>
                  <w:sz w:val="17"/>
                  <w:szCs w:val="17"/>
                  <w:lang w:val="es-ES"/>
                </w:rPr>
                <w:t>Soporte Técnico de Revisiones Ampliado</w:t>
              </w:r>
            </w:hyperlink>
          </w:p>
        </w:tc>
        <w:tc>
          <w:tcPr>
            <w:tcW w:w="1648" w:type="dxa"/>
            <w:vAlign w:val="center"/>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296F54" w:rsidRPr="00BC431D" w:rsidRDefault="00296F54"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296F54" w:rsidRPr="00BC431D" w:rsidRDefault="00296F54"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296F54" w:rsidRPr="00655696" w:rsidRDefault="00296F54" w:rsidP="00296F54">
      <w:pPr>
        <w:pStyle w:val="ProductList-Body"/>
        <w:tabs>
          <w:tab w:val="clear" w:pos="158"/>
          <w:tab w:val="left" w:pos="180"/>
        </w:tabs>
        <w:rPr>
          <w:lang w:val="es-ES"/>
        </w:rPr>
      </w:pPr>
      <w:r>
        <w:rPr>
          <w:rFonts w:ascii="Wingdings" w:eastAsia="Wingdings" w:hAnsi="Wingdings" w:cs="Wingdings"/>
          <w:color w:val="000000" w:themeColor="text1"/>
          <w:szCs w:val="20"/>
        </w:rPr>
        <w:t></w:t>
      </w:r>
      <w:r w:rsidRPr="00655696">
        <w:rPr>
          <w:rFonts w:eastAsiaTheme="minorEastAsia"/>
          <w:i/>
          <w:iCs/>
          <w:color w:val="000000" w:themeColor="text1"/>
          <w:sz w:val="16"/>
          <w:lang w:val="es-ES"/>
        </w:rPr>
        <w:t>significa la Pertenencia a SA, la adquisición de SA para productos autorizados o gastos en SA en productos autorizados dentro de dicho grupo, que otorgaría dicho beneficio.</w:t>
      </w:r>
    </w:p>
    <w:p w:rsidR="00296F54" w:rsidRPr="00655696" w:rsidRDefault="00296F54" w:rsidP="00296F54">
      <w:pPr>
        <w:pStyle w:val="ProductList-Body"/>
        <w:tabs>
          <w:tab w:val="clear" w:pos="158"/>
          <w:tab w:val="left" w:pos="180"/>
        </w:tabs>
        <w:rPr>
          <w:lang w:val="es-ES"/>
        </w:rPr>
      </w:pPr>
      <w:r w:rsidRPr="00655696">
        <w:rPr>
          <w:rFonts w:cstheme="minorHAnsi"/>
          <w:i/>
          <w:color w:val="000000" w:themeColor="text1"/>
          <w:sz w:val="16"/>
          <w:szCs w:val="18"/>
          <w:lang w:val="es-ES"/>
        </w:rPr>
        <w:t>Generalmente, las suscripciones que incluyen componentes de software compuestos de software con versiones incluirán los derechos de la nueva versión para esos componentes.</w:t>
      </w:r>
    </w:p>
    <w:p w:rsidR="00296F54" w:rsidRPr="00655696" w:rsidRDefault="00296F54" w:rsidP="00296F54">
      <w:pPr>
        <w:pStyle w:val="ProductList-Body"/>
        <w:rPr>
          <w:lang w:val="es-ES"/>
        </w:rPr>
      </w:pPr>
      <w:r w:rsidRPr="00655696">
        <w:rPr>
          <w:rFonts w:cstheme="minorHAnsi"/>
          <w:color w:val="000000" w:themeColor="text1"/>
          <w:sz w:val="16"/>
          <w:szCs w:val="18"/>
          <w:vertAlign w:val="superscript"/>
          <w:lang w:val="es-ES"/>
        </w:rPr>
        <w:t>1</w:t>
      </w:r>
      <w:r w:rsidRPr="00655696">
        <w:rPr>
          <w:rFonts w:cstheme="minorHAnsi"/>
          <w:i/>
          <w:color w:val="000000" w:themeColor="text1"/>
          <w:sz w:val="16"/>
          <w:szCs w:val="18"/>
          <w:lang w:val="es-ES"/>
        </w:rPr>
        <w:t>No es un beneficio de SA para los Productos de Windows Embedded.</w:t>
      </w:r>
    </w:p>
    <w:p w:rsidR="00296F54" w:rsidRPr="00655696" w:rsidRDefault="00296F54" w:rsidP="00296F54">
      <w:pPr>
        <w:pStyle w:val="Hdg1noborder"/>
        <w:spacing w:before="60" w:after="120" w:line="240" w:lineRule="auto"/>
        <w:rPr>
          <w:rFonts w:eastAsiaTheme="majorEastAsia"/>
          <w:lang w:val="es-ES"/>
        </w:rPr>
      </w:pPr>
      <w:bookmarkStart w:id="29" w:name="_Toc403380302"/>
      <w:bookmarkStart w:id="30" w:name="_Toc403985020"/>
      <w:bookmarkStart w:id="31" w:name="_Toc428279766"/>
      <w:r w:rsidRPr="00655696">
        <w:rPr>
          <w:rFonts w:asciiTheme="majorHAnsi" w:eastAsiaTheme="majorEastAsia" w:hAnsiTheme="majorHAnsi" w:cstheme="majorBidi"/>
          <w:bCs/>
          <w:color w:val="FFC000" w:themeColor="accent4"/>
          <w:sz w:val="28"/>
          <w:szCs w:val="26"/>
          <w:lang w:val="es-ES"/>
        </w:rPr>
        <w:t>Beneficios según los puntos</w:t>
      </w:r>
      <w:bookmarkEnd w:id="29"/>
      <w:bookmarkEnd w:id="30"/>
      <w:bookmarkEnd w:id="31"/>
    </w:p>
    <w:p w:rsidR="00296F54" w:rsidRPr="00655696" w:rsidRDefault="00296F54" w:rsidP="00296F54">
      <w:pPr>
        <w:pStyle w:val="Thirdheading"/>
        <w:rPr>
          <w:lang w:val="es-ES"/>
        </w:rPr>
      </w:pPr>
      <w:r w:rsidRPr="00655696">
        <w:rPr>
          <w:b/>
          <w:lang w:val="es-ES"/>
        </w:rPr>
        <w:t xml:space="preserve">Cálculo de los puntos de beneficios de Software Assurance para el MPSA </w:t>
      </w:r>
    </w:p>
    <w:p w:rsidR="00296F54" w:rsidRPr="00655696" w:rsidRDefault="00296F54" w:rsidP="00296F54">
      <w:pPr>
        <w:pStyle w:val="BodyText"/>
        <w:rPr>
          <w:lang w:val="es-ES"/>
        </w:rPr>
      </w:pPr>
      <w:r w:rsidRPr="00655696">
        <w:rPr>
          <w:lang w:val="es-ES"/>
        </w:rPr>
        <w:t>Con el MPSA, los derechos se calculan de acuerdo con un sistema basado en puntos para los beneficios siguientes:</w:t>
      </w:r>
    </w:p>
    <w:p w:rsidR="00296F54" w:rsidRPr="00483B32" w:rsidRDefault="00296F54" w:rsidP="00296F54">
      <w:pPr>
        <w:pStyle w:val="BodyText"/>
        <w:numPr>
          <w:ilvl w:val="0"/>
          <w:numId w:val="16"/>
        </w:numPr>
        <w:spacing w:after="0"/>
      </w:pPr>
      <w:r>
        <w:t>Planning Services</w:t>
      </w:r>
    </w:p>
    <w:p w:rsidR="00296F54" w:rsidRPr="00483B32" w:rsidRDefault="00296F54" w:rsidP="00296F54">
      <w:pPr>
        <w:pStyle w:val="BodyText"/>
        <w:numPr>
          <w:ilvl w:val="0"/>
          <w:numId w:val="16"/>
        </w:numPr>
        <w:spacing w:after="0"/>
      </w:pPr>
      <w:r>
        <w:t>Cupones de Formación</w:t>
      </w:r>
    </w:p>
    <w:p w:rsidR="00296F54" w:rsidRPr="00655696" w:rsidRDefault="00296F54" w:rsidP="00296F54">
      <w:pPr>
        <w:pStyle w:val="BodyText"/>
        <w:numPr>
          <w:ilvl w:val="0"/>
          <w:numId w:val="16"/>
        </w:numPr>
        <w:rPr>
          <w:lang w:val="es-ES"/>
        </w:rPr>
      </w:pPr>
      <w:r w:rsidRPr="00655696">
        <w:rPr>
          <w:lang w:val="es-ES"/>
        </w:rPr>
        <w:t>Soporte Técnico para la Resolución de Problemas 24x7 (Teléfono)</w:t>
      </w:r>
    </w:p>
    <w:p w:rsidR="00296F54" w:rsidRPr="00655696" w:rsidRDefault="00296F54" w:rsidP="00296F54">
      <w:pPr>
        <w:rPr>
          <w:lang w:val="es-ES"/>
        </w:rPr>
      </w:pPr>
      <w:r w:rsidRPr="00655696">
        <w:rPr>
          <w:color w:val="000000" w:themeColor="text1"/>
          <w:szCs w:val="18"/>
          <w:lang w:val="es-ES"/>
        </w:rPr>
        <w:t xml:space="preserve">Los puntos de los beneficios de Software Assurance se calculan de acuerdo con el número de licencias cualificadas. grupos aplicables y puntos asociados con productos cualificados como se indica en la tabla siguiente. Consulte la tabla “Beneficios de SA disponibles a través del MPSA por Grupo” anterior para obtener información sobre qué grupos ganarán puntos para cada beneficio de SA. Los puntos no se pueden combinar entre las Cuentas de Compra </w:t>
      </w:r>
      <w:r w:rsidRPr="00655696">
        <w:rPr>
          <w:rFonts w:cs="Tahoma"/>
          <w:color w:val="000000" w:themeColor="text1"/>
          <w:szCs w:val="18"/>
          <w:lang w:val="es-ES"/>
        </w:rPr>
        <w:t xml:space="preserve">para ser susceptible de obtener puntos adicionales. La reducción de los puntos como resultado de devoluciones y otros ajustes de facturación, en la medida que así se permita, podrá causar la pérdida de derechos durante los periodos de derechos presentes o futuros.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1"/>
        <w:gridCol w:w="764"/>
      </w:tblGrid>
      <w:tr w:rsidR="00296F54" w:rsidRPr="005B13F2" w:rsidTr="0019337E">
        <w:trPr>
          <w:trHeight w:val="208"/>
        </w:trPr>
        <w:tc>
          <w:tcPr>
            <w:tcW w:w="9951" w:type="dxa"/>
            <w:shd w:val="clear" w:color="auto" w:fill="BF8F00" w:themeFill="accent4" w:themeFillShade="BF"/>
            <w:tcMar>
              <w:top w:w="15" w:type="dxa"/>
              <w:left w:w="108" w:type="dxa"/>
              <w:bottom w:w="0" w:type="dxa"/>
              <w:right w:w="108" w:type="dxa"/>
            </w:tcMar>
          </w:tcPr>
          <w:p w:rsidR="00296F54" w:rsidRPr="00CC21B3" w:rsidRDefault="00296F54" w:rsidP="0019337E">
            <w:pPr>
              <w:pStyle w:val="ProductList-Body"/>
              <w:spacing w:before="20" w:after="20"/>
              <w:rPr>
                <w:rFonts w:cstheme="minorHAnsi"/>
                <w:color w:val="FFFFFF" w:themeColor="background1"/>
                <w:szCs w:val="18"/>
              </w:rPr>
            </w:pPr>
            <w:r>
              <w:rPr>
                <w:rFonts w:cstheme="minorHAnsi"/>
                <w:color w:val="FFFFFF" w:themeColor="background1"/>
                <w:szCs w:val="18"/>
              </w:rPr>
              <w:t>Productos</w:t>
            </w:r>
          </w:p>
        </w:tc>
        <w:tc>
          <w:tcPr>
            <w:tcW w:w="764" w:type="dxa"/>
            <w:shd w:val="clear" w:color="auto" w:fill="BF8F00" w:themeFill="accent4" w:themeFillShade="BF"/>
            <w:tcMar>
              <w:top w:w="15" w:type="dxa"/>
              <w:left w:w="108" w:type="dxa"/>
              <w:bottom w:w="0" w:type="dxa"/>
              <w:right w:w="108" w:type="dxa"/>
            </w:tcMar>
          </w:tcPr>
          <w:p w:rsidR="00296F54" w:rsidRPr="00CC21B3" w:rsidRDefault="00296F54"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Puntos</w:t>
            </w:r>
          </w:p>
        </w:tc>
      </w:tr>
      <w:tr w:rsidR="00296F54" w:rsidRPr="00CC21B3" w:rsidTr="0019337E">
        <w:trPr>
          <w:trHeight w:val="127"/>
        </w:trPr>
        <w:tc>
          <w:tcPr>
            <w:tcW w:w="9951" w:type="dxa"/>
            <w:shd w:val="clear" w:color="auto" w:fill="FFFFFF"/>
            <w:tcMar>
              <w:top w:w="15" w:type="dxa"/>
              <w:left w:w="108" w:type="dxa"/>
              <w:bottom w:w="0" w:type="dxa"/>
              <w:right w:w="108" w:type="dxa"/>
            </w:tcMar>
          </w:tcPr>
          <w:p w:rsidR="00296F54" w:rsidRPr="00655696" w:rsidRDefault="00296F54" w:rsidP="0019337E">
            <w:pPr>
              <w:pStyle w:val="ProductList-Body"/>
              <w:rPr>
                <w:color w:val="000000" w:themeColor="text1"/>
                <w:sz w:val="16"/>
                <w:szCs w:val="18"/>
                <w:lang w:val="es-ES"/>
              </w:rPr>
            </w:pPr>
            <w:r w:rsidRPr="00655696">
              <w:rPr>
                <w:color w:val="000000" w:themeColor="text1"/>
                <w:sz w:val="16"/>
                <w:szCs w:val="18"/>
                <w:lang w:val="es-ES"/>
              </w:rPr>
              <w:t>Productos del Grupo de aplicaciones de Office (incluidos los conjuntos de aplicaciones de Office, Project Standard y Professional, Visio Standard y Professional), Productos del Grupo de sistemas, Licencia CAL de Microsoft Dynamics CRM</w:t>
            </w:r>
            <w:r w:rsidRPr="00655696">
              <w:rPr>
                <w:color w:val="000000" w:themeColor="text1"/>
                <w:sz w:val="16"/>
                <w:szCs w:val="18"/>
                <w:vertAlign w:val="superscript"/>
                <w:lang w:val="es-ES"/>
              </w:rPr>
              <w:t>1</w:t>
            </w:r>
          </w:p>
        </w:tc>
        <w:tc>
          <w:tcPr>
            <w:tcW w:w="764" w:type="dxa"/>
            <w:shd w:val="clear" w:color="auto" w:fill="FFFFFF"/>
            <w:tcMar>
              <w:top w:w="15" w:type="dxa"/>
              <w:left w:w="108" w:type="dxa"/>
              <w:bottom w:w="0" w:type="dxa"/>
              <w:right w:w="108" w:type="dxa"/>
            </w:tcMar>
          </w:tcPr>
          <w:p w:rsidR="00296F54" w:rsidRPr="00BC431D" w:rsidRDefault="00296F54" w:rsidP="0019337E">
            <w:pPr>
              <w:pStyle w:val="ProductList-Body"/>
              <w:jc w:val="center"/>
              <w:rPr>
                <w:color w:val="000000" w:themeColor="text1"/>
                <w:sz w:val="16"/>
                <w:szCs w:val="18"/>
              </w:rPr>
            </w:pPr>
            <w:r>
              <w:rPr>
                <w:color w:val="000000" w:themeColor="text1"/>
                <w:sz w:val="16"/>
                <w:szCs w:val="18"/>
              </w:rPr>
              <w:t>1</w:t>
            </w:r>
          </w:p>
        </w:tc>
      </w:tr>
      <w:tr w:rsidR="00296F54" w:rsidRPr="00CC21B3" w:rsidTr="0019337E">
        <w:trPr>
          <w:trHeight w:val="45"/>
        </w:trPr>
        <w:tc>
          <w:tcPr>
            <w:tcW w:w="9951" w:type="dxa"/>
            <w:shd w:val="clear" w:color="auto" w:fill="FFFFFF"/>
            <w:tcMar>
              <w:top w:w="15" w:type="dxa"/>
              <w:left w:w="108" w:type="dxa"/>
              <w:bottom w:w="0" w:type="dxa"/>
              <w:right w:w="108" w:type="dxa"/>
            </w:tcMar>
          </w:tcPr>
          <w:p w:rsidR="00296F54" w:rsidRPr="00BC431D" w:rsidRDefault="00296F54" w:rsidP="0019337E">
            <w:pPr>
              <w:pStyle w:val="ProductList-Body"/>
              <w:rPr>
                <w:color w:val="000000" w:themeColor="text1"/>
                <w:sz w:val="16"/>
                <w:szCs w:val="18"/>
              </w:rPr>
            </w:pPr>
            <w:r>
              <w:rPr>
                <w:rFonts w:eastAsia="Calibri"/>
                <w:color w:val="000000"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000000" w:themeColor="text1"/>
                <w:sz w:val="16"/>
                <w:szCs w:val="18"/>
              </w:rPr>
              <w:t>System Center 2012 Standard</w:t>
            </w:r>
            <w:r>
              <w:fldChar w:fldCharType="begin"/>
            </w:r>
            <w:r>
              <w:instrText>XE "System Center 2012 Standard"</w:instrText>
            </w:r>
            <w:r>
              <w:fldChar w:fldCharType="end"/>
            </w:r>
            <w:r>
              <w:rPr>
                <w:rFonts w:eastAsia="Calibri"/>
                <w:color w:val="000000" w:themeColor="text1"/>
                <w:sz w:val="16"/>
                <w:szCs w:val="18"/>
              </w:rPr>
              <w:t xml:space="preserve"> Licencia de administración del servidor (2 procesadores), Visual Studio Professional con MSDN, y Visual Studio Test Professional con MSDN</w:t>
            </w:r>
          </w:p>
        </w:tc>
        <w:tc>
          <w:tcPr>
            <w:tcW w:w="764" w:type="dxa"/>
            <w:shd w:val="clear" w:color="auto" w:fill="FFFFFF"/>
            <w:tcMar>
              <w:top w:w="15" w:type="dxa"/>
              <w:left w:w="108" w:type="dxa"/>
              <w:bottom w:w="0" w:type="dxa"/>
              <w:right w:w="108" w:type="dxa"/>
            </w:tcMar>
          </w:tcPr>
          <w:p w:rsidR="00296F54" w:rsidRPr="00BC431D" w:rsidRDefault="00296F54" w:rsidP="0019337E">
            <w:pPr>
              <w:pStyle w:val="ProductList-Body"/>
              <w:jc w:val="center"/>
              <w:rPr>
                <w:color w:val="000000" w:themeColor="text1"/>
                <w:sz w:val="16"/>
                <w:szCs w:val="18"/>
              </w:rPr>
            </w:pPr>
            <w:r>
              <w:rPr>
                <w:color w:val="000000" w:themeColor="text1"/>
                <w:sz w:val="16"/>
                <w:szCs w:val="18"/>
              </w:rPr>
              <w:t>25</w:t>
            </w:r>
          </w:p>
        </w:tc>
      </w:tr>
      <w:tr w:rsidR="00296F54" w:rsidRPr="00CC21B3" w:rsidTr="0019337E">
        <w:trPr>
          <w:trHeight w:val="45"/>
        </w:trPr>
        <w:tc>
          <w:tcPr>
            <w:tcW w:w="9951" w:type="dxa"/>
            <w:shd w:val="clear" w:color="auto" w:fill="FFFFFF"/>
            <w:tcMar>
              <w:top w:w="15" w:type="dxa"/>
              <w:left w:w="108" w:type="dxa"/>
              <w:bottom w:w="0" w:type="dxa"/>
              <w:right w:w="108" w:type="dxa"/>
            </w:tcMar>
          </w:tcPr>
          <w:p w:rsidR="00296F54" w:rsidRPr="00BC431D" w:rsidRDefault="00296F54"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y Visual Studio Premium con MSDN</w:t>
            </w:r>
          </w:p>
        </w:tc>
        <w:tc>
          <w:tcPr>
            <w:tcW w:w="764" w:type="dxa"/>
            <w:shd w:val="clear" w:color="auto" w:fill="FFFFFF"/>
            <w:tcMar>
              <w:top w:w="15" w:type="dxa"/>
              <w:left w:w="108" w:type="dxa"/>
              <w:bottom w:w="0" w:type="dxa"/>
              <w:right w:w="108" w:type="dxa"/>
            </w:tcMar>
          </w:tcPr>
          <w:p w:rsidR="00296F54" w:rsidRPr="00BC431D" w:rsidRDefault="00296F54" w:rsidP="0019337E">
            <w:pPr>
              <w:pStyle w:val="ProductList-Body"/>
              <w:jc w:val="center"/>
              <w:rPr>
                <w:color w:val="000000" w:themeColor="text1"/>
                <w:sz w:val="16"/>
                <w:szCs w:val="18"/>
              </w:rPr>
            </w:pPr>
            <w:r>
              <w:rPr>
                <w:color w:val="000000" w:themeColor="text1"/>
                <w:sz w:val="16"/>
                <w:szCs w:val="18"/>
              </w:rPr>
              <w:t>50</w:t>
            </w:r>
          </w:p>
        </w:tc>
      </w:tr>
      <w:tr w:rsidR="00296F54" w:rsidRPr="00CC21B3" w:rsidTr="0019337E">
        <w:trPr>
          <w:trHeight w:val="45"/>
        </w:trPr>
        <w:tc>
          <w:tcPr>
            <w:tcW w:w="9951" w:type="dxa"/>
            <w:shd w:val="clear" w:color="auto" w:fill="FFFFFF"/>
            <w:tcMar>
              <w:top w:w="15" w:type="dxa"/>
              <w:left w:w="108" w:type="dxa"/>
              <w:bottom w:w="0" w:type="dxa"/>
              <w:right w:w="108" w:type="dxa"/>
            </w:tcMar>
          </w:tcPr>
          <w:p w:rsidR="00296F54" w:rsidRPr="005A6CF9" w:rsidRDefault="00296F54" w:rsidP="0019337E">
            <w:pPr>
              <w:pStyle w:val="ProductList-Body"/>
              <w:rPr>
                <w:color w:val="000000" w:themeColor="text1"/>
                <w:sz w:val="16"/>
                <w:szCs w:val="18"/>
                <w:lang w:val="es-ES"/>
              </w:rPr>
            </w:pPr>
            <w:r w:rsidRPr="005A6CF9">
              <w:rPr>
                <w:rFonts w:eastAsia="Calibri"/>
                <w:color w:val="000000" w:themeColor="text1"/>
                <w:sz w:val="16"/>
                <w:szCs w:val="18"/>
                <w:lang w:val="es-ES"/>
              </w:rPr>
              <w:t>SQL Server edición Data Center, Almacenamiento de datos paralelos de SQL, Windows Server edición Data Center, Licencia de administración de servidor de System Center 2012 Datacenter</w:t>
            </w:r>
            <w:r>
              <w:fldChar w:fldCharType="begin"/>
            </w:r>
            <w:r w:rsidRPr="005A6CF9">
              <w:rPr>
                <w:lang w:val="es-ES"/>
              </w:rPr>
              <w:instrText>XE "System Center 2012 Datacenter"</w:instrText>
            </w:r>
            <w:r>
              <w:fldChar w:fldCharType="end"/>
            </w:r>
            <w:r w:rsidRPr="005A6CF9">
              <w:rPr>
                <w:rFonts w:eastAsia="Calibri"/>
                <w:color w:val="000000" w:themeColor="text1"/>
                <w:sz w:val="16"/>
                <w:szCs w:val="18"/>
                <w:lang w:val="es-ES"/>
              </w:rPr>
              <w:t xml:space="preserve"> (2 procesadores) y Visual Studio Ultimate con MSDN</w:t>
            </w:r>
          </w:p>
        </w:tc>
        <w:tc>
          <w:tcPr>
            <w:tcW w:w="764" w:type="dxa"/>
            <w:shd w:val="clear" w:color="auto" w:fill="FFFFFF"/>
            <w:tcMar>
              <w:top w:w="15" w:type="dxa"/>
              <w:left w:w="108" w:type="dxa"/>
              <w:bottom w:w="0" w:type="dxa"/>
              <w:right w:w="108" w:type="dxa"/>
            </w:tcMar>
          </w:tcPr>
          <w:p w:rsidR="00296F54" w:rsidRPr="00BC431D" w:rsidRDefault="00296F54" w:rsidP="0019337E">
            <w:pPr>
              <w:pStyle w:val="ProductList-Body"/>
              <w:jc w:val="center"/>
              <w:rPr>
                <w:color w:val="000000" w:themeColor="text1"/>
                <w:sz w:val="16"/>
                <w:szCs w:val="18"/>
              </w:rPr>
            </w:pPr>
            <w:r>
              <w:rPr>
                <w:color w:val="000000" w:themeColor="text1"/>
                <w:sz w:val="16"/>
                <w:szCs w:val="18"/>
              </w:rPr>
              <w:t>75</w:t>
            </w:r>
          </w:p>
        </w:tc>
      </w:tr>
    </w:tbl>
    <w:p w:rsidR="00296F54" w:rsidRPr="005A6CF9" w:rsidRDefault="00296F54" w:rsidP="00296F54">
      <w:pPr>
        <w:pStyle w:val="ProductList-Body"/>
        <w:tabs>
          <w:tab w:val="clear" w:pos="158"/>
          <w:tab w:val="left" w:pos="180"/>
        </w:tabs>
        <w:rPr>
          <w:lang w:val="es-ES"/>
        </w:rPr>
      </w:pPr>
      <w:r w:rsidRPr="005A6CF9">
        <w:rPr>
          <w:color w:val="000000" w:themeColor="text1"/>
          <w:sz w:val="16"/>
          <w:szCs w:val="18"/>
          <w:vertAlign w:val="superscript"/>
          <w:lang w:val="es-ES"/>
        </w:rPr>
        <w:t>1</w:t>
      </w:r>
      <w:r w:rsidRPr="005A6CF9">
        <w:rPr>
          <w:i/>
          <w:color w:val="000000" w:themeColor="text1"/>
          <w:sz w:val="16"/>
          <w:szCs w:val="18"/>
          <w:lang w:val="es-ES"/>
        </w:rPr>
        <w:t xml:space="preserve"> La licencia CAL de Microsoft Dynamics CRM Professional cuenta como dos (2) puntos</w:t>
      </w:r>
    </w:p>
    <w:p w:rsidR="00296F54" w:rsidRPr="00655696" w:rsidRDefault="00296F54" w:rsidP="00296F54">
      <w:pPr>
        <w:pStyle w:val="ProductList-Body"/>
        <w:tabs>
          <w:tab w:val="clear" w:pos="158"/>
          <w:tab w:val="left" w:pos="180"/>
        </w:tabs>
        <w:rPr>
          <w:lang w:val="es-ES"/>
        </w:rPr>
      </w:pPr>
      <w:r w:rsidRPr="00655696">
        <w:rPr>
          <w:i/>
          <w:color w:val="000000" w:themeColor="text1"/>
          <w:sz w:val="16"/>
          <w:szCs w:val="18"/>
          <w:lang w:val="es-ES"/>
        </w:rPr>
        <w:t>*La cobertura de Core CAL Suite y SQL CAL SA se considera como un (1) punto, la cobertura de SA de Enterprise CAL Suite se considera como dos (2) puntos</w:t>
      </w:r>
    </w:p>
    <w:p w:rsidR="00296F54" w:rsidRPr="00655696" w:rsidRDefault="00296F54" w:rsidP="00296F54">
      <w:pPr>
        <w:pStyle w:val="Heading2"/>
        <w:rPr>
          <w:lang w:val="es-ES"/>
        </w:rPr>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79767"/>
      <w:bookmarkEnd w:id="32"/>
      <w:bookmarkEnd w:id="33"/>
      <w:bookmarkEnd w:id="34"/>
      <w:bookmarkEnd w:id="35"/>
      <w:r w:rsidRPr="00655696">
        <w:rPr>
          <w:lang w:val="es-ES"/>
        </w:rPr>
        <w:t>Planning Services</w:t>
      </w:r>
      <w:bookmarkEnd w:id="36"/>
      <w:bookmarkEnd w:id="37"/>
      <w:bookmarkEnd w:id="38"/>
    </w:p>
    <w:p w:rsidR="00296F54" w:rsidRPr="00655696" w:rsidRDefault="00296F54" w:rsidP="00296F54">
      <w:pPr>
        <w:pStyle w:val="ProductList-Body"/>
        <w:rPr>
          <w:lang w:val="es-ES"/>
        </w:rPr>
      </w:pPr>
      <w:r w:rsidRPr="00655696">
        <w:rPr>
          <w:color w:val="000000" w:themeColor="text1"/>
          <w:szCs w:val="18"/>
          <w:lang w:val="es-ES"/>
        </w:rPr>
        <w:t xml:space="preserve">Si se le seleccionó para Afiliación a Software Assurance (SAM) en la Aplicación o los Grupos de servidores, tienen derecho a este beneficio. El beneficio Servicios de Planeación le ofrece ofertas de servicios predeterminados tal como se describe en </w:t>
      </w:r>
      <w:hyperlink r:id="rId19" w:history="1">
        <w:r w:rsidRPr="00655696">
          <w:rPr>
            <w:rStyle w:val="Hyperlink"/>
            <w:lang w:val="es-ES"/>
          </w:rPr>
          <w:t>http://www.microsoft.com/licensing/software-assurance/planning-services-overview.aspx</w:t>
        </w:r>
      </w:hyperlink>
      <w:r w:rsidRPr="00655696">
        <w:rPr>
          <w:color w:val="000000" w:themeColor="text1"/>
          <w:szCs w:val="18"/>
          <w:lang w:val="es-ES"/>
        </w:rPr>
        <w:t xml:space="preserve">. La lista de servicios disponibles y niveles de servicio asociados puede cambiar en cualquier momento. </w:t>
      </w:r>
      <w:r w:rsidRPr="00655696">
        <w:rPr>
          <w:rFonts w:ascii="Segoe UI" w:hAnsi="Segoe UI"/>
          <w:color w:val="000000" w:themeColor="text1"/>
          <w:szCs w:val="18"/>
          <w:lang w:val="es-ES"/>
        </w:rPr>
        <w:t xml:space="preserve">Los Partners de Planning Services (que encontrará aquí </w:t>
      </w:r>
      <w:hyperlink r:id="rId20" w:history="1">
        <w:r w:rsidRPr="00655696">
          <w:rPr>
            <w:rStyle w:val="Hyperlink"/>
            <w:rFonts w:ascii="Segoe UI" w:hAnsi="Segoe UI"/>
            <w:szCs w:val="18"/>
            <w:lang w:val="es-ES"/>
          </w:rPr>
          <w:t>http://directory.partners.extranet.microsoft.com/psbproviders</w:t>
        </w:r>
      </w:hyperlink>
      <w:r w:rsidRPr="00655696">
        <w:rPr>
          <w:rFonts w:ascii="Segoe UI" w:hAnsi="Segoe UI"/>
          <w:color w:val="000000" w:themeColor="text1"/>
          <w:szCs w:val="18"/>
          <w:lang w:val="es-ES"/>
        </w:rPr>
        <w:t xml:space="preserve">) </w:t>
      </w:r>
      <w:r w:rsidRPr="00655696">
        <w:rPr>
          <w:color w:val="000000" w:themeColor="text1"/>
          <w:szCs w:val="18"/>
          <w:lang w:val="es-ES"/>
        </w:rPr>
        <w:t xml:space="preserve">le ofrecerá una descripción del Ámbito de Trabajo disponible para cada una de las ofertas de servicios anteriores si así lo solicita. Usted podrá elegir una o más de las ofertas disponibles y podrá seleccionar desde niveles de servicio disponibles hasta el número de días de Planning Service que tienen disponibles. </w:t>
      </w:r>
      <w:r>
        <w:fldChar w:fldCharType="begin"/>
      </w:r>
      <w:r w:rsidRPr="00655696">
        <w:rPr>
          <w:lang w:val="es-ES"/>
        </w:rPr>
        <w:instrText>XE "Microsoft Dynamics CRM Server 2013"</w:instrText>
      </w:r>
      <w:r>
        <w:fldChar w:fldCharType="end"/>
      </w:r>
      <w:r>
        <w:fldChar w:fldCharType="begin"/>
      </w:r>
      <w:r w:rsidRPr="00655696">
        <w:rPr>
          <w:lang w:val="es-ES"/>
        </w:rPr>
        <w:instrText>XE "System Center 2012 Standard"</w:instrText>
      </w:r>
      <w:r>
        <w:fldChar w:fldCharType="end"/>
      </w:r>
      <w:r>
        <w:fldChar w:fldCharType="begin"/>
      </w:r>
      <w:r w:rsidRPr="00655696">
        <w:rPr>
          <w:lang w:val="es-ES"/>
        </w:rPr>
        <w:instrText>XE "System Center 2012 Datacenter"</w:instrText>
      </w:r>
      <w:r>
        <w:fldChar w:fldCharType="end"/>
      </w:r>
      <w:r>
        <w:fldChar w:fldCharType="begin"/>
      </w:r>
      <w:r w:rsidRPr="00655696">
        <w:rPr>
          <w:lang w:val="es-ES"/>
        </w:rPr>
        <w:instrText>XE "Core CAL Suite"</w:instrText>
      </w:r>
      <w:r>
        <w:fldChar w:fldCharType="end"/>
      </w:r>
      <w:r>
        <w:fldChar w:fldCharType="begin"/>
      </w:r>
      <w:r w:rsidRPr="00655696">
        <w:rPr>
          <w:lang w:val="es-ES"/>
        </w:rPr>
        <w:instrText>XE "Enterprise CAL Suite"</w:instrText>
      </w:r>
      <w:r>
        <w:fldChar w:fldCharType="end"/>
      </w:r>
      <w:r>
        <w:fldChar w:fldCharType="begin"/>
      </w:r>
      <w:r w:rsidRPr="00655696">
        <w:rPr>
          <w:lang w:val="es-ES"/>
        </w:rPr>
        <w:instrText>XE "Enterprise CAL Suite"</w:instrText>
      </w:r>
      <w:r>
        <w:fldChar w:fldCharType="end"/>
      </w:r>
      <w:r>
        <w:fldChar w:fldCharType="begin"/>
      </w:r>
      <w:r w:rsidRPr="00655696">
        <w:rPr>
          <w:lang w:val="es-ES"/>
        </w:rPr>
        <w:instrText>XE "Enterprise CAL Suite"</w:instrText>
      </w:r>
      <w:r>
        <w:fldChar w:fldCharType="end"/>
      </w:r>
    </w:p>
    <w:p w:rsidR="00296F54" w:rsidRPr="00655696" w:rsidRDefault="00296F54" w:rsidP="00296F54">
      <w:pPr>
        <w:rPr>
          <w:lang w:val="es-ES"/>
        </w:rPr>
      </w:pPr>
      <w:r w:rsidRPr="00655696">
        <w:rPr>
          <w:color w:val="000000" w:themeColor="text1"/>
          <w:szCs w:val="18"/>
          <w:lang w:val="es-ES"/>
        </w:rPr>
        <w:t xml:space="preserve">Cuando sea susceptible recibirá un número de días de Planning Services según el número de licencias de Aplicaciones de Office aplicables, las licencias de Servidor aplicables y el número de conjuntos Core CAL y conjuntos SQL CAL y Enterprise CAL para los que se adquiere SA. El número de días que recibe por las ofertas de Planning Services disponibles se combinan en un grupo de días de Planning Services para cada Cuenta de Compra. </w:t>
      </w:r>
    </w:p>
    <w:p w:rsidR="00296F54" w:rsidRPr="00655696" w:rsidRDefault="00296F54" w:rsidP="00296F54">
      <w:pPr>
        <w:pStyle w:val="ProductList-Body"/>
        <w:rPr>
          <w:lang w:val="es-ES"/>
        </w:rPr>
      </w:pPr>
    </w:p>
    <w:p w:rsidR="00296F54" w:rsidRPr="00655696" w:rsidRDefault="00296F54" w:rsidP="00296F54">
      <w:pPr>
        <w:pStyle w:val="ProductList-Body"/>
        <w:rPr>
          <w:lang w:val="es-ES"/>
        </w:rPr>
      </w:pPr>
      <w:r w:rsidRPr="00655696">
        <w:rPr>
          <w:rFonts w:ascii="Segoe UI" w:hAnsi="Segoe UI"/>
          <w:color w:val="000000" w:themeColor="text1"/>
          <w:szCs w:val="18"/>
          <w:lang w:val="es-ES"/>
        </w:rPr>
        <w:t>El número de días de Planning Services al que tiene derecho se basa en el número total de puntos ganados que se calcula a través de la Cuenta de Compra, tal como se muestra a continuación (consulte el apartado “Cálculo de los puntos de beneficios de Software Assurance para el MPSA” de este documento para obtener información sobre cómo se calculan los puntos de beneficios de SA):</w:t>
      </w:r>
    </w:p>
    <w:p w:rsidR="00296F54" w:rsidRPr="00655696" w:rsidRDefault="00296F54" w:rsidP="00296F54">
      <w:pPr>
        <w:pStyle w:val="ProductList-Body"/>
        <w:rPr>
          <w:lang w:val="es-ES"/>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296F54"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296F54" w:rsidRPr="00655696" w:rsidRDefault="00296F54" w:rsidP="0019337E">
            <w:pPr>
              <w:pStyle w:val="ProductList-Body"/>
              <w:spacing w:before="20" w:after="20"/>
              <w:rPr>
                <w:color w:val="FFFFFF" w:themeColor="background1"/>
                <w:szCs w:val="18"/>
                <w:lang w:val="es-ES"/>
              </w:rPr>
            </w:pPr>
            <w:r w:rsidRPr="00655696">
              <w:rPr>
                <w:color w:val="FFFFFF" w:themeColor="background1"/>
                <w:szCs w:val="18"/>
                <w:lang w:val="es-ES"/>
              </w:rPr>
              <w:t>Puntos de Servidores o Aplicaciones de Office con SAM</w:t>
            </w:r>
          </w:p>
        </w:tc>
        <w:tc>
          <w:tcPr>
            <w:tcW w:w="2210" w:type="dxa"/>
            <w:shd w:val="clear" w:color="auto" w:fill="BF8F00" w:themeFill="accent4" w:themeFillShade="BF"/>
            <w:tcMar>
              <w:top w:w="15" w:type="dxa"/>
              <w:left w:w="108" w:type="dxa"/>
              <w:bottom w:w="0" w:type="dxa"/>
              <w:right w:w="108" w:type="dxa"/>
            </w:tcMar>
          </w:tcPr>
          <w:p w:rsidR="00296F54" w:rsidRPr="005B13F2" w:rsidRDefault="00296F54" w:rsidP="0019337E">
            <w:pPr>
              <w:pStyle w:val="ProductList-Body"/>
              <w:spacing w:before="20" w:after="20"/>
              <w:rPr>
                <w:color w:val="FFFFFF" w:themeColor="background1"/>
                <w:szCs w:val="18"/>
              </w:rPr>
            </w:pPr>
            <w:r>
              <w:rPr>
                <w:color w:val="FFFFFF" w:themeColor="background1"/>
                <w:szCs w:val="18"/>
              </w:rPr>
              <w:t>Días de Planning Services</w:t>
            </w:r>
          </w:p>
        </w:tc>
      </w:tr>
      <w:tr w:rsidR="00296F54" w:rsidRPr="005B13F2" w:rsidTr="0019337E">
        <w:trPr>
          <w:trHeight w:val="127"/>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1</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3</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lastRenderedPageBreak/>
              <w:t>2.000 – 3.999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5</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10</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15</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20</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30</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40</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50</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D814DA" w:rsidRDefault="00296F54"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296F54" w:rsidRPr="00D814DA" w:rsidRDefault="00296F54" w:rsidP="0019337E">
            <w:pPr>
              <w:pStyle w:val="ProductList-Body"/>
              <w:jc w:val="center"/>
              <w:rPr>
                <w:color w:val="000000" w:themeColor="text1"/>
                <w:szCs w:val="18"/>
              </w:rPr>
            </w:pPr>
            <w:r>
              <w:rPr>
                <w:color w:val="000000" w:themeColor="text1"/>
                <w:szCs w:val="18"/>
              </w:rPr>
              <w:t>75</w:t>
            </w:r>
          </w:p>
        </w:tc>
      </w:tr>
    </w:tbl>
    <w:p w:rsidR="00296F54" w:rsidRPr="00483B32" w:rsidRDefault="00296F54" w:rsidP="00296F54">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296F54"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296F54" w:rsidRPr="00655696" w:rsidRDefault="00296F54" w:rsidP="0019337E">
            <w:pPr>
              <w:pStyle w:val="ProductList-Body"/>
              <w:spacing w:before="20" w:after="20"/>
              <w:rPr>
                <w:color w:val="FFFFFF" w:themeColor="background1"/>
                <w:szCs w:val="18"/>
                <w:lang w:val="es-ES"/>
              </w:rPr>
            </w:pPr>
            <w:r w:rsidRPr="00655696">
              <w:rPr>
                <w:color w:val="FFFFFF" w:themeColor="background1"/>
                <w:szCs w:val="18"/>
                <w:lang w:val="es-ES"/>
              </w:rPr>
              <w:t>Puntos de CAL Suites con SAM</w:t>
            </w:r>
          </w:p>
        </w:tc>
        <w:tc>
          <w:tcPr>
            <w:tcW w:w="2210" w:type="dxa"/>
            <w:shd w:val="clear" w:color="auto" w:fill="BF8F00" w:themeFill="accent4" w:themeFillShade="BF"/>
            <w:tcMar>
              <w:top w:w="15" w:type="dxa"/>
              <w:left w:w="108" w:type="dxa"/>
              <w:bottom w:w="0" w:type="dxa"/>
              <w:right w:w="108" w:type="dxa"/>
            </w:tcMar>
          </w:tcPr>
          <w:p w:rsidR="00296F54" w:rsidRPr="005B13F2" w:rsidRDefault="00296F54" w:rsidP="0019337E">
            <w:pPr>
              <w:pStyle w:val="ProductList-Body"/>
              <w:spacing w:before="20" w:after="20"/>
              <w:rPr>
                <w:color w:val="FFFFFF" w:themeColor="background1"/>
                <w:szCs w:val="18"/>
              </w:rPr>
            </w:pPr>
            <w:r>
              <w:rPr>
                <w:color w:val="FFFFFF" w:themeColor="background1"/>
                <w:szCs w:val="18"/>
              </w:rPr>
              <w:t xml:space="preserve">Días de Planning Services </w:t>
            </w:r>
          </w:p>
        </w:tc>
      </w:tr>
      <w:tr w:rsidR="00296F54" w:rsidRPr="005B13F2" w:rsidTr="0019337E">
        <w:trPr>
          <w:trHeight w:val="235"/>
        </w:trPr>
        <w:tc>
          <w:tcPr>
            <w:tcW w:w="5265" w:type="dxa"/>
            <w:shd w:val="clear" w:color="auto" w:fill="FFFFFF"/>
            <w:tcMar>
              <w:top w:w="15" w:type="dxa"/>
              <w:left w:w="108" w:type="dxa"/>
              <w:bottom w:w="0" w:type="dxa"/>
              <w:right w:w="108" w:type="dxa"/>
            </w:tcMar>
          </w:tcPr>
          <w:p w:rsidR="00296F54" w:rsidRPr="00C144DF" w:rsidRDefault="00296F54"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296F54" w:rsidRPr="00C144DF" w:rsidRDefault="00296F54" w:rsidP="0019337E">
            <w:pPr>
              <w:pStyle w:val="ProductList-Body"/>
              <w:jc w:val="center"/>
              <w:rPr>
                <w:rFonts w:cstheme="minorHAnsi"/>
                <w:color w:val="000000" w:themeColor="text1"/>
                <w:szCs w:val="18"/>
              </w:rPr>
            </w:pPr>
            <w:r>
              <w:rPr>
                <w:rFonts w:cstheme="minorHAnsi"/>
                <w:color w:val="000000" w:themeColor="text1"/>
                <w:szCs w:val="18"/>
              </w:rPr>
              <w:t>1</w:t>
            </w:r>
          </w:p>
        </w:tc>
      </w:tr>
      <w:tr w:rsidR="00296F54" w:rsidRPr="005B13F2" w:rsidTr="0019337E">
        <w:trPr>
          <w:trHeight w:val="55"/>
        </w:trPr>
        <w:tc>
          <w:tcPr>
            <w:tcW w:w="5265" w:type="dxa"/>
            <w:shd w:val="clear" w:color="auto" w:fill="FFFFFF"/>
            <w:tcMar>
              <w:top w:w="15" w:type="dxa"/>
              <w:left w:w="108" w:type="dxa"/>
              <w:bottom w:w="0" w:type="dxa"/>
              <w:right w:w="108" w:type="dxa"/>
            </w:tcMar>
          </w:tcPr>
          <w:p w:rsidR="00296F54" w:rsidRPr="00C144DF" w:rsidRDefault="00296F54"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296F54" w:rsidRPr="00C144DF" w:rsidRDefault="00296F54" w:rsidP="0019337E">
            <w:pPr>
              <w:pStyle w:val="ProductList-Body"/>
              <w:jc w:val="center"/>
              <w:rPr>
                <w:rFonts w:cstheme="minorHAnsi"/>
                <w:color w:val="000000" w:themeColor="text1"/>
                <w:szCs w:val="18"/>
              </w:rPr>
            </w:pPr>
            <w:r>
              <w:rPr>
                <w:rFonts w:cstheme="minorHAnsi"/>
                <w:color w:val="000000" w:themeColor="text1"/>
                <w:szCs w:val="18"/>
              </w:rPr>
              <w:t>3</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C144DF" w:rsidRDefault="00296F54"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296F54" w:rsidRPr="00C144DF" w:rsidRDefault="00296F54" w:rsidP="0019337E">
            <w:pPr>
              <w:pStyle w:val="ProductList-Body"/>
              <w:jc w:val="center"/>
              <w:rPr>
                <w:rFonts w:cstheme="minorHAnsi"/>
                <w:color w:val="000000" w:themeColor="text1"/>
                <w:szCs w:val="18"/>
              </w:rPr>
            </w:pPr>
            <w:r>
              <w:rPr>
                <w:rFonts w:cstheme="minorHAnsi"/>
                <w:color w:val="000000" w:themeColor="text1"/>
                <w:szCs w:val="18"/>
              </w:rPr>
              <w:t>5</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C144DF" w:rsidRDefault="00296F54"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296F54" w:rsidRPr="00C144DF" w:rsidRDefault="00296F54" w:rsidP="0019337E">
            <w:pPr>
              <w:pStyle w:val="ProductList-Body"/>
              <w:jc w:val="center"/>
              <w:rPr>
                <w:rFonts w:cstheme="minorHAnsi"/>
                <w:color w:val="000000" w:themeColor="text1"/>
                <w:szCs w:val="18"/>
              </w:rPr>
            </w:pPr>
            <w:r>
              <w:rPr>
                <w:rFonts w:cstheme="minorHAnsi"/>
                <w:color w:val="000000" w:themeColor="text1"/>
                <w:szCs w:val="18"/>
              </w:rPr>
              <w:t>7</w:t>
            </w:r>
          </w:p>
        </w:tc>
      </w:tr>
      <w:tr w:rsidR="00296F54" w:rsidRPr="005B13F2" w:rsidTr="0019337E">
        <w:trPr>
          <w:trHeight w:val="36"/>
        </w:trPr>
        <w:tc>
          <w:tcPr>
            <w:tcW w:w="5265" w:type="dxa"/>
            <w:shd w:val="clear" w:color="auto" w:fill="FFFFFF"/>
            <w:tcMar>
              <w:top w:w="15" w:type="dxa"/>
              <w:left w:w="108" w:type="dxa"/>
              <w:bottom w:w="0" w:type="dxa"/>
              <w:right w:w="108" w:type="dxa"/>
            </w:tcMar>
          </w:tcPr>
          <w:p w:rsidR="00296F54" w:rsidRPr="00C144DF" w:rsidRDefault="00296F54"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296F54" w:rsidRPr="00C144DF" w:rsidRDefault="00296F54" w:rsidP="0019337E">
            <w:pPr>
              <w:pStyle w:val="ProductList-Body"/>
              <w:jc w:val="center"/>
              <w:rPr>
                <w:rFonts w:cstheme="minorHAnsi"/>
                <w:color w:val="000000" w:themeColor="text1"/>
                <w:szCs w:val="18"/>
              </w:rPr>
            </w:pPr>
            <w:r>
              <w:rPr>
                <w:rFonts w:cstheme="minorHAnsi"/>
                <w:color w:val="000000" w:themeColor="text1"/>
                <w:szCs w:val="18"/>
              </w:rPr>
              <w:t>10</w:t>
            </w:r>
          </w:p>
        </w:tc>
      </w:tr>
      <w:tr w:rsidR="00296F54" w:rsidRPr="005B13F2" w:rsidTr="0019337E">
        <w:trPr>
          <w:trHeight w:val="45"/>
        </w:trPr>
        <w:tc>
          <w:tcPr>
            <w:tcW w:w="5265" w:type="dxa"/>
            <w:shd w:val="clear" w:color="auto" w:fill="FFFFFF"/>
            <w:tcMar>
              <w:top w:w="15" w:type="dxa"/>
              <w:left w:w="108" w:type="dxa"/>
              <w:bottom w:w="0" w:type="dxa"/>
              <w:right w:w="108" w:type="dxa"/>
            </w:tcMar>
          </w:tcPr>
          <w:p w:rsidR="00296F54" w:rsidRPr="00C144DF" w:rsidRDefault="00296F54"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296F54" w:rsidRPr="00C144DF" w:rsidRDefault="00296F54" w:rsidP="0019337E">
            <w:pPr>
              <w:pStyle w:val="ProductList-Body"/>
              <w:jc w:val="center"/>
              <w:rPr>
                <w:rFonts w:cstheme="minorHAnsi"/>
                <w:color w:val="000000" w:themeColor="text1"/>
                <w:szCs w:val="18"/>
              </w:rPr>
            </w:pPr>
            <w:r>
              <w:rPr>
                <w:rFonts w:cstheme="minorHAnsi"/>
                <w:color w:val="000000" w:themeColor="text1"/>
                <w:szCs w:val="18"/>
              </w:rPr>
              <w:t>12</w:t>
            </w:r>
          </w:p>
        </w:tc>
      </w:tr>
    </w:tbl>
    <w:p w:rsidR="00296F54" w:rsidRPr="00655696" w:rsidRDefault="00296F54" w:rsidP="00296F54">
      <w:pPr>
        <w:pStyle w:val="Thirdheading"/>
        <w:rPr>
          <w:rFonts w:eastAsiaTheme="majorEastAsia"/>
          <w:lang w:val="es-ES"/>
        </w:rPr>
      </w:pPr>
      <w:r w:rsidRPr="00655696">
        <w:rPr>
          <w:rFonts w:eastAsiaTheme="majorEastAsia" w:cstheme="majorBidi"/>
          <w:b/>
          <w:bCs/>
          <w:color w:val="FFC000" w:themeColor="accent4"/>
          <w:sz w:val="18"/>
          <w:szCs w:val="18"/>
          <w:lang w:val="es-ES"/>
        </w:rPr>
        <w:t>Uso de los días de Planning Services</w:t>
      </w:r>
    </w:p>
    <w:p w:rsidR="00296F54" w:rsidRPr="00655696" w:rsidRDefault="00296F54" w:rsidP="00296F54">
      <w:pPr>
        <w:pStyle w:val="ListParagraph"/>
        <w:numPr>
          <w:ilvl w:val="0"/>
          <w:numId w:val="16"/>
        </w:numPr>
        <w:rPr>
          <w:lang w:val="es-ES"/>
        </w:rPr>
      </w:pPr>
      <w:r w:rsidRPr="00655696">
        <w:rPr>
          <w:rFonts w:eastAsia="Times New Roman" w:cs="Times New Roman"/>
          <w:color w:val="505050"/>
          <w:szCs w:val="20"/>
          <w:lang w:val="es-ES"/>
        </w:rPr>
        <w:t>La lista de Partners de Microsoft Planning Services se encuentra disponible aquí:</w:t>
      </w:r>
      <w:r w:rsidRPr="00655696">
        <w:rPr>
          <w:color w:val="505050"/>
          <w:szCs w:val="20"/>
          <w:lang w:val="es-ES"/>
        </w:rPr>
        <w:t xml:space="preserve"> </w:t>
      </w:r>
      <w:hyperlink r:id="rId21" w:history="1">
        <w:r w:rsidRPr="00655696">
          <w:rPr>
            <w:rStyle w:val="Hyperlink"/>
            <w:rFonts w:eastAsia="Times New Roman" w:cs="Times New Roman"/>
            <w:szCs w:val="20"/>
            <w:lang w:val="es-ES"/>
          </w:rPr>
          <w:t>http://directory.partners.extranet.microsoft.com/psbproviders</w:t>
        </w:r>
      </w:hyperlink>
      <w:r w:rsidRPr="00655696">
        <w:rPr>
          <w:rFonts w:eastAsia="Times New Roman" w:cs="Times New Roman"/>
          <w:color w:val="505050"/>
          <w:szCs w:val="20"/>
          <w:lang w:val="es-ES"/>
        </w:rPr>
        <w:t xml:space="preserve"> </w:t>
      </w:r>
    </w:p>
    <w:p w:rsidR="00296F54" w:rsidRPr="00655696" w:rsidRDefault="00296F54" w:rsidP="00296F54">
      <w:pPr>
        <w:pStyle w:val="BodyText"/>
        <w:numPr>
          <w:ilvl w:val="0"/>
          <w:numId w:val="16"/>
        </w:numPr>
        <w:spacing w:after="0"/>
        <w:rPr>
          <w:lang w:val="es-ES"/>
        </w:rPr>
      </w:pPr>
      <w:r w:rsidRPr="00655696">
        <w:rPr>
          <w:lang w:val="es-ES"/>
        </w:rPr>
        <w:t xml:space="preserve">Planning Services puede proporcionarse a través de Socios cualificados de Microsoft o Servicios de Consultoría de Microsoft. Se aplican los “Términos de uso” locales establecidos por el Partner de Planning Services. Los servicios proporcionados conforme a los cupones se ofrecen en virtud de un contrato celebrado entre usted y el Partner de Planning Services; Microsoft no se hace responsable de ninguna actividad o incumplimiento por parte del Partner de Planning Services en relación con los servicios. </w:t>
      </w:r>
    </w:p>
    <w:p w:rsidR="00296F54" w:rsidRPr="00655696" w:rsidRDefault="00296F54" w:rsidP="00296F54">
      <w:pPr>
        <w:pStyle w:val="BodyText"/>
        <w:numPr>
          <w:ilvl w:val="0"/>
          <w:numId w:val="16"/>
        </w:numPr>
        <w:spacing w:after="0"/>
        <w:rPr>
          <w:lang w:val="es-ES"/>
        </w:rPr>
      </w:pPr>
      <w:r w:rsidRPr="00655696">
        <w:rPr>
          <w:lang w:val="es-ES"/>
        </w:rPr>
        <w:t>Los compromisos de Planning Services ofrecen consultoría que cubre un ámbito de trabajo predeterminado que se traduce en un plan de implementación de alto nivel; no se puede incluir la implementación real del software.</w:t>
      </w:r>
    </w:p>
    <w:p w:rsidR="00296F54" w:rsidRPr="00655696" w:rsidRDefault="00296F54" w:rsidP="00296F54">
      <w:pPr>
        <w:pStyle w:val="BodyText"/>
        <w:numPr>
          <w:ilvl w:val="0"/>
          <w:numId w:val="16"/>
        </w:numPr>
        <w:spacing w:after="0"/>
        <w:rPr>
          <w:lang w:val="es-ES"/>
        </w:rPr>
      </w:pPr>
      <w:r w:rsidRPr="00655696">
        <w:rPr>
          <w:lang w:val="es-ES"/>
        </w:rPr>
        <w:t>Los cupones de Planning Services solo puede canjearlos el Cliente que es susceptible de obtener el beneficio.</w:t>
      </w:r>
    </w:p>
    <w:p w:rsidR="00296F54" w:rsidRPr="00655696" w:rsidRDefault="00296F54" w:rsidP="00296F54">
      <w:pPr>
        <w:pStyle w:val="BodyText"/>
        <w:numPr>
          <w:ilvl w:val="0"/>
          <w:numId w:val="16"/>
        </w:numPr>
        <w:spacing w:after="0"/>
        <w:rPr>
          <w:lang w:val="es-ES"/>
        </w:rPr>
      </w:pPr>
      <w:r w:rsidRPr="00655696">
        <w:rPr>
          <w:lang w:val="es-ES"/>
        </w:rPr>
        <w:t>Los cupones de Planning Services no pueden cambiarse por dinero en efectivo, dinero pagadero u otras prestaciones de valor.</w:t>
      </w:r>
    </w:p>
    <w:p w:rsidR="00296F54" w:rsidRPr="00655696" w:rsidRDefault="00296F54" w:rsidP="00296F54">
      <w:pPr>
        <w:pStyle w:val="BodyText"/>
        <w:numPr>
          <w:ilvl w:val="0"/>
          <w:numId w:val="16"/>
        </w:numPr>
        <w:spacing w:after="0"/>
        <w:rPr>
          <w:lang w:val="es-ES"/>
        </w:rPr>
      </w:pPr>
      <w:r w:rsidRPr="00655696">
        <w:rPr>
          <w:lang w:val="es-ES"/>
        </w:rPr>
        <w:t>Puede adquirir servicios adicionales que están más allá del ámbito del trabajo (según se define por tipo de cupón y nivel de servicio) de su Partner de Planning Services fuera de este programa.</w:t>
      </w:r>
    </w:p>
    <w:p w:rsidR="00296F54" w:rsidRPr="00655696" w:rsidRDefault="00296F54" w:rsidP="00296F54">
      <w:pPr>
        <w:pStyle w:val="BodyText"/>
        <w:numPr>
          <w:ilvl w:val="0"/>
          <w:numId w:val="16"/>
        </w:numPr>
        <w:spacing w:after="0"/>
        <w:rPr>
          <w:lang w:val="es-ES"/>
        </w:rPr>
      </w:pPr>
      <w:r w:rsidRPr="00655696">
        <w:rPr>
          <w:lang w:val="es-ES"/>
        </w:rPr>
        <w:t>La reducción de la cobertura de SA cualificada como resultado de devoluciones y otros ajustes de facturación, en la medida que así se permita, podrá disminuir los días de derechos de sus Planning Services.</w:t>
      </w:r>
    </w:p>
    <w:p w:rsidR="00296F54" w:rsidRPr="00655696" w:rsidRDefault="00296F54" w:rsidP="00296F54">
      <w:pPr>
        <w:pStyle w:val="BodyText"/>
        <w:numPr>
          <w:ilvl w:val="0"/>
          <w:numId w:val="16"/>
        </w:numPr>
        <w:spacing w:after="0"/>
        <w:rPr>
          <w:lang w:val="es-ES"/>
        </w:rPr>
      </w:pPr>
      <w:r w:rsidRPr="00655696">
        <w:rPr>
          <w:lang w:val="es-ES"/>
        </w:rPr>
        <w:t>Los Cupones no pueden acumularse ni combinarse. La empresa debe proporcionar un cupón por participación en el número de días disponibles.</w:t>
      </w:r>
    </w:p>
    <w:p w:rsidR="00296F54" w:rsidRPr="00655696" w:rsidRDefault="00296F54" w:rsidP="00296F54">
      <w:pPr>
        <w:pStyle w:val="BodyText"/>
        <w:numPr>
          <w:ilvl w:val="0"/>
          <w:numId w:val="16"/>
        </w:numPr>
        <w:spacing w:after="0"/>
        <w:rPr>
          <w:lang w:val="es-ES"/>
        </w:rPr>
      </w:pPr>
      <w:r w:rsidRPr="00655696">
        <w:rPr>
          <w:lang w:val="es-ES"/>
        </w:rPr>
        <w:t>Los cupones son únicamente válidos con Partner de Planning Services para el tipo de servicio específico para el que se canjea el cupón. El cupón puede utilizarse con Partner de Planning Services de todo el mundo. La participación puede variar. El Partner de Planning Services puede cancelar un servicio de acuerdo con la directiva de cancelación local.</w:t>
      </w:r>
    </w:p>
    <w:p w:rsidR="00296F54" w:rsidRPr="00655696" w:rsidRDefault="00296F54" w:rsidP="00296F54">
      <w:pPr>
        <w:pStyle w:val="BodyText"/>
        <w:numPr>
          <w:ilvl w:val="0"/>
          <w:numId w:val="16"/>
        </w:numPr>
        <w:spacing w:after="0"/>
        <w:rPr>
          <w:lang w:val="es-ES"/>
        </w:rPr>
      </w:pPr>
      <w:r w:rsidRPr="00655696">
        <w:rPr>
          <w:lang w:val="es-ES"/>
        </w:rPr>
        <w:t>Los cupones se deben ceder durante el periodo de cobertura de SA.</w:t>
      </w:r>
    </w:p>
    <w:p w:rsidR="00296F54" w:rsidRPr="00655696" w:rsidRDefault="00296F54" w:rsidP="00296F54">
      <w:pPr>
        <w:pStyle w:val="BodyText"/>
        <w:numPr>
          <w:ilvl w:val="0"/>
          <w:numId w:val="16"/>
        </w:numPr>
        <w:spacing w:after="0"/>
        <w:rPr>
          <w:lang w:val="es-ES"/>
        </w:rPr>
      </w:pPr>
      <w:r w:rsidRPr="00655696">
        <w:rPr>
          <w:lang w:val="es-ES"/>
        </w:rP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w:t>
      </w:r>
    </w:p>
    <w:p w:rsidR="00296F54" w:rsidRPr="00655696" w:rsidRDefault="00296F54" w:rsidP="00296F54">
      <w:pPr>
        <w:pStyle w:val="BodyText"/>
        <w:numPr>
          <w:ilvl w:val="0"/>
          <w:numId w:val="16"/>
        </w:numPr>
        <w:spacing w:after="0"/>
        <w:rPr>
          <w:lang w:val="es-ES"/>
        </w:rPr>
      </w:pPr>
      <w:r w:rsidRPr="00655696">
        <w:rPr>
          <w:lang w:val="es-ES"/>
        </w:rPr>
        <w:t xml:space="preserve">Al aceptar un compromiso de Planning Services, reconoce que recibirá una encuesta tras la finalización del compromiso para propósitos de control de calidad. </w:t>
      </w:r>
    </w:p>
    <w:p w:rsidR="00296F54" w:rsidRPr="00655696" w:rsidRDefault="00296F54" w:rsidP="00296F54">
      <w:pPr>
        <w:pStyle w:val="BodyText"/>
        <w:numPr>
          <w:ilvl w:val="0"/>
          <w:numId w:val="16"/>
        </w:numPr>
        <w:spacing w:after="0"/>
        <w:rPr>
          <w:lang w:val="es-ES"/>
        </w:rPr>
      </w:pPr>
      <w:r w:rsidRPr="00655696">
        <w:rPr>
          <w:lang w:val="es-ES"/>
        </w:rPr>
        <w:t>En las tablas anteriores se muestran los días disponibles de Planning Services según una adquisición de 3 años completos en virtud de la Cuenta de Compra. Si la cobertura de SA es para menos de 3 años, el número de días de Planning Services a los que tiene derecho serán prorrateados adecuadamente.</w:t>
      </w:r>
    </w:p>
    <w:p w:rsidR="00296F54" w:rsidRPr="00655696" w:rsidRDefault="00296F54" w:rsidP="00296F54">
      <w:pPr>
        <w:pStyle w:val="ProductList-Body"/>
        <w:rPr>
          <w:lang w:val="es-ES"/>
        </w:rPr>
      </w:pPr>
    </w:p>
    <w:p w:rsidR="00296F54" w:rsidRPr="00655696" w:rsidRDefault="00296F54" w:rsidP="00296F54">
      <w:pPr>
        <w:pStyle w:val="ProductList-Body"/>
        <w:rPr>
          <w:lang w:val="es-ES"/>
        </w:rPr>
      </w:pPr>
      <w:r w:rsidRPr="00655696">
        <w:rPr>
          <w:rFonts w:ascii="Segoe UI" w:hAnsi="Segoe UI"/>
          <w:color w:val="000000" w:themeColor="text1"/>
          <w:szCs w:val="18"/>
          <w:lang w:val="es-ES"/>
        </w:rPr>
        <w:t>Las encuestas completadas que el Partner de Planning Services envíe a Microsoft al concluir el compromiso podrán utilizarse por parte de Microsoft para propósitos de control de calidad y podrán compartirse con su equipo de cuentas de Microsoft para dicho propósito.</w:t>
      </w:r>
    </w:p>
    <w:p w:rsidR="00296F54" w:rsidRPr="00655696" w:rsidRDefault="00296F54" w:rsidP="00296F54">
      <w:pPr>
        <w:pStyle w:val="Heading2"/>
        <w:rPr>
          <w:lang w:val="es-ES"/>
        </w:rPr>
      </w:pPr>
      <w:bookmarkStart w:id="39" w:name="_Enhanced_Edition_Benefits"/>
      <w:bookmarkStart w:id="40" w:name="_Toc403380304"/>
      <w:bookmarkStart w:id="41" w:name="_Toc403985022"/>
      <w:bookmarkStart w:id="42" w:name="_Toc428279768"/>
      <w:bookmarkStart w:id="43" w:name="_Toc394601024"/>
      <w:bookmarkEnd w:id="39"/>
      <w:r w:rsidRPr="00655696">
        <w:rPr>
          <w:lang w:val="es-ES"/>
        </w:rPr>
        <w:lastRenderedPageBreak/>
        <w:t>Cupones de Formación</w:t>
      </w:r>
      <w:bookmarkEnd w:id="40"/>
      <w:bookmarkEnd w:id="41"/>
      <w:bookmarkEnd w:id="42"/>
    </w:p>
    <w:p w:rsidR="00296F54" w:rsidRPr="00655696" w:rsidRDefault="00296F54" w:rsidP="00296F54">
      <w:pPr>
        <w:pStyle w:val="ProductList-Body"/>
        <w:rPr>
          <w:lang w:val="es-ES"/>
        </w:rPr>
      </w:pPr>
      <w:r w:rsidRPr="00655696">
        <w:rPr>
          <w:color w:val="000000" w:themeColor="text1"/>
          <w:lang w:val="es-ES"/>
        </w:rPr>
        <w:t>Si se le seleccionó para Afiliación a Software Assurance (SAM) en grupos de Sistemas o Aplicaciones, tiene derecho a cupones de formación de Microsoft. Estos cupones le otorgan el derecho de recibir cursos de un Partner de Microsoft con una Competencia de Aprendizaje (Microsoft Learning Partner) durante un determinado número de días de formación.</w:t>
      </w:r>
    </w:p>
    <w:p w:rsidR="00296F54" w:rsidRPr="00655696" w:rsidRDefault="00296F54" w:rsidP="00296F54">
      <w:pPr>
        <w:pStyle w:val="ProductList-Body"/>
        <w:spacing w:before="120" w:after="120"/>
        <w:rPr>
          <w:lang w:val="es-ES"/>
        </w:rPr>
      </w:pPr>
      <w:r w:rsidRPr="00655696">
        <w:rPr>
          <w:color w:val="000000" w:themeColor="text1"/>
          <w:szCs w:val="18"/>
          <w:lang w:val="es-ES"/>
        </w:rPr>
        <w:t>El número de días de Cupones de formación al que tiene derecho se basa en el número total de puntos ganados que se calcula</w:t>
      </w:r>
      <w:r w:rsidRPr="00655696">
        <w:rPr>
          <w:rFonts w:ascii="Segoe UI" w:hAnsi="Segoe UI"/>
          <w:color w:val="000000" w:themeColor="text1"/>
          <w:szCs w:val="18"/>
          <w:lang w:val="es-ES"/>
        </w:rPr>
        <w:t xml:space="preserve"> a través de la Cuenta de Compra,</w:t>
      </w:r>
      <w:r w:rsidRPr="00655696">
        <w:rPr>
          <w:color w:val="000000" w:themeColor="text1"/>
          <w:szCs w:val="18"/>
          <w:lang w:val="es-ES"/>
        </w:rPr>
        <w:t xml:space="preserve"> tal como se muestra a continuación </w:t>
      </w:r>
      <w:r w:rsidRPr="00655696">
        <w:rPr>
          <w:rFonts w:ascii="Segoe UI" w:hAnsi="Segoe UI"/>
          <w:color w:val="000000" w:themeColor="text1"/>
          <w:szCs w:val="18"/>
          <w:lang w:val="es-ES"/>
        </w:rPr>
        <w:t>(consulte el apartado “Cálculo de los puntos de beneficios de Software Assurance para el MPSA” de este documento para obtener información sobre cómo se calculan los puntos de beneficios de SA)</w:t>
      </w:r>
      <w:r w:rsidRPr="00655696">
        <w:rPr>
          <w:color w:val="000000" w:themeColor="text1"/>
          <w:szCs w:val="18"/>
          <w:lang w:val="es-ES"/>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02"/>
        <w:gridCol w:w="1890"/>
      </w:tblGrid>
      <w:tr w:rsidR="00296F54" w:rsidRPr="005A6CF9" w:rsidTr="0019337E">
        <w:trPr>
          <w:tblHeader/>
        </w:trPr>
        <w:tc>
          <w:tcPr>
            <w:tcW w:w="3198" w:type="dxa"/>
            <w:shd w:val="clear" w:color="auto" w:fill="BF8F00" w:themeFill="accent4" w:themeFillShade="BF"/>
            <w:vAlign w:val="center"/>
          </w:tcPr>
          <w:p w:rsidR="00296F54" w:rsidRPr="005B13F2" w:rsidRDefault="00296F54" w:rsidP="0019337E">
            <w:pPr>
              <w:pStyle w:val="ProductList-Body"/>
              <w:spacing w:before="20" w:after="20"/>
              <w:rPr>
                <w:color w:val="FFFFFF" w:themeColor="background1"/>
                <w:szCs w:val="18"/>
              </w:rPr>
            </w:pPr>
            <w:r>
              <w:rPr>
                <w:color w:val="FFFFFF" w:themeColor="background1"/>
                <w:szCs w:val="18"/>
              </w:rPr>
              <w:t>Puntos con SAM</w:t>
            </w:r>
          </w:p>
        </w:tc>
        <w:tc>
          <w:tcPr>
            <w:tcW w:w="2302" w:type="dxa"/>
            <w:shd w:val="clear" w:color="auto" w:fill="BF8F00" w:themeFill="accent4" w:themeFillShade="BF"/>
            <w:vAlign w:val="center"/>
          </w:tcPr>
          <w:p w:rsidR="00296F54" w:rsidRPr="00655696" w:rsidRDefault="00296F54" w:rsidP="0019337E">
            <w:pPr>
              <w:pStyle w:val="ProductList-Body"/>
              <w:spacing w:before="20" w:after="20"/>
              <w:jc w:val="center"/>
              <w:rPr>
                <w:color w:val="FFFFFF" w:themeColor="background1"/>
                <w:szCs w:val="18"/>
                <w:lang w:val="es-ES"/>
              </w:rPr>
            </w:pPr>
            <w:r w:rsidRPr="00655696">
              <w:rPr>
                <w:color w:val="FFFFFF" w:themeColor="background1"/>
                <w:szCs w:val="18"/>
                <w:lang w:val="es-ES"/>
              </w:rPr>
              <w:t>Productos del Grupo de aplicaciones</w:t>
            </w:r>
            <w:r w:rsidRPr="00655696">
              <w:rPr>
                <w:i/>
                <w:color w:val="FFFFFF" w:themeColor="background1"/>
                <w:szCs w:val="18"/>
                <w:lang w:val="es-ES"/>
              </w:rPr>
              <w:t xml:space="preserve"> </w:t>
            </w:r>
            <w:r w:rsidRPr="00655696">
              <w:rPr>
                <w:color w:val="FFFFFF" w:themeColor="background1"/>
                <w:szCs w:val="18"/>
                <w:lang w:val="es-ES"/>
              </w:rPr>
              <w:t>Días de Cupones</w:t>
            </w:r>
          </w:p>
        </w:tc>
        <w:tc>
          <w:tcPr>
            <w:tcW w:w="1890" w:type="dxa"/>
            <w:shd w:val="clear" w:color="auto" w:fill="BF8F00" w:themeFill="accent4" w:themeFillShade="BF"/>
            <w:vAlign w:val="center"/>
          </w:tcPr>
          <w:p w:rsidR="00296F54" w:rsidRPr="00655696" w:rsidRDefault="00296F54" w:rsidP="0019337E">
            <w:pPr>
              <w:pStyle w:val="ProductList-Body"/>
              <w:spacing w:before="20" w:after="20"/>
              <w:jc w:val="center"/>
              <w:rPr>
                <w:color w:val="FFFFFF" w:themeColor="background1"/>
                <w:szCs w:val="18"/>
                <w:lang w:val="es-ES"/>
              </w:rPr>
            </w:pPr>
            <w:r w:rsidRPr="00655696">
              <w:rPr>
                <w:color w:val="FFFFFF" w:themeColor="background1"/>
                <w:szCs w:val="18"/>
                <w:lang w:val="es-ES"/>
              </w:rPr>
              <w:t>Productos del Grupo de sistemas Días de Cupones</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296F54" w:rsidRPr="005B13F2" w:rsidTr="0019337E">
        <w:trPr>
          <w:trHeight w:val="70"/>
        </w:trPr>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296F54" w:rsidRPr="005B13F2" w:rsidTr="0019337E">
        <w:trPr>
          <w:trHeight w:val="51"/>
        </w:trPr>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296F54" w:rsidRPr="005B13F2" w:rsidTr="0019337E">
        <w:tc>
          <w:tcPr>
            <w:tcW w:w="3198" w:type="dxa"/>
            <w:vAlign w:val="center"/>
          </w:tcPr>
          <w:p w:rsidR="00296F54" w:rsidRPr="002123CF" w:rsidRDefault="00296F54"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296F54" w:rsidRPr="005B13F2" w:rsidTr="0019337E">
        <w:tc>
          <w:tcPr>
            <w:tcW w:w="3198" w:type="dxa"/>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02"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296F54" w:rsidRPr="00655696" w:rsidRDefault="00296F54" w:rsidP="00296F54">
      <w:pPr>
        <w:pStyle w:val="Thirdheading"/>
        <w:rPr>
          <w:rFonts w:eastAsiaTheme="majorEastAsia"/>
          <w:lang w:val="es-ES"/>
        </w:rPr>
      </w:pPr>
      <w:r w:rsidRPr="00655696">
        <w:rPr>
          <w:rFonts w:eastAsiaTheme="majorEastAsia" w:cstheme="majorBidi"/>
          <w:b/>
          <w:bCs/>
          <w:color w:val="FFC000" w:themeColor="accent4"/>
          <w:sz w:val="18"/>
          <w:szCs w:val="18"/>
          <w:lang w:val="es-ES"/>
        </w:rPr>
        <w:t>Uso de los días de Cupones de Formación</w:t>
      </w:r>
    </w:p>
    <w:p w:rsidR="00296F54" w:rsidRPr="00655696" w:rsidRDefault="00296F54" w:rsidP="00296F54">
      <w:pPr>
        <w:pStyle w:val="BodyText"/>
        <w:numPr>
          <w:ilvl w:val="0"/>
          <w:numId w:val="16"/>
        </w:numPr>
        <w:spacing w:after="0"/>
        <w:rPr>
          <w:lang w:val="es-ES"/>
        </w:rPr>
      </w:pPr>
      <w:r w:rsidRPr="00655696">
        <w:rPr>
          <w:color w:val="000000" w:themeColor="text1"/>
          <w:szCs w:val="18"/>
          <w:lang w:val="es-ES"/>
        </w:rPr>
        <w:t>N</w:t>
      </w:r>
      <w:r w:rsidRPr="00655696">
        <w:rPr>
          <w:lang w:val="es-ES"/>
        </w:rPr>
        <w:t>o todos los cursos están disponibles en todos los idiomas.</w:t>
      </w:r>
    </w:p>
    <w:p w:rsidR="00296F54" w:rsidRPr="00655696" w:rsidRDefault="00296F54" w:rsidP="00296F54">
      <w:pPr>
        <w:pStyle w:val="BodyText"/>
        <w:numPr>
          <w:ilvl w:val="0"/>
          <w:numId w:val="16"/>
        </w:numPr>
        <w:spacing w:after="0"/>
        <w:rPr>
          <w:lang w:val="es-ES"/>
        </w:rPr>
      </w:pPr>
      <w:r w:rsidRPr="00655696">
        <w:rPr>
          <w:lang w:val="es-ES"/>
        </w:rPr>
        <w:t>Se aplican las directivas locales y los términos de uso establecidos por el Microsoft Learning Partner.</w:t>
      </w:r>
    </w:p>
    <w:p w:rsidR="00296F54" w:rsidRPr="00655696" w:rsidRDefault="00296F54" w:rsidP="00296F54">
      <w:pPr>
        <w:pStyle w:val="BodyText"/>
        <w:numPr>
          <w:ilvl w:val="0"/>
          <w:numId w:val="16"/>
        </w:numPr>
        <w:spacing w:after="0"/>
        <w:rPr>
          <w:lang w:val="es-ES"/>
        </w:rPr>
      </w:pPr>
      <w:r w:rsidRPr="00655696">
        <w:rPr>
          <w:lang w:val="es-ES"/>
        </w:rPr>
        <w:t>Los Administradores de Beneficios tienen la posibilidad de revocar un cupón en el estado de cedido hasta la fecha de cancelación de clase establecida por el Microsoft Learning Partner.</w:t>
      </w:r>
    </w:p>
    <w:p w:rsidR="00296F54" w:rsidRPr="00655696" w:rsidRDefault="00296F54" w:rsidP="00296F54">
      <w:pPr>
        <w:pStyle w:val="BodyText"/>
        <w:numPr>
          <w:ilvl w:val="0"/>
          <w:numId w:val="16"/>
        </w:numPr>
        <w:spacing w:after="0"/>
        <w:rPr>
          <w:lang w:val="es-ES"/>
        </w:rPr>
      </w:pPr>
      <w:r w:rsidRPr="00655696">
        <w:rPr>
          <w:lang w:val="es-ES"/>
        </w:rPr>
        <w:t>Los días del curso que no estén cubiertos por el cupón tendrá que pagarlos la persona que reciba la formación.</w:t>
      </w:r>
    </w:p>
    <w:p w:rsidR="00296F54" w:rsidRPr="00655696" w:rsidRDefault="00296F54" w:rsidP="00296F54">
      <w:pPr>
        <w:pStyle w:val="BodyText"/>
        <w:numPr>
          <w:ilvl w:val="0"/>
          <w:numId w:val="16"/>
        </w:numPr>
        <w:spacing w:after="0"/>
        <w:rPr>
          <w:lang w:val="es-ES"/>
        </w:rPr>
      </w:pPr>
      <w:r w:rsidRPr="00655696">
        <w:rPr>
          <w:lang w:val="es-ES"/>
        </w:rPr>
        <w:t>Los días de cupones, que superen la cantidad de días aplicados a una clase específica, se devolverán al grupo de días disponibles para que los reasigne el Administrador de Beneficios.</w:t>
      </w:r>
    </w:p>
    <w:p w:rsidR="00296F54" w:rsidRPr="00655696" w:rsidRDefault="00296F54" w:rsidP="00296F54">
      <w:pPr>
        <w:pStyle w:val="BodyText"/>
        <w:numPr>
          <w:ilvl w:val="0"/>
          <w:numId w:val="16"/>
        </w:numPr>
        <w:spacing w:after="0"/>
        <w:rPr>
          <w:lang w:val="es-ES"/>
        </w:rPr>
      </w:pPr>
      <w:r w:rsidRPr="00655696">
        <w:rPr>
          <w:lang w:val="es-ES"/>
        </w:rPr>
        <w:t>Los cursos que se impartan de forma intensiva necesitan días de cupones equivalentes al número de días del curso si se imparte de forma normal.</w:t>
      </w:r>
    </w:p>
    <w:p w:rsidR="00296F54" w:rsidRPr="00655696" w:rsidRDefault="00296F54" w:rsidP="00296F54">
      <w:pPr>
        <w:pStyle w:val="BodyText"/>
        <w:numPr>
          <w:ilvl w:val="0"/>
          <w:numId w:val="16"/>
        </w:numPr>
        <w:spacing w:after="0"/>
        <w:rPr>
          <w:lang w:val="es-ES"/>
        </w:rPr>
      </w:pPr>
      <w:r w:rsidRPr="00655696">
        <w:rPr>
          <w:lang w:val="es-ES"/>
        </w:rP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Para obtener información acerca de cursos aprobados, visite </w:t>
      </w:r>
      <w:hyperlink r:id="rId22" w:history="1">
        <w:r w:rsidRPr="00655696">
          <w:rPr>
            <w:rStyle w:val="Hyperlink"/>
            <w:szCs w:val="18"/>
            <w:lang w:val="es-ES"/>
          </w:rPr>
          <w:t>http://www.microsoft.com/learning/sa/training.mspx</w:t>
        </w:r>
      </w:hyperlink>
      <w:r w:rsidRPr="00655696">
        <w:rPr>
          <w:color w:val="000000" w:themeColor="text1"/>
          <w:szCs w:val="18"/>
          <w:lang w:val="es-ES"/>
        </w:rPr>
        <w:t xml:space="preserve">. </w:t>
      </w:r>
    </w:p>
    <w:p w:rsidR="00296F54" w:rsidRPr="00483B32" w:rsidRDefault="00296F54" w:rsidP="00296F54">
      <w:pPr>
        <w:pStyle w:val="BodyText"/>
        <w:numPr>
          <w:ilvl w:val="0"/>
          <w:numId w:val="16"/>
        </w:numPr>
        <w:spacing w:after="0"/>
      </w:pPr>
      <w:r w:rsidRPr="00655696">
        <w:rPr>
          <w:lang w:val="es-ES"/>
        </w:rPr>
        <w:t xml:space="preserve">Los cupones no pueden utilizarse para cubrir ningún precio relacionado con no presentarse a un curso reservado. </w:t>
      </w:r>
      <w:r>
        <w:t xml:space="preserve">Todos los precios relacionados con “Ausentismo” son su responsabilidad. </w:t>
      </w:r>
    </w:p>
    <w:p w:rsidR="00296F54" w:rsidRPr="00655696" w:rsidRDefault="00296F54" w:rsidP="00296F54">
      <w:pPr>
        <w:pStyle w:val="BodyText"/>
        <w:numPr>
          <w:ilvl w:val="0"/>
          <w:numId w:val="16"/>
        </w:numPr>
        <w:spacing w:after="0"/>
        <w:rPr>
          <w:lang w:val="es-ES"/>
        </w:rPr>
      </w:pPr>
      <w:r w:rsidRPr="00655696">
        <w:rPr>
          <w:lang w:val="es-ES"/>
        </w:rPr>
        <w:t xml:space="preserve">Los cupones solo puede canjearlos la persona aprobada por parte de la organización para que utilice el cupón. </w:t>
      </w:r>
    </w:p>
    <w:p w:rsidR="00296F54" w:rsidRPr="00655696" w:rsidRDefault="00296F54" w:rsidP="00296F54">
      <w:pPr>
        <w:pStyle w:val="BodyText"/>
        <w:numPr>
          <w:ilvl w:val="0"/>
          <w:numId w:val="16"/>
        </w:numPr>
        <w:spacing w:after="0"/>
        <w:rPr>
          <w:lang w:val="es-ES"/>
        </w:rPr>
      </w:pPr>
      <w:r w:rsidRPr="00655696">
        <w:rPr>
          <w:lang w:val="es-ES"/>
        </w:rPr>
        <w:t>Los cupones no pueden cambiarse por dinero en efectivo, dinero pagadero u otras prestaciones de valor.</w:t>
      </w:r>
    </w:p>
    <w:p w:rsidR="00296F54" w:rsidRPr="00655696" w:rsidRDefault="00296F54" w:rsidP="00296F54">
      <w:pPr>
        <w:pStyle w:val="BodyText"/>
        <w:numPr>
          <w:ilvl w:val="0"/>
          <w:numId w:val="16"/>
        </w:numPr>
        <w:spacing w:after="0"/>
        <w:rPr>
          <w:lang w:val="es-ES"/>
        </w:rPr>
      </w:pPr>
      <w:r w:rsidRPr="00655696">
        <w:rPr>
          <w:lang w:val="es-ES"/>
        </w:rPr>
        <w:t>Los cupones se deben ceder durante el periodo de cobertura de SA.</w:t>
      </w:r>
    </w:p>
    <w:p w:rsidR="00296F54" w:rsidRPr="00655696" w:rsidRDefault="00296F54" w:rsidP="00296F54">
      <w:pPr>
        <w:pStyle w:val="BodyText"/>
        <w:numPr>
          <w:ilvl w:val="0"/>
          <w:numId w:val="16"/>
        </w:numPr>
        <w:spacing w:after="0"/>
        <w:rPr>
          <w:lang w:val="es-ES"/>
        </w:rPr>
      </w:pPr>
      <w:r w:rsidRPr="00655696">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rsidR="00296F54" w:rsidRPr="00655696" w:rsidRDefault="00296F54" w:rsidP="00296F54">
      <w:pPr>
        <w:pStyle w:val="BodyText"/>
        <w:numPr>
          <w:ilvl w:val="0"/>
          <w:numId w:val="16"/>
        </w:numPr>
        <w:spacing w:after="0"/>
        <w:rPr>
          <w:lang w:val="es-ES"/>
        </w:rPr>
      </w:pPr>
      <w:r w:rsidRPr="00655696">
        <w:rPr>
          <w:lang w:val="es-ES"/>
        </w:rPr>
        <w:t>Con la excepción de Sesiones de Demostración, un día de Cupones de Formación es igual al equivalente de un día de sesión de formación. Para las Sesiones de Demostración, un día de Cupones de Formación equivale a una Sesión de Demostración.</w:t>
      </w:r>
    </w:p>
    <w:p w:rsidR="00296F54" w:rsidRPr="00655696" w:rsidRDefault="00296F54" w:rsidP="00296F54">
      <w:pPr>
        <w:pStyle w:val="BodyText"/>
        <w:numPr>
          <w:ilvl w:val="0"/>
          <w:numId w:val="16"/>
        </w:numPr>
        <w:spacing w:after="0"/>
        <w:rPr>
          <w:lang w:val="es-ES"/>
        </w:rPr>
      </w:pPr>
      <w:r w:rsidRPr="00655696">
        <w:rPr>
          <w:lang w:val="es-ES"/>
        </w:rPr>
        <w:t>Debe canjear Cupones de Formación para conjuntos de Sesiones de Demostración de cuatro o más</w:t>
      </w:r>
    </w:p>
    <w:p w:rsidR="00296F54" w:rsidRPr="00655696" w:rsidRDefault="00296F54" w:rsidP="00296F54">
      <w:pPr>
        <w:pStyle w:val="BodyText"/>
        <w:numPr>
          <w:ilvl w:val="0"/>
          <w:numId w:val="16"/>
        </w:numPr>
        <w:spacing w:after="0"/>
        <w:rPr>
          <w:lang w:val="es-ES"/>
        </w:rPr>
      </w:pPr>
      <w:r w:rsidRPr="00655696">
        <w:rPr>
          <w:lang w:val="es-ES"/>
        </w:rPr>
        <w:lastRenderedPageBreak/>
        <w:t>Los Cupones de Formación canjeados para Sesiones de Demostración, a diferencia de Cupones de Formación canjeados para otras sesiones de formación, no se limitan a un único individuo.</w:t>
      </w:r>
    </w:p>
    <w:p w:rsidR="00296F54" w:rsidRPr="00655696" w:rsidRDefault="00296F54" w:rsidP="00296F54">
      <w:pPr>
        <w:pStyle w:val="BodyText"/>
        <w:numPr>
          <w:ilvl w:val="0"/>
          <w:numId w:val="16"/>
        </w:numPr>
        <w:spacing w:after="0"/>
        <w:rPr>
          <w:lang w:val="es-ES"/>
        </w:rPr>
      </w:pPr>
      <w:r w:rsidRPr="00655696">
        <w:rPr>
          <w:lang w:val="es-ES"/>
        </w:rPr>
        <w:t xml:space="preserve">Los cupones pueden utilizarse para reservar cursos de formación con un solo Microsoft Learning Partner cualificado a la vez. </w:t>
      </w:r>
    </w:p>
    <w:p w:rsidR="00296F54" w:rsidRPr="00655696" w:rsidRDefault="00296F54" w:rsidP="00296F54">
      <w:pPr>
        <w:pStyle w:val="BodyText"/>
        <w:numPr>
          <w:ilvl w:val="0"/>
          <w:numId w:val="16"/>
        </w:numPr>
        <w:spacing w:after="0"/>
        <w:rPr>
          <w:lang w:val="es-ES"/>
        </w:rPr>
      </w:pPr>
      <w:r w:rsidRPr="00655696">
        <w:rPr>
          <w:lang w:val="es-ES"/>
        </w:rPr>
        <w:t>El Microsoft Learning Partner se reserva el derecho de cancelar una clase de acuerdo con la directiva de cancelación local.</w:t>
      </w:r>
    </w:p>
    <w:p w:rsidR="00296F54" w:rsidRPr="00655696" w:rsidRDefault="00296F54" w:rsidP="00296F54">
      <w:pPr>
        <w:pStyle w:val="BodyText"/>
        <w:numPr>
          <w:ilvl w:val="0"/>
          <w:numId w:val="16"/>
        </w:numPr>
        <w:spacing w:after="0"/>
        <w:rPr>
          <w:lang w:val="es-ES"/>
        </w:rPr>
      </w:pPr>
      <w:r w:rsidRPr="00655696">
        <w:rPr>
          <w:lang w:val="es-ES"/>
        </w:rPr>
        <w:t xml:space="preserve">Los cupones solo son válidos en los Microsoft Learning Partners participantes. Pueden utilizarse con cualquier Microsoft Learning Partner cualificado de todo el mundo. </w:t>
      </w:r>
    </w:p>
    <w:p w:rsidR="00296F54" w:rsidRPr="00655696" w:rsidRDefault="00296F54" w:rsidP="00296F54">
      <w:pPr>
        <w:pStyle w:val="BodyText"/>
        <w:numPr>
          <w:ilvl w:val="0"/>
          <w:numId w:val="16"/>
        </w:numPr>
        <w:spacing w:after="0"/>
        <w:rPr>
          <w:lang w:val="es-ES"/>
        </w:rPr>
      </w:pPr>
      <w:r w:rsidRPr="00655696">
        <w:rPr>
          <w:lang w:val="es-ES"/>
        </w:rPr>
        <w:t xml:space="preserve">Debe proporcionar al Microsoft Learning Partner la información del cupón que le gustaría aplicar con respecto al curso antes de finalizar el curso, con el propósito de utilizar el cupón como método de pago del curso. </w:t>
      </w:r>
    </w:p>
    <w:p w:rsidR="00296F54" w:rsidRPr="00655696" w:rsidRDefault="00296F54" w:rsidP="00296F54">
      <w:pPr>
        <w:pStyle w:val="BodyText"/>
        <w:numPr>
          <w:ilvl w:val="0"/>
          <w:numId w:val="16"/>
        </w:numPr>
        <w:spacing w:after="0"/>
        <w:rPr>
          <w:lang w:val="es-ES"/>
        </w:rPr>
      </w:pPr>
      <w:r w:rsidRPr="00655696">
        <w:rPr>
          <w:lang w:val="es-ES"/>
        </w:rPr>
        <w:t>Microsoft no se hace responsable de la pérdida, robo, extravío o uso indebido de los cupones.</w:t>
      </w:r>
    </w:p>
    <w:p w:rsidR="00296F54" w:rsidRPr="00655696" w:rsidRDefault="00296F54" w:rsidP="00296F54">
      <w:pPr>
        <w:pStyle w:val="BodyText"/>
        <w:numPr>
          <w:ilvl w:val="0"/>
          <w:numId w:val="16"/>
        </w:numPr>
        <w:spacing w:after="0"/>
        <w:rPr>
          <w:lang w:val="es-ES"/>
        </w:rPr>
      </w:pPr>
      <w:r w:rsidRPr="00655696">
        <w:rPr>
          <w:lang w:val="es-ES"/>
        </w:rPr>
        <w:t>La reducción del número de licencias aplicables para las que se adquiere SA como resultado de devoluciones y otros ajustes en la facturación, en la medida que así se permita, podrá disminuir la elegibilidad de niveles de servicio de Cupones de formación.</w:t>
      </w:r>
    </w:p>
    <w:p w:rsidR="00296F54" w:rsidRPr="00655696" w:rsidRDefault="00296F54" w:rsidP="00296F54">
      <w:pPr>
        <w:pStyle w:val="BodyText"/>
        <w:numPr>
          <w:ilvl w:val="0"/>
          <w:numId w:val="16"/>
        </w:numPr>
        <w:spacing w:after="0"/>
        <w:rPr>
          <w:lang w:val="es-ES"/>
        </w:rPr>
      </w:pPr>
      <w:r w:rsidRPr="00655696">
        <w:rPr>
          <w:lang w:val="es-ES"/>
        </w:rPr>
        <w:t>Los cupones solo puede canjearlos la organización que es susceptible de obtener el beneficio.</w:t>
      </w:r>
    </w:p>
    <w:p w:rsidR="00296F54" w:rsidRPr="00655696" w:rsidRDefault="00296F54" w:rsidP="00296F54">
      <w:pPr>
        <w:pStyle w:val="BodyText"/>
        <w:numPr>
          <w:ilvl w:val="0"/>
          <w:numId w:val="16"/>
        </w:numPr>
        <w:spacing w:after="0"/>
        <w:rPr>
          <w:lang w:val="es-ES"/>
        </w:rPr>
      </w:pPr>
      <w:r w:rsidRPr="00655696">
        <w:rPr>
          <w:lang w:val="es-ES"/>
        </w:rPr>
        <w:t>Los servicios proporcionados conforme a los cupones se ofrecen en virtud de un contrato celebrado entre usted y el Partner de Planning Services; Microsoft no se hace responsable de ninguna actividad o incumplimiento por parte del Partner de Planning Services en relación con los servicios</w:t>
      </w:r>
    </w:p>
    <w:p w:rsidR="00296F54" w:rsidRPr="00655696" w:rsidRDefault="00296F54" w:rsidP="00296F54">
      <w:pPr>
        <w:pStyle w:val="BodyText"/>
        <w:numPr>
          <w:ilvl w:val="0"/>
          <w:numId w:val="16"/>
        </w:numPr>
        <w:spacing w:after="0"/>
        <w:rPr>
          <w:lang w:val="es-ES"/>
        </w:rPr>
      </w:pPr>
      <w:r w:rsidRPr="00655696">
        <w:rPr>
          <w:lang w:val="es-ES"/>
        </w:rPr>
        <w:t>La tabla anterior muestra los días de formación disponibles según una adquisición de 3 años completos en virtud de la Cuenta de Compra. Si la cobertura de SA es para menos de 3 años, el número de Días de Formación a los que tiene derecho serán prorrateados adecuadamente.</w:t>
      </w:r>
    </w:p>
    <w:p w:rsidR="00296F54" w:rsidRPr="00655696" w:rsidRDefault="00296F54" w:rsidP="00296F54">
      <w:pPr>
        <w:pStyle w:val="Heading2"/>
        <w:rPr>
          <w:lang w:val="es-ES"/>
        </w:rPr>
      </w:pPr>
      <w:bookmarkStart w:id="44" w:name="_24x7_Problem_Resolution_1"/>
      <w:bookmarkStart w:id="45" w:name="_Toc403380305"/>
      <w:bookmarkStart w:id="46" w:name="_Toc403985023"/>
      <w:bookmarkStart w:id="47" w:name="_Toc428279769"/>
      <w:bookmarkEnd w:id="44"/>
      <w:r w:rsidRPr="00655696">
        <w:rPr>
          <w:lang w:val="es-ES"/>
        </w:rPr>
        <w:t>24x7 Soporte Técnico para la Resolución de Problemas</w:t>
      </w:r>
      <w:bookmarkEnd w:id="45"/>
      <w:bookmarkEnd w:id="46"/>
      <w:bookmarkEnd w:id="47"/>
      <w:r w:rsidRPr="00655696">
        <w:rPr>
          <w:lang w:val="es-ES"/>
        </w:rPr>
        <w:t xml:space="preserve"> </w:t>
      </w:r>
    </w:p>
    <w:p w:rsidR="00296F54" w:rsidRPr="00655696" w:rsidRDefault="00296F54" w:rsidP="00296F54">
      <w:pPr>
        <w:rPr>
          <w:lang w:val="es-ES"/>
        </w:rPr>
      </w:pPr>
      <w:r w:rsidRPr="00655696">
        <w:rPr>
          <w:color w:val="000000" w:themeColor="text1"/>
          <w:szCs w:val="18"/>
          <w:lang w:val="es-ES"/>
        </w:rPr>
        <w:t xml:space="preserve">Si dispone de cobertura de SA, sus adquisiciones serán elegibles para Soporte Técnico para la Resolución de Problemas 24x7. Soporte Técnico para la Resolución de Problemas 24x7 proporciona asistencia para los problemas con síntomas específicos que surjan al utilizar los productos Microsoft, siempre que exista una creencia razonable de que los problemas son causados por dichos productos. Microsoft realizará esfuerzos razonables para ayudarle en sus solicitudes de soporte técnico conforme a las directivas de Soporte Técnico de Microsoft. Microsoft se reserva el derecho a rechazar solicitudes no razonables de servicios de soporte técnico. Asimismo, es posible que en ocasiones se le remita un contrato de nivel de servicios adicional que pueda requerir un cargo adicional. </w:t>
      </w:r>
    </w:p>
    <w:p w:rsidR="00296F54" w:rsidRPr="00655696" w:rsidRDefault="00296F54" w:rsidP="00296F54">
      <w:pPr>
        <w:spacing w:before="120"/>
        <w:rPr>
          <w:lang w:val="es-ES"/>
        </w:rPr>
      </w:pPr>
      <w:r w:rsidRPr="00655696">
        <w:rPr>
          <w:color w:val="000000" w:themeColor="text1"/>
          <w:szCs w:val="18"/>
          <w:lang w:val="es-ES"/>
        </w:rPr>
        <w:t xml:space="preserve">Microsoft podrá agregar soporte técnico para nuevos Productos o interrumpir el soporte técnico para Productos existentes. Puede haber casos en que la implementación de las organizaciones de los Productos de Microsoft no pueda recibir un soporte eficaz. Como parte la prestación de los servicios de soporte, Microsoft le notificará si llega a esa conclusión. Si la organización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que estén cubiertas por estos términos y condiciones. </w:t>
      </w:r>
    </w:p>
    <w:p w:rsidR="00296F54" w:rsidRPr="00655696" w:rsidRDefault="00296F54" w:rsidP="00296F54">
      <w:pPr>
        <w:spacing w:before="120"/>
        <w:rPr>
          <w:lang w:val="es-ES"/>
        </w:rPr>
      </w:pPr>
      <w:r w:rsidRPr="00655696">
        <w:rPr>
          <w:color w:val="000000" w:themeColor="text1"/>
          <w:szCs w:val="18"/>
          <w:lang w:val="es-ES"/>
        </w:rP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podemos proporcionarle una modificación del código de software del producto de Microsoft disponible comercialmente para solucionar problemas críticos específicos (“Revisiones”) en respuesta a una solicitud de soporte técnico break-fix asistido. Las Revisiones están diseñadas para solucionar sus problemas específicos y no se someten a pruebas de regresión. Salvo que se disponga de otro modo en este documento, las Revisiones no se podrán distribuir a terceros que no son Filiales sin el consentimiento por escrito de Microsoft.</w:t>
      </w:r>
    </w:p>
    <w:p w:rsidR="00296F54" w:rsidRPr="00655696" w:rsidRDefault="00296F54" w:rsidP="00296F54">
      <w:pPr>
        <w:spacing w:before="120" w:after="120"/>
        <w:rPr>
          <w:lang w:val="es-ES"/>
        </w:rPr>
      </w:pPr>
      <w:r w:rsidRPr="00655696">
        <w:rPr>
          <w:color w:val="000000" w:themeColor="text1"/>
          <w:szCs w:val="18"/>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 La elegibilidad del producto para soporte telefónico está asociada a la disponibilidad de la oferta de SA para dicho Producto. Donde la opción de SA no está disponible para el servidor, sino para las licencias CAL, los puntos destinados a sus licencias CAL para incidentes se utilizarán también para otros Productos elegibles, como se indica a continuación en el apartado Incidentes de soporte telefónico. Consulte el apartado dedicado a dicho Producto en los Términos de Productos para consultar la directiva de servicio y soporte técnico. También puede utilizar versiones anteriores de Productos que se incluyan en el Soporte Estándar en lugar de la versión licenciada actual. Se excluyen Developer Edition de todos los servidores, productos HED y Suscripciones MSDN.</w:t>
      </w:r>
    </w:p>
    <w:p w:rsidR="00296F54" w:rsidRPr="00655696" w:rsidRDefault="00296F54" w:rsidP="00296F54">
      <w:pPr>
        <w:rPr>
          <w:lang w:val="es-ES"/>
        </w:rPr>
      </w:pPr>
      <w:r w:rsidRPr="00655696">
        <w:rPr>
          <w:color w:val="000000" w:themeColor="text1"/>
          <w:szCs w:val="18"/>
          <w:lang w:val="es-ES"/>
        </w:rPr>
        <w:lastRenderedPageBreak/>
        <w:t xml:space="preserve">Soporte Técnico para la Resolución de Problemas 24x7 le concede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 </w:t>
      </w:r>
    </w:p>
    <w:p w:rsidR="00296F54" w:rsidRPr="00655696" w:rsidRDefault="00296F54" w:rsidP="00296F54">
      <w:pPr>
        <w:pStyle w:val="Thirdheading"/>
        <w:rPr>
          <w:lang w:val="es-ES"/>
        </w:rPr>
      </w:pPr>
      <w:r w:rsidRPr="00655696">
        <w:rPr>
          <w:b/>
          <w:lang w:val="es-ES"/>
        </w:rPr>
        <w:t>Incidentes de Soporte Telefónico</w:t>
      </w:r>
    </w:p>
    <w:p w:rsidR="00296F54" w:rsidRPr="00655696" w:rsidRDefault="00296F54" w:rsidP="00296F54">
      <w:pPr>
        <w:rPr>
          <w:lang w:val="es-ES"/>
        </w:rPr>
      </w:pPr>
      <w:r w:rsidRPr="00655696">
        <w:rPr>
          <w:color w:val="000000" w:themeColor="text1"/>
          <w:szCs w:val="18"/>
          <w:lang w:val="es-ES"/>
        </w:rPr>
        <w:t>El número de incidentes de soporte telefónico permitidos varía según los puntos de beneficios de SA ganados. Si dispone de cobertura de SA en por lo menos un Producto de software de servidor tiene derecho a un incidente gratuito.</w:t>
      </w:r>
      <w:r w:rsidRPr="00655696">
        <w:rPr>
          <w:rFonts w:cs="Tahoma"/>
          <w:color w:val="000000" w:themeColor="text1"/>
          <w:szCs w:val="18"/>
          <w:lang w:val="es-ES"/>
        </w:rPr>
        <w:t xml:space="preserve"> El número de incidentes de soporte telefónico al que tiene derecho se basa en el número total de puntos ganados que se calcula a través de la </w:t>
      </w:r>
      <w:r w:rsidRPr="00655696">
        <w:rPr>
          <w:color w:val="000000" w:themeColor="text1"/>
          <w:szCs w:val="18"/>
          <w:lang w:val="es-ES"/>
        </w:rPr>
        <w:t>Cuenta de Compra, tal como se muestra a continuación (consulte el apartado “Cálculo de los puntos de beneficios de Software Assurance para el MPSA” de este documento para obtener información sobre cómo se calculan los puntos de beneficios de SA):</w:t>
      </w:r>
    </w:p>
    <w:tbl>
      <w:tblPr>
        <w:tblStyle w:val="TableGrid"/>
        <w:tblW w:w="0" w:type="auto"/>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76"/>
      </w:tblGrid>
      <w:tr w:rsidR="00296F54" w:rsidRPr="005A6CF9" w:rsidTr="0019337E">
        <w:trPr>
          <w:tblHeader/>
        </w:trPr>
        <w:tc>
          <w:tcPr>
            <w:tcW w:w="3105" w:type="dxa"/>
            <w:shd w:val="clear" w:color="auto" w:fill="BF8F00" w:themeFill="accent4" w:themeFillShade="BF"/>
            <w:vAlign w:val="center"/>
          </w:tcPr>
          <w:p w:rsidR="00296F54" w:rsidRPr="005B13F2" w:rsidRDefault="00296F54" w:rsidP="0019337E">
            <w:pPr>
              <w:pStyle w:val="ProductList-Body"/>
              <w:spacing w:before="20" w:after="20"/>
              <w:rPr>
                <w:color w:val="FFFFFF" w:themeColor="background1"/>
                <w:szCs w:val="18"/>
              </w:rPr>
            </w:pPr>
            <w:r>
              <w:rPr>
                <w:color w:val="FFFFFF" w:themeColor="background1"/>
                <w:szCs w:val="18"/>
              </w:rPr>
              <w:t>Grupo</w:t>
            </w:r>
          </w:p>
        </w:tc>
        <w:tc>
          <w:tcPr>
            <w:tcW w:w="3176" w:type="dxa"/>
            <w:shd w:val="clear" w:color="auto" w:fill="BF8F00" w:themeFill="accent4" w:themeFillShade="BF"/>
            <w:vAlign w:val="center"/>
          </w:tcPr>
          <w:p w:rsidR="00296F54" w:rsidRPr="005A6CF9" w:rsidRDefault="00296F54" w:rsidP="0019337E">
            <w:pPr>
              <w:pStyle w:val="ProductList-Body"/>
              <w:spacing w:before="20" w:after="20"/>
              <w:jc w:val="center"/>
              <w:rPr>
                <w:color w:val="FFFFFF" w:themeColor="background1"/>
                <w:szCs w:val="18"/>
                <w:lang w:val="es-ES"/>
              </w:rPr>
            </w:pPr>
            <w:r w:rsidRPr="005A6CF9">
              <w:rPr>
                <w:color w:val="FFFFFF" w:themeColor="background1"/>
                <w:szCs w:val="18"/>
                <w:lang w:val="es-ES"/>
              </w:rPr>
              <w:t>Puntos por incidente de soporte telefónico</w:t>
            </w:r>
          </w:p>
        </w:tc>
      </w:tr>
      <w:tr w:rsidR="00296F54" w:rsidRPr="005B13F2" w:rsidTr="0019337E">
        <w:trPr>
          <w:trHeight w:val="60"/>
        </w:trPr>
        <w:tc>
          <w:tcPr>
            <w:tcW w:w="3105" w:type="dxa"/>
          </w:tcPr>
          <w:p w:rsidR="00296F54" w:rsidRPr="00C118D4" w:rsidRDefault="00296F54" w:rsidP="0019337E">
            <w:pPr>
              <w:pStyle w:val="ProductList-Body"/>
              <w:rPr>
                <w:color w:val="000000" w:themeColor="text1"/>
                <w:szCs w:val="18"/>
              </w:rPr>
            </w:pPr>
            <w:r>
              <w:rPr>
                <w:rFonts w:cs="Tahoma"/>
                <w:color w:val="000000" w:themeColor="text1"/>
                <w:szCs w:val="18"/>
              </w:rPr>
              <w:t>Aplicaciones y Sistemas (combinados)</w:t>
            </w:r>
          </w:p>
        </w:tc>
        <w:tc>
          <w:tcPr>
            <w:tcW w:w="3176" w:type="dxa"/>
            <w:vAlign w:val="center"/>
          </w:tcPr>
          <w:p w:rsidR="00296F54" w:rsidRPr="00C118D4" w:rsidRDefault="00296F54" w:rsidP="0019337E">
            <w:pPr>
              <w:pStyle w:val="ProductList-Body"/>
              <w:jc w:val="center"/>
              <w:rPr>
                <w:color w:val="000000" w:themeColor="text1"/>
                <w:szCs w:val="18"/>
              </w:rPr>
            </w:pPr>
            <w:r>
              <w:rPr>
                <w:color w:val="000000" w:themeColor="text1"/>
                <w:szCs w:val="18"/>
              </w:rPr>
              <w:t>2.000</w:t>
            </w:r>
          </w:p>
        </w:tc>
      </w:tr>
      <w:tr w:rsidR="00296F54" w:rsidRPr="005B13F2" w:rsidTr="0019337E">
        <w:trPr>
          <w:trHeight w:val="60"/>
        </w:trPr>
        <w:tc>
          <w:tcPr>
            <w:tcW w:w="3105" w:type="dxa"/>
          </w:tcPr>
          <w:p w:rsidR="00296F54" w:rsidRPr="00C118D4" w:rsidRDefault="00296F54" w:rsidP="0019337E">
            <w:pPr>
              <w:pStyle w:val="ProductList-Body"/>
              <w:rPr>
                <w:rFonts w:cs="Tahoma"/>
                <w:color w:val="000000" w:themeColor="text1"/>
                <w:szCs w:val="18"/>
              </w:rPr>
            </w:pPr>
            <w:r>
              <w:rPr>
                <w:rFonts w:cs="Tahoma"/>
                <w:color w:val="000000" w:themeColor="text1"/>
                <w:szCs w:val="18"/>
              </w:rPr>
              <w:t>Servidor</w:t>
            </w:r>
          </w:p>
        </w:tc>
        <w:tc>
          <w:tcPr>
            <w:tcW w:w="3176" w:type="dxa"/>
            <w:vAlign w:val="center"/>
          </w:tcPr>
          <w:p w:rsidR="00296F54" w:rsidRPr="00C118D4" w:rsidRDefault="00296F54" w:rsidP="0019337E">
            <w:pPr>
              <w:pStyle w:val="ProductList-Body"/>
              <w:jc w:val="center"/>
              <w:rPr>
                <w:color w:val="000000" w:themeColor="text1"/>
                <w:szCs w:val="18"/>
              </w:rPr>
            </w:pPr>
            <w:r>
              <w:rPr>
                <w:color w:val="000000" w:themeColor="text1"/>
                <w:szCs w:val="18"/>
              </w:rPr>
              <w:t>400</w:t>
            </w:r>
          </w:p>
        </w:tc>
      </w:tr>
      <w:tr w:rsidR="00296F54" w:rsidRPr="005B13F2" w:rsidTr="0019337E">
        <w:trPr>
          <w:trHeight w:val="60"/>
        </w:trPr>
        <w:tc>
          <w:tcPr>
            <w:tcW w:w="3105" w:type="dxa"/>
          </w:tcPr>
          <w:p w:rsidR="00296F54" w:rsidRPr="00C118D4" w:rsidRDefault="00296F54" w:rsidP="0019337E">
            <w:pPr>
              <w:pStyle w:val="ProductList-Body"/>
              <w:rPr>
                <w:rFonts w:cs="Tahoma"/>
                <w:color w:val="000000" w:themeColor="text1"/>
                <w:szCs w:val="18"/>
              </w:rPr>
            </w:pPr>
            <w:r>
              <w:rPr>
                <w:rFonts w:cs="Tahoma"/>
                <w:color w:val="000000" w:themeColor="text1"/>
                <w:szCs w:val="18"/>
              </w:rPr>
              <w:t>Licencia CAL</w:t>
            </w:r>
          </w:p>
        </w:tc>
        <w:tc>
          <w:tcPr>
            <w:tcW w:w="3176" w:type="dxa"/>
            <w:vAlign w:val="center"/>
          </w:tcPr>
          <w:p w:rsidR="00296F54" w:rsidRPr="00C118D4" w:rsidRDefault="00296F54" w:rsidP="0019337E">
            <w:pPr>
              <w:pStyle w:val="ProductList-Body"/>
              <w:jc w:val="center"/>
              <w:rPr>
                <w:color w:val="000000" w:themeColor="text1"/>
                <w:szCs w:val="18"/>
              </w:rPr>
            </w:pPr>
            <w:r>
              <w:rPr>
                <w:color w:val="000000" w:themeColor="text1"/>
                <w:szCs w:val="18"/>
              </w:rPr>
              <w:t>400</w:t>
            </w:r>
          </w:p>
        </w:tc>
      </w:tr>
    </w:tbl>
    <w:p w:rsidR="00296F54" w:rsidRPr="00483B32" w:rsidRDefault="00296F54" w:rsidP="00296F54">
      <w:pPr>
        <w:ind w:firstLine="180"/>
      </w:pPr>
    </w:p>
    <w:p w:rsidR="00296F54" w:rsidRPr="00655696" w:rsidRDefault="00296F54" w:rsidP="00296F54">
      <w:pPr>
        <w:pStyle w:val="ProductList-Body"/>
        <w:spacing w:after="120"/>
        <w:rPr>
          <w:lang w:val="es-ES"/>
        </w:rPr>
      </w:pPr>
      <w:r w:rsidRPr="00655696">
        <w:rPr>
          <w:rFonts w:ascii="Segoe UI" w:hAnsi="Segoe UI"/>
          <w:color w:val="000000" w:themeColor="text1"/>
          <w:szCs w:val="18"/>
          <w:lang w:val="es-ES"/>
        </w:rPr>
        <w:t>Se tiene derecho a los incidentes durante el periodo de vigencia de la cobertura de SA y están disponibles para su uso desde el inicio de la cobertura de SA, independientemente de si eligió fraccionar los pagos. Las adquisiciones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rsidR="00296F54" w:rsidRPr="00655696" w:rsidRDefault="00296F54" w:rsidP="00296F54">
      <w:pPr>
        <w:pStyle w:val="ProductList-Body"/>
        <w:rPr>
          <w:lang w:val="es-ES"/>
        </w:rPr>
      </w:pPr>
      <w:r w:rsidRPr="00655696">
        <w:rPr>
          <w:rFonts w:ascii="Segoe UI" w:hAnsi="Segoe UI"/>
          <w:color w:val="000000" w:themeColor="text1"/>
          <w:szCs w:val="18"/>
          <w:lang w:val="es-ES"/>
        </w:rPr>
        <w:t xml:space="preserve">El acceso al soporte telefónico local está disponible durante el horario laboral en el sitio web </w:t>
      </w:r>
      <w:hyperlink r:id="rId23" w:history="1">
        <w:r w:rsidRPr="00655696">
          <w:rPr>
            <w:rStyle w:val="Hyperlink"/>
            <w:rFonts w:ascii="Segoe UI" w:hAnsi="Segoe UI"/>
            <w:szCs w:val="18"/>
            <w:lang w:val="es-ES"/>
          </w:rPr>
          <w:t>http://support.microsoft.com/gp/saphone</w:t>
        </w:r>
      </w:hyperlink>
      <w:r w:rsidRPr="00655696">
        <w:rPr>
          <w:rFonts w:ascii="Segoe UI" w:hAnsi="Segoe UI"/>
          <w:color w:val="000000" w:themeColor="text1"/>
          <w:szCs w:val="18"/>
          <w:lang w:val="es-ES"/>
        </w:rP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laboral se determina según la región. El servicio de soporte telefónico no está disponible en todos los idiomas ni en todas las regiones.</w:t>
      </w:r>
    </w:p>
    <w:p w:rsidR="00296F54" w:rsidRPr="00655696" w:rsidRDefault="00296F54" w:rsidP="00296F54">
      <w:pPr>
        <w:pStyle w:val="Thirdheading"/>
        <w:rPr>
          <w:lang w:val="es-ES"/>
        </w:rPr>
      </w:pPr>
      <w:r w:rsidRPr="00655696">
        <w:rPr>
          <w:b/>
          <w:lang w:val="es-ES"/>
        </w:rPr>
        <w:t xml:space="preserve">Incidentes basados en web </w:t>
      </w:r>
    </w:p>
    <w:p w:rsidR="00296F54" w:rsidRPr="00655696" w:rsidRDefault="00296F54" w:rsidP="00296F54">
      <w:pPr>
        <w:pStyle w:val="ProductList-Body"/>
        <w:rPr>
          <w:lang w:val="es-ES"/>
        </w:rPr>
      </w:pPr>
      <w:r w:rsidRPr="00655696">
        <w:rPr>
          <w:rFonts w:ascii="Segoe UI" w:hAnsi="Segoe UI"/>
          <w:color w:val="000000" w:themeColor="text1"/>
          <w:szCs w:val="18"/>
          <w:lang w:val="es-ES"/>
        </w:rPr>
        <w:t>Cualquier adquisición con Ediciones Standard, Enterprise y Datacenter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Consulte las Variaciones del horario laboral según la región en el apartado “Incidentes de Soporte Telefónico” anterior.</w:t>
      </w:r>
    </w:p>
    <w:p w:rsidR="00296F54" w:rsidRPr="00655696" w:rsidRDefault="00296F54" w:rsidP="00296F54">
      <w:pPr>
        <w:pStyle w:val="ProductList-Body"/>
        <w:spacing w:before="120" w:after="120"/>
        <w:rPr>
          <w:lang w:val="es-ES"/>
        </w:rPr>
      </w:pPr>
      <w:r w:rsidRPr="00655696">
        <w:rPr>
          <w:rFonts w:ascii="Segoe UI" w:hAnsi="Segoe UI"/>
          <w:color w:val="000000" w:themeColor="text1"/>
          <w:szCs w:val="18"/>
          <w:lang w:val="es-ES"/>
        </w:rPr>
        <w:t xml:space="preserve">Los incidentes iniciados por teléfono se incluirán en el balance disponible de incidentes telefónicos en el momento de la resolución. Los incidentes iniciados a través de la web se solucionan según sea necesario y se realizarán a través de la web, correo electrónico y otros medios electrónicos. Los incidentes iniciados a través de la web que se convierten a incidentes de resolución telefónica se incluirán en el balance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 </w:t>
      </w:r>
    </w:p>
    <w:p w:rsidR="00296F54" w:rsidRPr="005A6CF9" w:rsidRDefault="00296F54" w:rsidP="00296F54">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 xml:space="preserve">La cobertura de SA es necesaria para el software de servidor y las CAL relacionadas para optar a incidentes de Soporte técnico web. Solo puede presentar solicitudes de Soporte técnico para la resolución de problemas basado en web para aquellas copias licenciadas de software de servidor con cobertura de SA. Los incidentes de Soporte web no se pueden transmitir entre licencias. </w:t>
      </w:r>
      <w:r w:rsidRPr="005A6CF9">
        <w:rPr>
          <w:rFonts w:ascii="Segoe UI" w:hAnsi="Segoe UI"/>
          <w:color w:val="000000" w:themeColor="text1"/>
          <w:szCs w:val="18"/>
          <w:lang w:val="es-ES"/>
        </w:rPr>
        <w:t>Consulte los Términos de Productos para obtener más detalles sobre la cesión o la reasignación de licencias a servidores físicos.</w:t>
      </w:r>
    </w:p>
    <w:p w:rsidR="00296F54" w:rsidRDefault="00296F54" w:rsidP="00296F54">
      <w:pPr>
        <w:pStyle w:val="Thirdheading"/>
        <w:rPr>
          <w:b/>
          <w:lang w:val="es-ES"/>
        </w:rPr>
      </w:pPr>
    </w:p>
    <w:p w:rsidR="00296F54" w:rsidRDefault="00296F54" w:rsidP="00296F54">
      <w:pPr>
        <w:pStyle w:val="Thirdheading"/>
        <w:rPr>
          <w:b/>
          <w:lang w:val="es-ES"/>
        </w:rPr>
      </w:pPr>
    </w:p>
    <w:p w:rsidR="00296F54" w:rsidRPr="00655696" w:rsidRDefault="00296F54" w:rsidP="00296F54">
      <w:pPr>
        <w:pStyle w:val="Thirdheading"/>
        <w:rPr>
          <w:lang w:val="es-ES"/>
        </w:rPr>
      </w:pPr>
      <w:r w:rsidRPr="00655696">
        <w:rPr>
          <w:b/>
          <w:lang w:val="es-ES"/>
        </w:rPr>
        <w:t>Contactos de soporte</w:t>
      </w:r>
    </w:p>
    <w:p w:rsidR="00296F54" w:rsidRPr="00655696" w:rsidRDefault="00296F54" w:rsidP="00296F54">
      <w:pPr>
        <w:spacing w:line="240" w:lineRule="auto"/>
        <w:rPr>
          <w:lang w:val="es-ES"/>
        </w:rPr>
      </w:pPr>
      <w:r w:rsidRPr="00655696">
        <w:rPr>
          <w:rFonts w:cs="Tahoma"/>
          <w:color w:val="000000" w:themeColor="text1"/>
          <w:szCs w:val="18"/>
          <w:lang w:val="es-ES"/>
        </w:rPr>
        <w:t xml:space="preserve">El </w:t>
      </w:r>
      <w:r w:rsidRPr="00655696">
        <w:rPr>
          <w:color w:val="000000" w:themeColor="text1"/>
          <w:szCs w:val="18"/>
          <w:lang w:val="es-ES"/>
        </w:rPr>
        <w:t>número</w:t>
      </w:r>
      <w:r w:rsidRPr="00655696">
        <w:rPr>
          <w:rFonts w:cs="Tahoma"/>
          <w:color w:val="000000" w:themeColor="text1"/>
          <w:szCs w:val="18"/>
          <w:lang w:val="es-ES"/>
        </w:rPr>
        <w:t xml:space="preserve"> de contactos de soporte permitidos por Cuenta de Compra se indica a continuación. Los contactos deben incluir los nombres de personas, aunque no formen parte de la organización. Sin embargo, es posible que una organización, un departamento o un nombre de grupo no aparezcan como contacto.</w:t>
      </w:r>
    </w:p>
    <w:p w:rsidR="00296F54" w:rsidRPr="00655696" w:rsidRDefault="00296F54" w:rsidP="00296F54">
      <w:pPr>
        <w:spacing w:line="240" w:lineRule="auto"/>
        <w:rPr>
          <w:lang w:val="es-ES"/>
        </w:rPr>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296F54" w:rsidRPr="005B13F2" w:rsidTr="0019337E">
        <w:trPr>
          <w:trHeight w:val="178"/>
          <w:tblHeader/>
        </w:trPr>
        <w:tc>
          <w:tcPr>
            <w:tcW w:w="4140" w:type="dxa"/>
            <w:shd w:val="clear" w:color="auto" w:fill="8064A2"/>
            <w:vAlign w:val="center"/>
          </w:tcPr>
          <w:p w:rsidR="00296F54" w:rsidRPr="002123CF" w:rsidRDefault="00296F54" w:rsidP="0019337E">
            <w:pPr>
              <w:pStyle w:val="ProductList-Body"/>
              <w:rPr>
                <w:rFonts w:ascii="Segoe UI" w:hAnsi="Segoe UI"/>
                <w:color w:val="FFFFFF" w:themeColor="background1"/>
                <w:szCs w:val="18"/>
              </w:rPr>
            </w:pPr>
            <w:r>
              <w:rPr>
                <w:rFonts w:ascii="Segoe UI" w:hAnsi="Segoe UI"/>
                <w:color w:val="FFFFFF" w:themeColor="background1"/>
                <w:szCs w:val="18"/>
              </w:rPr>
              <w:t>Beneficios</w:t>
            </w:r>
          </w:p>
        </w:tc>
        <w:tc>
          <w:tcPr>
            <w:tcW w:w="2430" w:type="dxa"/>
            <w:shd w:val="clear" w:color="auto" w:fill="8064A2"/>
            <w:vAlign w:val="center"/>
          </w:tcPr>
          <w:p w:rsidR="00296F54" w:rsidRPr="002123CF" w:rsidRDefault="00296F54"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Cuenta de Compra</w:t>
            </w:r>
          </w:p>
        </w:tc>
      </w:tr>
      <w:tr w:rsidR="00296F54" w:rsidRPr="005B13F2" w:rsidTr="0019337E">
        <w:trPr>
          <w:trHeight w:val="236"/>
        </w:trPr>
        <w:tc>
          <w:tcPr>
            <w:tcW w:w="4140" w:type="dxa"/>
            <w:vAlign w:val="center"/>
          </w:tcPr>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 xml:space="preserve">N.º de contactos de soporte telefónico para la </w:t>
            </w:r>
            <w:r w:rsidRPr="00655696">
              <w:rPr>
                <w:rFonts w:ascii="Segoe UI" w:hAnsi="Segoe UI"/>
                <w:color w:val="000000" w:themeColor="text1"/>
                <w:szCs w:val="18"/>
                <w:lang w:val="es-ES"/>
              </w:rPr>
              <w:lastRenderedPageBreak/>
              <w:t>resolución de problemas</w:t>
            </w:r>
          </w:p>
        </w:tc>
        <w:tc>
          <w:tcPr>
            <w:tcW w:w="243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lastRenderedPageBreak/>
              <w:t>Según sea necesario</w:t>
            </w:r>
          </w:p>
        </w:tc>
      </w:tr>
      <w:tr w:rsidR="00296F54" w:rsidRPr="005B13F2" w:rsidTr="0019337E">
        <w:trPr>
          <w:trHeight w:val="236"/>
        </w:trPr>
        <w:tc>
          <w:tcPr>
            <w:tcW w:w="4140" w:type="dxa"/>
            <w:vAlign w:val="center"/>
          </w:tcPr>
          <w:p w:rsidR="00296F54" w:rsidRPr="005A6CF9" w:rsidRDefault="00296F54" w:rsidP="0019337E">
            <w:pPr>
              <w:pStyle w:val="ProductList-Body"/>
              <w:rPr>
                <w:rFonts w:ascii="Segoe UI" w:hAnsi="Segoe UI"/>
                <w:color w:val="000000" w:themeColor="text1"/>
                <w:szCs w:val="18"/>
                <w:lang w:val="es-ES"/>
              </w:rPr>
            </w:pPr>
            <w:r w:rsidRPr="005A6CF9">
              <w:rPr>
                <w:rFonts w:ascii="Segoe UI" w:hAnsi="Segoe UI"/>
                <w:color w:val="000000" w:themeColor="text1"/>
                <w:szCs w:val="18"/>
                <w:lang w:val="es-ES"/>
              </w:rPr>
              <w:lastRenderedPageBreak/>
              <w:t>N.º de contactos de Soporte web autorizados</w:t>
            </w:r>
          </w:p>
        </w:tc>
        <w:tc>
          <w:tcPr>
            <w:tcW w:w="2430" w:type="dxa"/>
            <w:vAlign w:val="center"/>
          </w:tcPr>
          <w:p w:rsidR="00296F54" w:rsidRPr="002123CF" w:rsidRDefault="00296F54"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296F54" w:rsidRPr="00655696" w:rsidRDefault="00296F54" w:rsidP="00296F54">
      <w:pPr>
        <w:pStyle w:val="Thirdheading"/>
        <w:rPr>
          <w:lang w:val="es-ES"/>
        </w:rPr>
      </w:pPr>
      <w:bookmarkStart w:id="48" w:name="_Toc240899166"/>
      <w:r w:rsidRPr="00655696">
        <w:rPr>
          <w:b/>
          <w:lang w:val="es-ES"/>
        </w:rPr>
        <w:t>Nivel de Servicio para Clientes con Software Assurance</w:t>
      </w:r>
      <w:bookmarkEnd w:id="48"/>
    </w:p>
    <w:p w:rsidR="00296F54" w:rsidRPr="00655696" w:rsidRDefault="00296F54" w:rsidP="00296F54">
      <w:pPr>
        <w:pStyle w:val="ProductList-Body"/>
        <w:rPr>
          <w:lang w:val="es-ES"/>
        </w:rPr>
      </w:pPr>
      <w:r w:rsidRPr="00655696">
        <w:rPr>
          <w:rFonts w:ascii="Segoe UI" w:hAnsi="Segoe UI"/>
          <w:color w:val="000000" w:themeColor="text1"/>
          <w:szCs w:val="18"/>
          <w:lang w:val="es-ES"/>
        </w:rPr>
        <w:t>Los contactos designados por sus organizaciones podrán presentar solicitudes de soporte por teléfono o de forma electrónica, excepto en los casos de Gravedad A y B que se deben presentar por teléfono, como se establece a continuación. Será su responsabilidad establecer el nivel de gravedad inicial al ponerse en contacto con nosotros y podrán cambiar el nivel de gravedad en cualquier momento. Los tiempos de respuesta estimados por nivel de gravedad y sus responsabilidades se definen en la siguiente tabla:</w:t>
      </w:r>
    </w:p>
    <w:p w:rsidR="00296F54" w:rsidRPr="00655696" w:rsidRDefault="00296F54" w:rsidP="00296F5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296F54"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296F54" w:rsidRPr="002123CF" w:rsidRDefault="00296F5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Gravedad</w:t>
            </w:r>
          </w:p>
        </w:tc>
        <w:tc>
          <w:tcPr>
            <w:tcW w:w="2790" w:type="dxa"/>
            <w:shd w:val="clear" w:color="auto" w:fill="FFC000" w:themeFill="accent4"/>
            <w:tcMar>
              <w:top w:w="0" w:type="dxa"/>
              <w:left w:w="108" w:type="dxa"/>
              <w:bottom w:w="0" w:type="dxa"/>
              <w:right w:w="108" w:type="dxa"/>
            </w:tcMar>
            <w:vAlign w:val="center"/>
          </w:tcPr>
          <w:p w:rsidR="00296F54" w:rsidRPr="002123CF" w:rsidRDefault="00296F5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Situación</w:t>
            </w:r>
          </w:p>
        </w:tc>
        <w:tc>
          <w:tcPr>
            <w:tcW w:w="3690" w:type="dxa"/>
            <w:shd w:val="clear" w:color="auto" w:fill="FFC000" w:themeFill="accent4"/>
            <w:tcMar>
              <w:top w:w="0" w:type="dxa"/>
              <w:left w:w="108" w:type="dxa"/>
              <w:bottom w:w="0" w:type="dxa"/>
              <w:right w:w="108" w:type="dxa"/>
            </w:tcMar>
            <w:vAlign w:val="center"/>
          </w:tcPr>
          <w:p w:rsidR="00296F54" w:rsidRPr="002123CF" w:rsidRDefault="00296F5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Nuestra respuesta esperada</w:t>
            </w:r>
          </w:p>
        </w:tc>
        <w:tc>
          <w:tcPr>
            <w:tcW w:w="2880" w:type="dxa"/>
            <w:shd w:val="clear" w:color="auto" w:fill="FFC000" w:themeFill="accent4"/>
            <w:tcMar>
              <w:top w:w="0" w:type="dxa"/>
              <w:left w:w="108" w:type="dxa"/>
              <w:bottom w:w="0" w:type="dxa"/>
              <w:right w:w="108" w:type="dxa"/>
            </w:tcMar>
            <w:vAlign w:val="center"/>
          </w:tcPr>
          <w:p w:rsidR="00296F54" w:rsidRPr="002123CF" w:rsidRDefault="00296F5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Su respuesta esperada</w:t>
            </w:r>
          </w:p>
        </w:tc>
      </w:tr>
      <w:tr w:rsidR="00296F54" w:rsidRPr="00717EC0" w:rsidTr="0019337E">
        <w:tc>
          <w:tcPr>
            <w:tcW w:w="1170" w:type="dxa"/>
            <w:tcMar>
              <w:top w:w="0" w:type="dxa"/>
              <w:left w:w="108" w:type="dxa"/>
              <w:bottom w:w="0" w:type="dxa"/>
              <w:right w:w="108" w:type="dxa"/>
            </w:tcMa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 xml:space="preserve">A. Presentación por teléfono </w:t>
            </w:r>
          </w:p>
        </w:tc>
        <w:tc>
          <w:tcPr>
            <w:tcW w:w="279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 xml:space="preserve">Impacto crítico para el negocio: </w:t>
            </w:r>
          </w:p>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Pérdida o degradación importante de servicios en su negocio</w:t>
            </w:r>
          </w:p>
        </w:tc>
        <w:tc>
          <w:tcPr>
            <w:tcW w:w="369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Respuesta a la primera llamada en 2 horas o menos conforme a la oferta de soporte técnico</w:t>
            </w:r>
          </w:p>
          <w:p w:rsidR="00296F54" w:rsidRPr="00655696" w:rsidRDefault="00296F54" w:rsidP="0019337E">
            <w:pPr>
              <w:pStyle w:val="ProductList-Body"/>
              <w:rPr>
                <w:lang w:val="es-ES"/>
              </w:rPr>
            </w:pPr>
            <w:r w:rsidRPr="00655696">
              <w:rPr>
                <w:rFonts w:ascii="Segoe UI" w:hAnsi="Segoe UI"/>
                <w:color w:val="000000" w:themeColor="text1"/>
                <w:szCs w:val="18"/>
                <w:lang w:val="es-ES"/>
              </w:rPr>
              <w:t>Recursos de Microsoft in situ según lo solicitado.</w:t>
            </w:r>
          </w:p>
          <w:p w:rsidR="00296F54" w:rsidRPr="00655696" w:rsidRDefault="00296F54" w:rsidP="0019337E">
            <w:pPr>
              <w:pStyle w:val="ProductList-Body"/>
              <w:rPr>
                <w:lang w:val="es-ES"/>
              </w:rPr>
            </w:pPr>
            <w:r w:rsidRPr="00655696">
              <w:rPr>
                <w:rFonts w:ascii="Segoe UI" w:hAnsi="Segoe UI"/>
                <w:color w:val="000000" w:themeColor="text1"/>
                <w:szCs w:val="18"/>
                <w:lang w:val="es-ES"/>
              </w:rPr>
              <w:t>Esfuerzo continuo durante horario 24x7</w:t>
            </w:r>
          </w:p>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Notificación de Directores senior en Microsoft según la oferta de soporte técnico</w:t>
            </w:r>
          </w:p>
        </w:tc>
        <w:tc>
          <w:tcPr>
            <w:tcW w:w="288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Asignación de los recursos adecuados para mantener un esfuerzo continuo durante horario 24x7</w:t>
            </w:r>
            <w:r w:rsidRPr="00655696">
              <w:rPr>
                <w:rFonts w:ascii="Segoe UI" w:hAnsi="Segoe UI"/>
                <w:color w:val="000000" w:themeColor="text1"/>
                <w:szCs w:val="18"/>
                <w:vertAlign w:val="superscript"/>
                <w:lang w:val="es-ES"/>
              </w:rPr>
              <w:t>2</w:t>
            </w:r>
          </w:p>
          <w:p w:rsidR="00296F54" w:rsidRPr="00655696" w:rsidRDefault="00296F54" w:rsidP="0019337E">
            <w:pPr>
              <w:pStyle w:val="ProductList-Body"/>
              <w:rPr>
                <w:lang w:val="es-ES"/>
              </w:rPr>
            </w:pPr>
            <w:r w:rsidRPr="00655696">
              <w:rPr>
                <w:rFonts w:ascii="Segoe UI" w:hAnsi="Segoe UI"/>
                <w:color w:val="000000" w:themeColor="text1"/>
                <w:szCs w:val="18"/>
                <w:lang w:val="es-ES"/>
              </w:rPr>
              <w:t>Acceso y respuesta rápidos de la autoridad de control de cambios</w:t>
            </w:r>
          </w:p>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Notificación de la administración</w:t>
            </w:r>
          </w:p>
        </w:tc>
      </w:tr>
      <w:tr w:rsidR="00296F54" w:rsidRPr="005A6CF9" w:rsidTr="0019337E">
        <w:tc>
          <w:tcPr>
            <w:tcW w:w="1170" w:type="dxa"/>
            <w:tcMar>
              <w:top w:w="0" w:type="dxa"/>
              <w:left w:w="108" w:type="dxa"/>
              <w:bottom w:w="0" w:type="dxa"/>
              <w:right w:w="108" w:type="dxa"/>
            </w:tcMa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 xml:space="preserve">B. Presentación por teléfono </w:t>
            </w:r>
          </w:p>
        </w:tc>
        <w:tc>
          <w:tcPr>
            <w:tcW w:w="279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 xml:space="preserve">Impacto moderado para el negocio: </w:t>
            </w:r>
          </w:p>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Su negocio experimenta una pérdida o una degradación moderada de los servicios, pero se puede seguir trabajando razonablemente de forma parcial.</w:t>
            </w:r>
          </w:p>
        </w:tc>
        <w:tc>
          <w:tcPr>
            <w:tcW w:w="369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Respuesta a la primera llamada en 4 horas o menos conforme a la oferta de soporte técnico</w:t>
            </w:r>
          </w:p>
          <w:p w:rsidR="00296F54" w:rsidRPr="00655696" w:rsidRDefault="00296F54" w:rsidP="0019337E">
            <w:pPr>
              <w:pStyle w:val="ProductList-Body"/>
              <w:rPr>
                <w:lang w:val="es-ES"/>
              </w:rPr>
            </w:pPr>
            <w:r w:rsidRPr="00655696">
              <w:rPr>
                <w:rFonts w:ascii="Segoe UI" w:hAnsi="Segoe UI"/>
                <w:color w:val="000000" w:themeColor="text1"/>
                <w:szCs w:val="18"/>
                <w:lang w:val="es-ES"/>
              </w:rPr>
              <w:t>Esfuerzo solo durante el Horario Comercial</w:t>
            </w:r>
            <w:r w:rsidRPr="00655696">
              <w:rPr>
                <w:rFonts w:ascii="Segoe UI" w:hAnsi="Segoe UI"/>
                <w:color w:val="000000" w:themeColor="text1"/>
                <w:szCs w:val="18"/>
                <w:vertAlign w:val="superscript"/>
                <w:lang w:val="es-ES"/>
              </w:rPr>
              <w:t>1</w:t>
            </w:r>
            <w:r w:rsidRPr="00655696">
              <w:rPr>
                <w:rFonts w:ascii="Segoe UI" w:hAnsi="Segoe UI"/>
                <w:color w:val="000000" w:themeColor="text1"/>
                <w:szCs w:val="18"/>
                <w:lang w:val="es-ES"/>
              </w:rPr>
              <w:t xml:space="preserve"> normal</w:t>
            </w:r>
          </w:p>
          <w:p w:rsidR="00296F54" w:rsidRPr="00655696" w:rsidRDefault="00296F54" w:rsidP="0019337E">
            <w:pPr>
              <w:pStyle w:val="ProductList-Body"/>
              <w:rPr>
                <w:rFonts w:ascii="Segoe UI" w:hAnsi="Segoe UI"/>
                <w:color w:val="000000" w:themeColor="text1"/>
                <w:szCs w:val="18"/>
                <w:lang w:val="es-ES"/>
              </w:rPr>
            </w:pPr>
          </w:p>
        </w:tc>
        <w:tc>
          <w:tcPr>
            <w:tcW w:w="288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Asignación de los recursos adecuados para mantener un esfuerzo continuo durante Horario laboral</w:t>
            </w:r>
            <w:r w:rsidRPr="00655696">
              <w:rPr>
                <w:rFonts w:ascii="Segoe UI" w:hAnsi="Segoe UI"/>
                <w:color w:val="000000" w:themeColor="text1"/>
                <w:szCs w:val="18"/>
                <w:vertAlign w:val="superscript"/>
                <w:lang w:val="es-ES"/>
              </w:rPr>
              <w:t>1</w:t>
            </w:r>
            <w:r w:rsidRPr="00655696">
              <w:rPr>
                <w:rFonts w:ascii="Segoe UI" w:hAnsi="Segoe UI"/>
                <w:color w:val="000000" w:themeColor="text1"/>
                <w:szCs w:val="18"/>
                <w:lang w:val="es-ES"/>
              </w:rPr>
              <w:t xml:space="preserve"> normal</w:t>
            </w:r>
          </w:p>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Acceso y respuesta de la autoridad de control de cambios en 4 horas dentro del Horario laboral normal</w:t>
            </w:r>
            <w:r w:rsidRPr="00655696">
              <w:rPr>
                <w:rFonts w:ascii="Segoe UI" w:hAnsi="Segoe UI"/>
                <w:color w:val="000000" w:themeColor="text1"/>
                <w:szCs w:val="18"/>
                <w:vertAlign w:val="superscript"/>
                <w:lang w:val="es-ES"/>
              </w:rPr>
              <w:t>1</w:t>
            </w:r>
          </w:p>
        </w:tc>
      </w:tr>
      <w:tr w:rsidR="00296F54" w:rsidRPr="005A6CF9" w:rsidTr="0019337E">
        <w:tc>
          <w:tcPr>
            <w:tcW w:w="1170" w:type="dxa"/>
            <w:tcMar>
              <w:top w:w="0" w:type="dxa"/>
              <w:left w:w="108" w:type="dxa"/>
              <w:bottom w:w="0" w:type="dxa"/>
              <w:right w:w="108" w:type="dxa"/>
            </w:tcMar>
          </w:tcPr>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C. Presentación por teléfono o Web</w:t>
            </w:r>
          </w:p>
        </w:tc>
        <w:tc>
          <w:tcPr>
            <w:tcW w:w="279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 xml:space="preserve">Impacto mínimo para el negocio: </w:t>
            </w:r>
          </w:p>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Su negocio funciona sustancialmente con impedimentos menores o sin impedimentos de los servicios.</w:t>
            </w:r>
          </w:p>
        </w:tc>
        <w:tc>
          <w:tcPr>
            <w:tcW w:w="369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Respuesta a la primera llamada en un día laboral o menos conforme a la oferta de soporte técnico</w:t>
            </w:r>
          </w:p>
          <w:p w:rsidR="00296F54" w:rsidRPr="00655696" w:rsidRDefault="00296F54" w:rsidP="0019337E">
            <w:pPr>
              <w:pStyle w:val="ProductList-Body"/>
              <w:rPr>
                <w:lang w:val="es-ES"/>
              </w:rPr>
            </w:pPr>
            <w:r w:rsidRPr="00655696">
              <w:rPr>
                <w:rFonts w:ascii="Segoe UI" w:hAnsi="Segoe UI"/>
                <w:color w:val="000000" w:themeColor="text1"/>
                <w:szCs w:val="18"/>
                <w:lang w:val="es-ES"/>
              </w:rPr>
              <w:t>Esfuerzo solo durante el Horario Comercial</w:t>
            </w:r>
            <w:r w:rsidRPr="00655696">
              <w:rPr>
                <w:rFonts w:ascii="Segoe UI" w:hAnsi="Segoe UI"/>
                <w:color w:val="000000" w:themeColor="text1"/>
                <w:szCs w:val="18"/>
                <w:vertAlign w:val="superscript"/>
                <w:lang w:val="es-ES"/>
              </w:rPr>
              <w:t>1</w:t>
            </w:r>
            <w:r w:rsidRPr="00655696">
              <w:rPr>
                <w:rFonts w:ascii="Segoe UI" w:hAnsi="Segoe UI"/>
                <w:color w:val="000000" w:themeColor="text1"/>
                <w:szCs w:val="18"/>
                <w:lang w:val="es-ES"/>
              </w:rPr>
              <w:t xml:space="preserve"> normal</w:t>
            </w:r>
          </w:p>
          <w:p w:rsidR="00296F54" w:rsidRPr="00655696" w:rsidRDefault="00296F54" w:rsidP="0019337E">
            <w:pPr>
              <w:pStyle w:val="ProductList-Body"/>
              <w:rPr>
                <w:rFonts w:ascii="Segoe UI" w:hAnsi="Segoe UI"/>
                <w:color w:val="000000" w:themeColor="text1"/>
                <w:szCs w:val="18"/>
                <w:lang w:val="es-ES"/>
              </w:rPr>
            </w:pPr>
          </w:p>
        </w:tc>
        <w:tc>
          <w:tcPr>
            <w:tcW w:w="2880" w:type="dxa"/>
            <w:tcMar>
              <w:top w:w="0" w:type="dxa"/>
              <w:left w:w="108" w:type="dxa"/>
              <w:bottom w:w="0" w:type="dxa"/>
              <w:right w:w="108" w:type="dxa"/>
            </w:tcMar>
          </w:tcPr>
          <w:p w:rsidR="00296F54" w:rsidRPr="00655696" w:rsidRDefault="00296F54" w:rsidP="0019337E">
            <w:pPr>
              <w:pStyle w:val="ProductList-Body"/>
              <w:rPr>
                <w:lang w:val="es-ES"/>
              </w:rPr>
            </w:pPr>
            <w:r w:rsidRPr="00655696">
              <w:rPr>
                <w:rFonts w:ascii="Segoe UI" w:hAnsi="Segoe UI"/>
                <w:color w:val="000000" w:themeColor="text1"/>
                <w:szCs w:val="18"/>
                <w:lang w:val="es-ES"/>
              </w:rPr>
              <w:t>Información de contacto exacta de persona responsable del caso</w:t>
            </w:r>
          </w:p>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Respuesta dentro de un día laboral.</w:t>
            </w:r>
          </w:p>
        </w:tc>
      </w:tr>
    </w:tbl>
    <w:p w:rsidR="00296F54" w:rsidRPr="00655696" w:rsidRDefault="00296F54" w:rsidP="00296F54">
      <w:pPr>
        <w:pStyle w:val="ProductList-Body"/>
        <w:tabs>
          <w:tab w:val="clear" w:pos="158"/>
          <w:tab w:val="left" w:pos="180"/>
        </w:tabs>
        <w:rPr>
          <w:lang w:val="es-ES"/>
        </w:rPr>
      </w:pPr>
      <w:r w:rsidRPr="00655696">
        <w:rPr>
          <w:rFonts w:ascii="Segoe UI" w:hAnsi="Segoe UI"/>
          <w:color w:val="000000" w:themeColor="text1"/>
          <w:szCs w:val="18"/>
          <w:lang w:val="es-ES"/>
        </w:rPr>
        <w:t>1 Póngase en contacto con el representante de Microsoft para obtener información sobre el horario laboral local.</w:t>
      </w:r>
    </w:p>
    <w:p w:rsidR="00296F54" w:rsidRPr="00655696" w:rsidRDefault="00296F54" w:rsidP="00296F54">
      <w:pPr>
        <w:pStyle w:val="ProductList-Body"/>
        <w:tabs>
          <w:tab w:val="clear" w:pos="158"/>
          <w:tab w:val="left" w:pos="180"/>
        </w:tabs>
        <w:rPr>
          <w:lang w:val="es-ES"/>
        </w:rPr>
      </w:pPr>
      <w:r w:rsidRPr="00655696">
        <w:rPr>
          <w:rFonts w:ascii="Segoe UI" w:hAnsi="Segoe UI"/>
          <w:color w:val="000000" w:themeColor="text1"/>
          <w:szCs w:val="18"/>
          <w:lang w:val="es-ES"/>
        </w:rPr>
        <w:t>2 Podríamos vernos obligados a bajar el nivel de gravedad si usted no puede proporcionarnos los recursos o las respuestas necesarios que nos permitan continuar con nuestros esfuerzos para resolver el problema.</w:t>
      </w:r>
    </w:p>
    <w:p w:rsidR="00296F54" w:rsidRPr="00655696" w:rsidRDefault="00296F54" w:rsidP="00296F54">
      <w:pPr>
        <w:pStyle w:val="ProductList-Body"/>
        <w:spacing w:before="120" w:after="120"/>
        <w:rPr>
          <w:lang w:val="es-ES"/>
        </w:rPr>
      </w:pPr>
      <w:r w:rsidRPr="00655696">
        <w:rPr>
          <w:rFonts w:ascii="Segoe UI" w:hAnsi="Segoe UI"/>
          <w:color w:val="000000" w:themeColor="text1"/>
          <w:szCs w:val="18"/>
          <w:lang w:val="es-ES"/>
        </w:rPr>
        <w:t xml:space="preserve">Es posible que le solicitemos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rsidR="00296F54" w:rsidRPr="00655696" w:rsidRDefault="00296F54" w:rsidP="00296F54">
      <w:pPr>
        <w:pStyle w:val="ProductList-Body"/>
        <w:rPr>
          <w:lang w:val="es-ES"/>
        </w:rPr>
      </w:pPr>
      <w:r w:rsidRPr="00655696">
        <w:rPr>
          <w:rFonts w:ascii="Segoe UI" w:hAnsi="Segoe UI"/>
          <w:color w:val="000000" w:themeColor="text1"/>
          <w:szCs w:val="18"/>
          <w:lang w:val="es-ES"/>
        </w:rPr>
        <w:t>Usted es responsable de implementar los procedimientos necesarios para proteger la integridad y la seguridad de su software y sus datos del acceso no autorizado y de reconstruir los archivos perdidos o modificados producto de errores graves.</w:t>
      </w:r>
    </w:p>
    <w:p w:rsidR="00296F54" w:rsidRPr="00655696" w:rsidRDefault="00296F54" w:rsidP="00296F54">
      <w:pPr>
        <w:pStyle w:val="ProductList-Body"/>
        <w:rPr>
          <w:lang w:val="es-ES"/>
        </w:rPr>
      </w:pPr>
      <w:r w:rsidRPr="00655696">
        <w:rPr>
          <w:rFonts w:ascii="Segoe UI" w:hAnsi="Segoe UI"/>
          <w:color w:val="000000" w:themeColor="text1"/>
          <w:szCs w:val="18"/>
          <w:lang w:val="es-ES"/>
        </w:rPr>
        <w:t xml:space="preserve">Este beneficio de soporte técnico está vinculado a la inversión en SA y no a la versión. </w:t>
      </w:r>
    </w:p>
    <w:p w:rsidR="00296F54" w:rsidRPr="00655696" w:rsidRDefault="00296F54" w:rsidP="00296F54">
      <w:pPr>
        <w:pStyle w:val="Hdg1noborder"/>
        <w:spacing w:before="120"/>
        <w:rPr>
          <w:rFonts w:eastAsiaTheme="majorEastAsia"/>
          <w:lang w:val="es-ES"/>
        </w:rPr>
      </w:pPr>
      <w:bookmarkStart w:id="49" w:name="_New_Version_Rights_1"/>
      <w:bookmarkStart w:id="50" w:name="_Toc403380306"/>
      <w:bookmarkStart w:id="51" w:name="_Toc403985024"/>
      <w:bookmarkStart w:id="52" w:name="_Toc428279770"/>
      <w:bookmarkEnd w:id="49"/>
      <w:r w:rsidRPr="00655696">
        <w:rPr>
          <w:rFonts w:asciiTheme="majorHAnsi" w:eastAsiaTheme="majorEastAsia" w:hAnsiTheme="majorHAnsi" w:cstheme="majorBidi"/>
          <w:bCs/>
          <w:color w:val="FFC000" w:themeColor="accent4"/>
          <w:sz w:val="28"/>
          <w:szCs w:val="26"/>
          <w:lang w:val="es-ES"/>
        </w:rPr>
        <w:t>Beneficios del Producto certificado</w:t>
      </w:r>
      <w:bookmarkEnd w:id="50"/>
      <w:bookmarkEnd w:id="51"/>
      <w:bookmarkEnd w:id="52"/>
    </w:p>
    <w:p w:rsidR="00296F54" w:rsidRPr="00655696" w:rsidRDefault="00296F54" w:rsidP="00296F54">
      <w:pPr>
        <w:pStyle w:val="Heading2"/>
        <w:rPr>
          <w:lang w:val="es-ES"/>
        </w:rPr>
      </w:pPr>
      <w:bookmarkStart w:id="53" w:name="_Derecho_a_Versiones"/>
      <w:bookmarkStart w:id="54" w:name="_Toc403380307"/>
      <w:bookmarkStart w:id="55" w:name="_Toc403985025"/>
      <w:bookmarkStart w:id="56" w:name="_Toc428279771"/>
      <w:bookmarkEnd w:id="53"/>
      <w:r w:rsidRPr="00655696">
        <w:rPr>
          <w:lang w:val="es-ES"/>
        </w:rPr>
        <w:t>Derecho a Versiones Nuevas</w:t>
      </w:r>
      <w:bookmarkEnd w:id="54"/>
      <w:bookmarkEnd w:id="55"/>
      <w:bookmarkEnd w:id="56"/>
    </w:p>
    <w:p w:rsidR="00296F54" w:rsidRPr="00655696" w:rsidRDefault="00296F54" w:rsidP="00296F54">
      <w:pPr>
        <w:pStyle w:val="ProductList-Body"/>
        <w:rPr>
          <w:lang w:val="es-ES"/>
        </w:rPr>
      </w:pPr>
      <w:r w:rsidRPr="00655696">
        <w:rPr>
          <w:rFonts w:ascii="Segoe UI" w:hAnsi="Segoe UI"/>
          <w:color w:val="000000" w:themeColor="text1"/>
          <w:szCs w:val="18"/>
          <w:lang w:val="es-ES"/>
        </w:rPr>
        <w:t xml:space="preserve">“Derechos a nuevas versiones” significa, para cualquier Producto licenciado subyacente para el que se haya solicitado la cobertura de SA, el derecho a actualizar y a ejecutar, en lugar del Producto licenciado subyacente, la última versión de dicho Producto que se ponga a disposición durante el periodo de vigencia de cobertura. El uso de la nueva versión está sujeto a los términos de licencia para esa </w:t>
      </w:r>
      <w:r w:rsidRPr="00655696">
        <w:rPr>
          <w:rFonts w:ascii="Segoe UI" w:hAnsi="Segoe UI"/>
          <w:color w:val="000000" w:themeColor="text1"/>
          <w:szCs w:val="18"/>
          <w:lang w:val="es-ES"/>
        </w:rPr>
        <w:lastRenderedPageBreak/>
        <w:t>versión. Cuando adquiera licencias perpetuas a través de SA puede implementar las actualizaciones después de la expiración de su cobertura.</w:t>
      </w:r>
    </w:p>
    <w:p w:rsidR="00296F54" w:rsidRPr="00655696" w:rsidRDefault="00296F54" w:rsidP="00296F54">
      <w:pPr>
        <w:pStyle w:val="Heading2"/>
        <w:rPr>
          <w:lang w:val="es-ES"/>
        </w:rPr>
      </w:pPr>
      <w:bookmarkStart w:id="57" w:name="_Office_Multi_Language_1"/>
      <w:bookmarkStart w:id="58" w:name="_Toc403380308"/>
      <w:bookmarkStart w:id="59" w:name="_Toc403985026"/>
      <w:bookmarkStart w:id="60" w:name="_Toc428279772"/>
      <w:bookmarkEnd w:id="57"/>
      <w:r w:rsidRPr="00655696">
        <w:rPr>
          <w:lang w:val="es-ES"/>
        </w:rPr>
        <w:t>Office Multi Language Pack</w:t>
      </w:r>
      <w:bookmarkEnd w:id="58"/>
      <w:bookmarkEnd w:id="59"/>
      <w:bookmarkEnd w:id="60"/>
    </w:p>
    <w:p w:rsidR="00296F54" w:rsidRPr="00655696" w:rsidRDefault="00296F54" w:rsidP="00296F54">
      <w:pPr>
        <w:pStyle w:val="ProductList-Body"/>
        <w:rPr>
          <w:lang w:val="es-ES"/>
        </w:rPr>
      </w:pPr>
      <w:r w:rsidRPr="00655696">
        <w:rPr>
          <w:rFonts w:ascii="Segoe UI" w:hAnsi="Segoe UI"/>
          <w:color w:val="000000" w:themeColor="text1"/>
          <w:szCs w:val="18"/>
          <w:lang w:val="es-ES"/>
        </w:rPr>
        <w:t>Este beneficio le concede la opción de utilizar la última versión del Office Multi Language Pack con copias del software de Office System (consulte la siguiente tabla) que puede utilizar en virtud de las licencias aplicables. Cuando tenga derecho a utilizar el software en virtud de una licencia cualificada, tendrá derecho a usar Office Multi Language Pack con ese software. El derecho a utilizar Office Multi Language Pack expira en el momento de la expiración de los derechos en virtud de la licencia de Office System aplicable.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296F54" w:rsidRPr="005A6CF9" w:rsidTr="0019337E">
        <w:trPr>
          <w:trHeight w:val="60"/>
          <w:tblHeader/>
        </w:trPr>
        <w:tc>
          <w:tcPr>
            <w:tcW w:w="10800" w:type="dxa"/>
            <w:gridSpan w:val="3"/>
            <w:shd w:val="clear" w:color="auto" w:fill="FFC000" w:themeFill="accent4"/>
            <w:vAlign w:val="center"/>
          </w:tcPr>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FFFFFF" w:themeColor="background1"/>
                <w:szCs w:val="18"/>
                <w:lang w:val="es-ES"/>
              </w:rPr>
              <w:t>Productos del grupo de aplicaciones de Office System</w:t>
            </w:r>
          </w:p>
        </w:tc>
      </w:tr>
      <w:tr w:rsidR="00296F54" w:rsidRPr="00717EC0" w:rsidTr="0019337E">
        <w:trPr>
          <w:trHeight w:val="438"/>
        </w:trPr>
        <w:tc>
          <w:tcPr>
            <w:tcW w:w="3600" w:type="dxa"/>
          </w:tcPr>
          <w:p w:rsidR="00296F54" w:rsidRPr="00483B32" w:rsidRDefault="00296F54"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296F54" w:rsidRPr="00483B32" w:rsidRDefault="00296F54"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296F54" w:rsidRPr="00483B32" w:rsidRDefault="00296F54"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296F54" w:rsidRPr="00483B32" w:rsidRDefault="00296F54"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296F54" w:rsidRPr="00483B32" w:rsidRDefault="00296F54"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296F54" w:rsidRPr="00483B32" w:rsidRDefault="00296F54"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296F54" w:rsidRPr="00483B32" w:rsidRDefault="00296F54"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296F54" w:rsidRPr="00483B32" w:rsidRDefault="00296F54"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296F54" w:rsidRPr="00483B32" w:rsidRDefault="00296F54"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296F54" w:rsidRPr="00483B32" w:rsidRDefault="00296F54"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296F54" w:rsidRPr="00483B32" w:rsidRDefault="00296F54"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296F54" w:rsidRPr="00483B32" w:rsidRDefault="00296F54"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296F54" w:rsidRPr="00483B32" w:rsidRDefault="00296F54"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296F54" w:rsidRPr="00483B32" w:rsidRDefault="00296F54" w:rsidP="0019337E">
            <w:pPr>
              <w:pStyle w:val="ProductList-Body"/>
            </w:pPr>
            <w:r>
              <w:rPr>
                <w:rFonts w:ascii="Segoe UI" w:hAnsi="Segoe UI"/>
                <w:color w:val="000000" w:themeColor="text1"/>
                <w:szCs w:val="18"/>
              </w:rPr>
              <w:t>Office para Mac Standard 2011</w:t>
            </w:r>
            <w:r>
              <w:fldChar w:fldCharType="begin"/>
            </w:r>
            <w:r>
              <w:instrText>XE "Office para Mac Standard 2011"</w:instrText>
            </w:r>
            <w:r>
              <w:fldChar w:fldCharType="end"/>
            </w:r>
            <w:r>
              <w:rPr>
                <w:rFonts w:ascii="Segoe UI" w:hAnsi="Segoe UI"/>
                <w:color w:val="000000" w:themeColor="text1"/>
                <w:szCs w:val="18"/>
              </w:rPr>
              <w:t xml:space="preserve"> </w:t>
            </w:r>
          </w:p>
          <w:p w:rsidR="00296F54" w:rsidRPr="00483B32" w:rsidRDefault="00296F54" w:rsidP="0019337E">
            <w:pPr>
              <w:pStyle w:val="ProductList-Body"/>
            </w:pPr>
            <w:r>
              <w:rPr>
                <w:rFonts w:ascii="Segoe UI" w:hAnsi="Segoe UI"/>
                <w:color w:val="000000" w:themeColor="text1"/>
                <w:szCs w:val="18"/>
              </w:rPr>
              <w:t>Lync para Mac 2011</w:t>
            </w:r>
            <w:r>
              <w:fldChar w:fldCharType="begin"/>
            </w:r>
            <w:r>
              <w:instrText>XE "Lync para Mac 2011"</w:instrText>
            </w:r>
            <w:r>
              <w:fldChar w:fldCharType="end"/>
            </w:r>
          </w:p>
          <w:p w:rsidR="00296F54" w:rsidRPr="00483B32" w:rsidRDefault="00296F54" w:rsidP="0019337E">
            <w:pPr>
              <w:pStyle w:val="ProductList-Body"/>
            </w:pPr>
            <w:r>
              <w:rPr>
                <w:rFonts w:ascii="Segoe UI" w:hAnsi="Segoe UI"/>
                <w:color w:val="000000" w:themeColor="text1"/>
                <w:szCs w:val="18"/>
              </w:rPr>
              <w:t>Outlook para Mac 2011</w:t>
            </w:r>
            <w:r>
              <w:fldChar w:fldCharType="begin"/>
            </w:r>
            <w:r>
              <w:instrText>XE "Outlook para Mac 2011"</w:instrText>
            </w:r>
            <w:r>
              <w:fldChar w:fldCharType="end"/>
            </w:r>
          </w:p>
          <w:p w:rsidR="00296F54" w:rsidRPr="00483B32" w:rsidRDefault="00296F54" w:rsidP="0019337E">
            <w:pPr>
              <w:pStyle w:val="ProductList-Body"/>
            </w:pPr>
            <w:r>
              <w:rPr>
                <w:rFonts w:ascii="Segoe UI" w:hAnsi="Segoe UI"/>
                <w:color w:val="000000" w:themeColor="text1"/>
                <w:szCs w:val="18"/>
              </w:rPr>
              <w:t>PowerPoint para Mac 2011</w:t>
            </w:r>
            <w:r>
              <w:fldChar w:fldCharType="begin"/>
            </w:r>
            <w:r>
              <w:instrText>XE "PowerPoint para Mac 2011"</w:instrText>
            </w:r>
            <w:r>
              <w:fldChar w:fldCharType="end"/>
            </w:r>
          </w:p>
          <w:p w:rsidR="00296F54" w:rsidRPr="00483B32" w:rsidRDefault="00296F54" w:rsidP="0019337E">
            <w:pPr>
              <w:pStyle w:val="ProductList-Body"/>
            </w:pPr>
            <w:r>
              <w:rPr>
                <w:rFonts w:ascii="Segoe UI" w:hAnsi="Segoe UI"/>
                <w:color w:val="000000" w:themeColor="text1"/>
                <w:szCs w:val="18"/>
              </w:rPr>
              <w:t>Excel para Mac 2011</w:t>
            </w:r>
            <w:r>
              <w:fldChar w:fldCharType="begin"/>
            </w:r>
            <w:r>
              <w:instrText>XE "Excel para Mac 2011"</w:instrText>
            </w:r>
            <w:r>
              <w:fldChar w:fldCharType="end"/>
            </w:r>
          </w:p>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Word para Mac 2011</w:t>
            </w:r>
            <w:r>
              <w:fldChar w:fldCharType="begin"/>
            </w:r>
            <w:r>
              <w:instrText>XE "Word para Mac 2011"</w:instrText>
            </w:r>
            <w:r>
              <w:fldChar w:fldCharType="end"/>
            </w:r>
          </w:p>
        </w:tc>
      </w:tr>
    </w:tbl>
    <w:p w:rsidR="00296F54" w:rsidRPr="00655696" w:rsidRDefault="00296F54" w:rsidP="00296F54">
      <w:pPr>
        <w:pStyle w:val="ProductList-Body"/>
        <w:tabs>
          <w:tab w:val="clear" w:pos="158"/>
          <w:tab w:val="left" w:pos="180"/>
        </w:tabs>
        <w:rPr>
          <w:lang w:val="es-ES"/>
        </w:rPr>
      </w:pPr>
      <w:r w:rsidRPr="00655696">
        <w:rPr>
          <w:rFonts w:ascii="Segoe UI" w:hAnsi="Segoe UI"/>
          <w:color w:val="000000" w:themeColor="text1"/>
          <w:szCs w:val="18"/>
          <w:lang w:val="es-ES"/>
        </w:rPr>
        <w:t>Nota: La lista de productos del grupo de aplicaciones de Office System está sujeta a cambios.</w:t>
      </w:r>
    </w:p>
    <w:p w:rsidR="00296F54" w:rsidRPr="00655696" w:rsidRDefault="00296F54" w:rsidP="00296F54">
      <w:pPr>
        <w:rPr>
          <w:lang w:val="es-ES"/>
        </w:rPr>
      </w:pPr>
      <w:bookmarkStart w:id="61" w:name="_Office_Online_1"/>
      <w:bookmarkStart w:id="62" w:name="_Enhanced_Edition_Benefits_1"/>
      <w:bookmarkEnd w:id="43"/>
      <w:bookmarkEnd w:id="61"/>
      <w:bookmarkEnd w:id="62"/>
    </w:p>
    <w:p w:rsidR="00296F54" w:rsidRPr="00655696" w:rsidRDefault="00296F54" w:rsidP="00296F54">
      <w:pPr>
        <w:pStyle w:val="Heading2"/>
        <w:rPr>
          <w:lang w:val="es-ES"/>
        </w:rPr>
      </w:pPr>
      <w:bookmarkStart w:id="63" w:name="_Windows_Companion_Subscription"/>
      <w:bookmarkStart w:id="64" w:name="_Training_Vouchers"/>
      <w:bookmarkStart w:id="65" w:name="_E-Learning"/>
      <w:bookmarkStart w:id="66" w:name="_Toc403380310"/>
      <w:bookmarkStart w:id="67" w:name="_Toc403985028"/>
      <w:bookmarkStart w:id="68" w:name="_Toc428279773"/>
      <w:bookmarkEnd w:id="63"/>
      <w:bookmarkEnd w:id="64"/>
      <w:bookmarkEnd w:id="65"/>
      <w:r w:rsidRPr="00655696">
        <w:rPr>
          <w:lang w:val="es-ES"/>
        </w:rPr>
        <w:t>E-Learning</w:t>
      </w:r>
      <w:bookmarkEnd w:id="66"/>
      <w:bookmarkEnd w:id="67"/>
      <w:bookmarkEnd w:id="68"/>
    </w:p>
    <w:p w:rsidR="00296F54" w:rsidRPr="00655696" w:rsidRDefault="00296F54" w:rsidP="00296F54">
      <w:pPr>
        <w:pStyle w:val="ProductList-Body"/>
        <w:rPr>
          <w:lang w:val="es-ES"/>
        </w:rPr>
      </w:pPr>
      <w:r w:rsidRPr="00655696">
        <w:rPr>
          <w:rFonts w:ascii="Segoe UI" w:hAnsi="Segoe UI"/>
          <w:color w:val="000000" w:themeColor="text1"/>
          <w:szCs w:val="18"/>
          <w:lang w:val="es-ES"/>
        </w:rPr>
        <w:t xml:space="preserve">Si adquiere un Producto que ofrece e-learning será elegible para recibir un código de acceso por grupo aplicable (grupos de servidores, sistemas y aplicaciones) y por Cuenta de Compra. También podrá descargar archivos de E-Learning, compatibles con SCORM y de solo contenido (para Aplicaciones y Sistemas seleccionados) desde MVLC para importarlos a su Plataforma de eLearning (LMS). No se necesita un código de acceso para descargar archivos desde MVLC. </w:t>
      </w:r>
    </w:p>
    <w:p w:rsidR="00296F54" w:rsidRPr="00655696" w:rsidRDefault="00296F54" w:rsidP="00296F54">
      <w:pPr>
        <w:pStyle w:val="ProductList-Body"/>
        <w:spacing w:before="120" w:after="120"/>
        <w:rPr>
          <w:lang w:val="es-ES"/>
        </w:rPr>
      </w:pPr>
      <w:r w:rsidRPr="00655696">
        <w:rPr>
          <w:rFonts w:ascii="Segoe UI" w:hAnsi="Segoe UI"/>
          <w:color w:val="000000" w:themeColor="text1"/>
          <w:szCs w:val="18"/>
          <w:lang w:val="es-ES"/>
        </w:rPr>
        <w:t xml:space="preserve">El número máximo de usuarios para los que usted podrá utilizar la formación de E-Learning es igual al número de copias licenciadas con Software Assurance que tiene de los productos correspondientes que ofrecen e-learning. Debe designar un usuario para cada licencia. El acceso no puede transmitirse de un usuario a otro. </w:t>
      </w:r>
    </w:p>
    <w:p w:rsidR="00296F54" w:rsidRPr="00655696" w:rsidRDefault="00296F54" w:rsidP="00296F54">
      <w:pPr>
        <w:pStyle w:val="ProductList-Body"/>
        <w:rPr>
          <w:lang w:val="es-ES"/>
        </w:rPr>
      </w:pPr>
      <w:r w:rsidRPr="00655696">
        <w:rPr>
          <w:rFonts w:ascii="Segoe UI" w:hAnsi="Segoe UI"/>
          <w:color w:val="000000" w:themeColor="text1"/>
          <w:szCs w:val="18"/>
          <w:lang w:val="es-ES"/>
        </w:rPr>
        <w:t xml:space="preserve">Cuando sea elegible podrá adquirir kits de E-Learning en un centro de suministro regional si la opción online no es suficiente. </w:t>
      </w:r>
    </w:p>
    <w:p w:rsidR="00296F54" w:rsidRPr="00655696" w:rsidRDefault="00296F54" w:rsidP="00296F54">
      <w:pPr>
        <w:pStyle w:val="ProductList-Body"/>
        <w:rPr>
          <w:lang w:val="es-ES"/>
        </w:rPr>
      </w:pPr>
      <w:r w:rsidRPr="00655696">
        <w:rPr>
          <w:rFonts w:ascii="Segoe UI" w:hAnsi="Segoe UI"/>
          <w:color w:val="000000" w:themeColor="text1"/>
          <w:szCs w:val="18"/>
          <w:lang w:val="es-ES"/>
        </w:rPr>
        <w:t xml:space="preserve">Su uso e implementación de los cursos de E-Learning están sujetos a los términos y condiciones de la licencia. </w:t>
      </w:r>
    </w:p>
    <w:p w:rsidR="00296F54" w:rsidRPr="00655696" w:rsidRDefault="00296F54" w:rsidP="00296F54">
      <w:pPr>
        <w:pStyle w:val="ProductList-Body"/>
        <w:rPr>
          <w:highlight w:val="yellow"/>
          <w:lang w:val="es-ES"/>
        </w:rPr>
      </w:pPr>
    </w:p>
    <w:p w:rsidR="00296F54" w:rsidRPr="00655696" w:rsidRDefault="00296F54" w:rsidP="00296F54">
      <w:pPr>
        <w:pStyle w:val="ProductList-Body"/>
        <w:rPr>
          <w:lang w:val="es-ES"/>
        </w:rPr>
      </w:pPr>
      <w:r w:rsidRPr="00655696">
        <w:rPr>
          <w:rFonts w:ascii="Segoe UI" w:hAnsi="Segoe UI"/>
          <w:color w:val="000000" w:themeColor="text1"/>
          <w:szCs w:val="18"/>
          <w:lang w:val="es-ES"/>
        </w:rPr>
        <w:t>Cuando disponga de SA para Productos certificados de aplicaciones o sistemas será elegible para utilizar cursos de E-Learning hospedados y contenido compatible con SCORM. Cuando disponga de Productos certificados de servidores será elegible para utilizar los cursos de Servidores de E-Learning hospedados, pero no el contenido compatible con SCORM.</w:t>
      </w:r>
    </w:p>
    <w:p w:rsidR="00296F54" w:rsidRPr="00655696" w:rsidRDefault="00296F54" w:rsidP="00296F54">
      <w:pPr>
        <w:pStyle w:val="Heading2"/>
        <w:rPr>
          <w:lang w:val="es-ES"/>
        </w:rPr>
      </w:pPr>
      <w:bookmarkStart w:id="69" w:name="_Home_Use_Program"/>
      <w:bookmarkStart w:id="70" w:name="_Toc403380311"/>
      <w:bookmarkStart w:id="71" w:name="_Toc403985029"/>
      <w:bookmarkStart w:id="72" w:name="_Toc428279774"/>
      <w:bookmarkEnd w:id="69"/>
      <w:r w:rsidRPr="00655696">
        <w:rPr>
          <w:lang w:val="es-ES"/>
        </w:rPr>
        <w:t>Home Use Program (Programa de Uso en el Hogar)</w:t>
      </w:r>
      <w:bookmarkEnd w:id="70"/>
      <w:bookmarkEnd w:id="71"/>
      <w:bookmarkEnd w:id="72"/>
    </w:p>
    <w:p w:rsidR="00296F54" w:rsidRPr="00655696" w:rsidRDefault="00296F54" w:rsidP="00296F54">
      <w:pPr>
        <w:pStyle w:val="ProductList-Body"/>
        <w:spacing w:after="120"/>
        <w:rPr>
          <w:lang w:val="es-ES"/>
        </w:rPr>
      </w:pPr>
      <w:r w:rsidRPr="00655696">
        <w:rPr>
          <w:rFonts w:ascii="Segoe UI" w:hAnsi="Segoe UI"/>
          <w:color w:val="000000" w:themeColor="text1"/>
          <w:szCs w:val="18"/>
          <w:lang w:val="es-ES"/>
        </w:rPr>
        <w:t>Cuando disponga de cobertura de SA activa para Productos de aplicaciones de escritorio cualificadas será elegible para participar en el Home Use Program, lo que permite a sus empleados, que son los usuarios de las aplicaciones certificadas con licencia, adquirir una única licencia para el correspondiente software del Home Use Program, que se instalará en un máximo de dos dispositivos (pueden ser 2 PC o 2 Mac, específicos para el software que se adquiera), por cada licencia de la aplicación de escritorio aplicable adquirida. Siempre que sus empleados primero obtengan las claves de producto de Home Use Program correspondientes de Microsoft, podrá permitir que sus empleados instalen el software del Home Use Program correspondiente, adquirido en virtud del MPSA, en los dispositivos portátiles y los equipos domésticos en las instalaciones del cliente. Si se lanza una nueva versión durante el periodo de uso cualificado, los usuarios principales pueden adquirir la última versión para sustituir la versión que tienen instalada. Las aplicaciones de escritorio que hacen que sea susceptible de participar en el Home Use Program y las que están disponibles en el Home Use Program se identifican en la tabla a continuación.</w:t>
      </w:r>
    </w:p>
    <w:p w:rsidR="00296F54" w:rsidRPr="00655696" w:rsidRDefault="00296F54" w:rsidP="00296F54">
      <w:pPr>
        <w:pStyle w:val="ProductList-Body"/>
        <w:rPr>
          <w:lang w:val="es-ES"/>
        </w:rPr>
      </w:pPr>
      <w:r w:rsidRPr="00655696">
        <w:rPr>
          <w:rFonts w:ascii="Segoe UI" w:hAnsi="Segoe UI"/>
          <w:color w:val="000000" w:themeColor="text1"/>
          <w:szCs w:val="18"/>
          <w:lang w:val="es-ES"/>
        </w:rPr>
        <w:t xml:space="preserve">Microsoft podrá terminar su participación el Home Use Program, de forma inmediata y sin previo aviso, en relación con un acceso no autorizado o la obtención de licencias a través del sitio web del Home Use Program en relación con su código de programa. </w:t>
      </w:r>
    </w:p>
    <w:p w:rsidR="00296F54" w:rsidRPr="00655696" w:rsidRDefault="00296F54" w:rsidP="00296F54">
      <w:pPr>
        <w:pStyle w:val="ProductList-Body"/>
        <w:spacing w:before="120" w:after="120"/>
        <w:rPr>
          <w:lang w:val="es-ES"/>
        </w:rPr>
      </w:pPr>
      <w:r w:rsidRPr="00655696">
        <w:rPr>
          <w:rFonts w:ascii="Segoe UI" w:hAnsi="Segoe UI"/>
          <w:color w:val="000000" w:themeColor="text1"/>
          <w:szCs w:val="18"/>
          <w:lang w:val="es-ES"/>
        </w:rPr>
        <w:t xml:space="preserve">Las licencias de Home Use expiran con la terminación del empleo, la terminación o la expiración de la cobertura de SA para la copia de la aplicación de escritorio correspondiente que el empleado utiliza en el trabajo, si el empleado deja de ser un usuario de la copia </w:t>
      </w:r>
      <w:r w:rsidRPr="00655696">
        <w:rPr>
          <w:rFonts w:ascii="Segoe UI" w:hAnsi="Segoe UI"/>
          <w:color w:val="000000" w:themeColor="text1"/>
          <w:szCs w:val="18"/>
          <w:lang w:val="es-ES"/>
        </w:rPr>
        <w:lastRenderedPageBreak/>
        <w:t>licenciada del software o en caso de instalación o uso por parte del empleado de cualquier versión anterior o posterior de dicha aplicación de escritorio de acuerdo con una licencia de Home Use Program.</w:t>
      </w:r>
    </w:p>
    <w:p w:rsidR="00296F54" w:rsidRPr="00655696" w:rsidRDefault="00296F54" w:rsidP="00296F54">
      <w:pPr>
        <w:pStyle w:val="ProductList-Body"/>
        <w:rPr>
          <w:lang w:val="es-ES"/>
        </w:rPr>
      </w:pPr>
      <w:r w:rsidRPr="00655696">
        <w:rPr>
          <w:rFonts w:ascii="Segoe UI" w:hAnsi="Segoe UI"/>
          <w:color w:val="000000" w:themeColor="text1"/>
          <w:szCs w:val="18"/>
          <w:lang w:val="es-ES"/>
        </w:rPr>
        <w:t>Los términos de uso del software del Home Use Program se establecen entre Microsoft y su empleado, es posible acceder a estos a través del sitio web del Home Use Program. Estos términos pueden diferir de los derechos proporcionados en virtud del MPSA. Debe limitar el acceso al Home Use Program a los empleados e informar a los mismos sobre cuándo deben interrumpir el uso del software del Home Use Program junto con un lapso de cobertura de SA o la terminación del empleo.</w:t>
      </w:r>
    </w:p>
    <w:p w:rsidR="00296F54" w:rsidRPr="00655696" w:rsidRDefault="00296F54" w:rsidP="00296F54">
      <w:pPr>
        <w:pStyle w:val="ProductList-Body"/>
        <w:spacing w:before="120"/>
        <w:rPr>
          <w:lang w:val="es-ES"/>
        </w:rPr>
      </w:pPr>
      <w:r w:rsidRPr="00655696">
        <w:rPr>
          <w:rFonts w:ascii="Segoe UI" w:hAnsi="Segoe UI"/>
          <w:color w:val="000000" w:themeColor="text1"/>
          <w:szCs w:val="18"/>
          <w:lang w:val="es-ES"/>
        </w:rPr>
        <w:t>La participación en este programa podrá implicar la aplicación de impuestos a su organización y a sus empleados. Microsoft no asume ningún tipo de responsabilidad con respecto al cumplimiento de cualquier obligación relacionada con beneficios de empleo, aplicación de impuestos o generación de informes que su organización o sus empleados puedan contraer. Los términos adicionales que se aplican a empleados de Nueva Zelanda se establecen a continuación:</w:t>
      </w:r>
    </w:p>
    <w:p w:rsidR="00296F54" w:rsidRPr="00655696" w:rsidRDefault="00296F54" w:rsidP="00296F54">
      <w:pPr>
        <w:pStyle w:val="BodyText"/>
        <w:numPr>
          <w:ilvl w:val="0"/>
          <w:numId w:val="16"/>
        </w:numPr>
        <w:spacing w:after="0"/>
        <w:rPr>
          <w:lang w:val="es-ES"/>
        </w:rPr>
      </w:pPr>
      <w:r w:rsidRPr="00655696">
        <w:rPr>
          <w:lang w:val="es-ES"/>
        </w:rPr>
        <w:t xml:space="preserve">No debe exigir ningún tipo de pago ni suma económica por parte de los empleados en relación con HUP ni debe realizar u omitir alguna acción que pueda ocasionar un aumento del costo total de cualquier beneficio HUP a cualquier empleado de Nueva Zelanda sobre el importe cobrado por Microsoft. </w:t>
      </w:r>
    </w:p>
    <w:p w:rsidR="00296F54" w:rsidRPr="00655696" w:rsidRDefault="00296F54" w:rsidP="00296F54">
      <w:pPr>
        <w:pStyle w:val="BodyText"/>
        <w:numPr>
          <w:ilvl w:val="0"/>
          <w:numId w:val="16"/>
        </w:numPr>
        <w:spacing w:after="0"/>
        <w:rPr>
          <w:lang w:val="es-ES"/>
        </w:rPr>
      </w:pPr>
      <w:r w:rsidRPr="00655696">
        <w:rPr>
          <w:lang w:val="es-ES"/>
        </w:rPr>
        <w:t xml:space="preserve">Debe indemnizar y mantener a Microsoft y a sus filiales indemnes, libres y protegidos ante costos, gastos, pérdidas o daños de cualquier tipo en que incurran Microsoft o sus filiales como consecuencia de que su organización no cumpla con las obligaciones contenidas en este apartado. </w:t>
      </w:r>
    </w:p>
    <w:p w:rsidR="00296F54" w:rsidRPr="00655696" w:rsidRDefault="00296F54" w:rsidP="00296F54">
      <w:pPr>
        <w:pStyle w:val="BodyText"/>
        <w:spacing w:after="0"/>
        <w:rPr>
          <w:lang w:val="es-ES"/>
        </w:rPr>
      </w:pPr>
    </w:p>
    <w:p w:rsidR="00296F54" w:rsidRPr="00655696" w:rsidRDefault="00296F54" w:rsidP="00296F54">
      <w:pPr>
        <w:pStyle w:val="ProductList-Body"/>
        <w:rPr>
          <w:lang w:val="es-ES"/>
        </w:rPr>
      </w:pPr>
      <w:r w:rsidRPr="00655696">
        <w:rPr>
          <w:rFonts w:ascii="Segoe UI" w:hAnsi="Segoe UI"/>
          <w:color w:val="000000" w:themeColor="text1"/>
          <w:szCs w:val="18"/>
          <w:lang w:val="es-ES"/>
        </w:rPr>
        <w:t xml:space="preserve">Las aplicaciones de escritorio que hacen que sea susceptible de participar en el Home Use Program y están disponibles en el mismo aparecen aquí: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296F54"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296F54" w:rsidRPr="002123CF" w:rsidRDefault="00296F5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Aplicación de escritorio certificada</w:t>
            </w:r>
          </w:p>
        </w:tc>
        <w:tc>
          <w:tcPr>
            <w:tcW w:w="5355" w:type="dxa"/>
            <w:shd w:val="clear" w:color="auto" w:fill="FFC000" w:themeFill="accent4"/>
            <w:tcMar>
              <w:top w:w="0" w:type="dxa"/>
              <w:left w:w="108" w:type="dxa"/>
              <w:bottom w:w="0" w:type="dxa"/>
              <w:right w:w="108" w:type="dxa"/>
            </w:tcMar>
            <w:vAlign w:val="center"/>
          </w:tcPr>
          <w:p w:rsidR="00296F54" w:rsidRPr="002123CF" w:rsidRDefault="00296F54"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Licencia de Home Use Program correspondiente</w:t>
            </w:r>
          </w:p>
        </w:tc>
      </w:tr>
      <w:tr w:rsidR="00296F54" w:rsidRPr="005A6CF9" w:rsidTr="0019337E">
        <w:trPr>
          <w:trHeight w:val="438"/>
        </w:trPr>
        <w:tc>
          <w:tcPr>
            <w:tcW w:w="5355" w:type="dxa"/>
            <w:tcMar>
              <w:top w:w="0" w:type="dxa"/>
              <w:left w:w="108" w:type="dxa"/>
              <w:bottom w:w="0" w:type="dxa"/>
              <w:right w:w="108" w:type="dxa"/>
            </w:tcMar>
            <w:vAlign w:val="center"/>
          </w:tcPr>
          <w:p w:rsidR="00296F54" w:rsidRPr="00483B32" w:rsidRDefault="00296F54" w:rsidP="0019337E">
            <w:pPr>
              <w:pStyle w:val="ProductList-Body"/>
            </w:pPr>
            <w:r>
              <w:rPr>
                <w:rFonts w:ascii="Segoe UI" w:hAnsi="Segoe UI"/>
                <w:color w:val="000000" w:themeColor="text1"/>
                <w:szCs w:val="18"/>
              </w:rPr>
              <w:t>Office Standard 2010/2013</w:t>
            </w:r>
          </w:p>
          <w:p w:rsidR="00296F54" w:rsidRPr="00483B32" w:rsidRDefault="00296F54"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Office para Mac Standard 2011/Office 2016 para Mac Standard</w:t>
            </w:r>
            <w:r>
              <w:fldChar w:fldCharType="begin"/>
            </w:r>
            <w:r>
              <w:instrText>XE "Office para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296F54" w:rsidRPr="00655696" w:rsidRDefault="00296F54" w:rsidP="0019337E">
            <w:pPr>
              <w:pStyle w:val="ProductList-Body"/>
              <w:rPr>
                <w:lang w:val="fr-FR"/>
              </w:rPr>
            </w:pPr>
            <w:r w:rsidRPr="00655696">
              <w:rPr>
                <w:rFonts w:ascii="Segoe UI" w:hAnsi="Segoe UI"/>
                <w:color w:val="000000" w:themeColor="text1"/>
                <w:szCs w:val="18"/>
                <w:lang w:val="fr-FR"/>
              </w:rPr>
              <w:t>Office Professional Plus 2013</w:t>
            </w:r>
            <w:r>
              <w:fldChar w:fldCharType="begin"/>
            </w:r>
            <w:r w:rsidRPr="00655696">
              <w:rPr>
                <w:lang w:val="fr-FR"/>
              </w:rPr>
              <w:instrText>XE "Office Professional Plus 2013"</w:instrText>
            </w:r>
            <w:r>
              <w:fldChar w:fldCharType="end"/>
            </w:r>
            <w:r w:rsidRPr="00655696">
              <w:rPr>
                <w:rFonts w:ascii="Segoe UI" w:hAnsi="Segoe UI"/>
                <w:color w:val="000000" w:themeColor="text1"/>
                <w:szCs w:val="18"/>
                <w:lang w:val="fr-FR"/>
              </w:rPr>
              <w:t xml:space="preserve"> HUP, o bien</w:t>
            </w:r>
          </w:p>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Office 2016 para Mac Hogar y Empresas con Lync DL HUP</w:t>
            </w:r>
          </w:p>
        </w:tc>
      </w:tr>
      <w:tr w:rsidR="00296F54" w:rsidRPr="005A6CF9" w:rsidTr="0019337E">
        <w:trPr>
          <w:trHeight w:val="438"/>
        </w:trPr>
        <w:tc>
          <w:tcPr>
            <w:tcW w:w="5355" w:type="dxa"/>
            <w:tcMar>
              <w:top w:w="0" w:type="dxa"/>
              <w:left w:w="108" w:type="dxa"/>
              <w:bottom w:w="0" w:type="dxa"/>
              <w:right w:w="108" w:type="dxa"/>
            </w:tcMar>
            <w:vAlign w:val="center"/>
          </w:tcPr>
          <w:p w:rsidR="00296F54" w:rsidRPr="00483B32" w:rsidRDefault="00296F54" w:rsidP="0019337E">
            <w:pPr>
              <w:pStyle w:val="ProductList-Body"/>
            </w:pPr>
            <w:r>
              <w:rPr>
                <w:rFonts w:ascii="Segoe UI" w:hAnsi="Segoe UI"/>
                <w:color w:val="000000" w:themeColor="text1"/>
                <w:szCs w:val="18"/>
              </w:rPr>
              <w:t>Access 2010/2013</w:t>
            </w:r>
          </w:p>
          <w:p w:rsidR="00296F54" w:rsidRPr="00483B32" w:rsidRDefault="00296F54" w:rsidP="0019337E">
            <w:pPr>
              <w:pStyle w:val="ProductList-Body"/>
            </w:pPr>
            <w:r>
              <w:rPr>
                <w:rFonts w:ascii="Segoe UI" w:hAnsi="Segoe UI"/>
                <w:color w:val="000000" w:themeColor="text1"/>
                <w:szCs w:val="18"/>
              </w:rPr>
              <w:t>Excel 2010/2013</w:t>
            </w:r>
          </w:p>
          <w:p w:rsidR="00296F54" w:rsidRPr="00483B32" w:rsidRDefault="00296F54" w:rsidP="0019337E">
            <w:pPr>
              <w:pStyle w:val="ProductList-Body"/>
            </w:pPr>
            <w:r>
              <w:rPr>
                <w:rFonts w:ascii="Segoe UI" w:hAnsi="Segoe UI"/>
                <w:color w:val="000000" w:themeColor="text1"/>
                <w:szCs w:val="18"/>
              </w:rPr>
              <w:t>PowerPoint 2010/2013</w:t>
            </w:r>
          </w:p>
          <w:p w:rsidR="00296F54" w:rsidRPr="00483B32" w:rsidRDefault="00296F54" w:rsidP="0019337E">
            <w:pPr>
              <w:pStyle w:val="ProductList-Body"/>
            </w:pPr>
            <w:r>
              <w:rPr>
                <w:rFonts w:ascii="Segoe UI" w:hAnsi="Segoe UI"/>
                <w:color w:val="000000" w:themeColor="text1"/>
                <w:szCs w:val="18"/>
              </w:rPr>
              <w:t>InfoPath 2010/2013</w:t>
            </w:r>
          </w:p>
          <w:p w:rsidR="00296F54" w:rsidRPr="00E10532" w:rsidRDefault="00296F54" w:rsidP="0019337E">
            <w:pPr>
              <w:pStyle w:val="ProductList-Body"/>
              <w:rPr>
                <w:rFonts w:ascii="Segoe UI" w:hAnsi="Segoe UI"/>
                <w:color w:val="000000" w:themeColor="text1"/>
                <w:szCs w:val="18"/>
              </w:rPr>
            </w:pPr>
            <w:r w:rsidRPr="00E10532">
              <w:rPr>
                <w:rFonts w:ascii="Segoe UI" w:hAnsi="Segoe UI"/>
                <w:color w:val="000000" w:themeColor="text1"/>
                <w:szCs w:val="18"/>
              </w:rPr>
              <w:t>Lync 2010/2013</w:t>
            </w:r>
          </w:p>
          <w:p w:rsidR="00296F54" w:rsidRPr="00483B32" w:rsidRDefault="00296F54" w:rsidP="0019337E">
            <w:pPr>
              <w:pStyle w:val="ProductList-Body"/>
            </w:pPr>
            <w:r>
              <w:rPr>
                <w:rFonts w:ascii="Segoe UI" w:hAnsi="Segoe UI"/>
                <w:color w:val="000000" w:themeColor="text1"/>
                <w:szCs w:val="18"/>
              </w:rPr>
              <w:t>OneNote 2010/2013</w:t>
            </w:r>
          </w:p>
          <w:p w:rsidR="00296F54" w:rsidRPr="00483B32" w:rsidRDefault="00296F54" w:rsidP="0019337E">
            <w:pPr>
              <w:pStyle w:val="ProductList-Body"/>
            </w:pPr>
            <w:r>
              <w:rPr>
                <w:rFonts w:ascii="Segoe UI" w:hAnsi="Segoe UI"/>
                <w:color w:val="000000" w:themeColor="text1"/>
                <w:szCs w:val="18"/>
              </w:rPr>
              <w:t>Outlook 2010/2013</w:t>
            </w:r>
          </w:p>
          <w:p w:rsidR="00296F54" w:rsidRPr="00483B32" w:rsidRDefault="00296F54" w:rsidP="0019337E">
            <w:pPr>
              <w:pStyle w:val="ProductList-Body"/>
            </w:pPr>
            <w:r>
              <w:rPr>
                <w:rFonts w:ascii="Segoe UI" w:hAnsi="Segoe UI"/>
                <w:color w:val="000000" w:themeColor="text1"/>
                <w:szCs w:val="18"/>
              </w:rPr>
              <w:t>Publisher 2010/2013</w:t>
            </w:r>
          </w:p>
          <w:p w:rsidR="00296F54" w:rsidRPr="00483B32" w:rsidRDefault="00296F54" w:rsidP="0019337E">
            <w:pPr>
              <w:pStyle w:val="ProductList-Body"/>
            </w:pPr>
            <w:r>
              <w:rPr>
                <w:rFonts w:ascii="Segoe UI" w:hAnsi="Segoe UI"/>
                <w:color w:val="000000" w:themeColor="text1"/>
                <w:szCs w:val="18"/>
              </w:rPr>
              <w:t>Skype Empresarial 2015</w:t>
            </w:r>
          </w:p>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296F54" w:rsidRPr="00655696" w:rsidRDefault="00296F54" w:rsidP="0019337E">
            <w:pPr>
              <w:pStyle w:val="ProductList-Body"/>
              <w:rPr>
                <w:lang w:val="fr-FR"/>
              </w:rPr>
            </w:pPr>
            <w:r w:rsidRPr="00655696">
              <w:rPr>
                <w:rFonts w:ascii="Segoe UI" w:hAnsi="Segoe UI"/>
                <w:color w:val="000000" w:themeColor="text1"/>
                <w:szCs w:val="18"/>
                <w:lang w:val="fr-FR"/>
              </w:rPr>
              <w:t>Office Professional Plus 2013</w:t>
            </w:r>
            <w:r>
              <w:fldChar w:fldCharType="begin"/>
            </w:r>
            <w:r w:rsidRPr="00655696">
              <w:rPr>
                <w:lang w:val="fr-FR"/>
              </w:rPr>
              <w:instrText>XE "Office Professional Plus 2013"</w:instrText>
            </w:r>
            <w:r>
              <w:fldChar w:fldCharType="end"/>
            </w:r>
            <w:r w:rsidRPr="00655696">
              <w:rPr>
                <w:rFonts w:ascii="Segoe UI" w:hAnsi="Segoe UI"/>
                <w:color w:val="000000" w:themeColor="text1"/>
                <w:szCs w:val="18"/>
                <w:lang w:val="fr-FR"/>
              </w:rPr>
              <w:t xml:space="preserve"> HUP, o bien</w:t>
            </w:r>
          </w:p>
          <w:p w:rsidR="00296F54" w:rsidRPr="00655696" w:rsidRDefault="00296F54" w:rsidP="0019337E">
            <w:pPr>
              <w:pStyle w:val="ProductList-Body"/>
              <w:rPr>
                <w:rFonts w:ascii="Segoe UI" w:hAnsi="Segoe UI"/>
                <w:color w:val="000000" w:themeColor="text1"/>
                <w:szCs w:val="18"/>
                <w:lang w:val="es-ES"/>
              </w:rPr>
            </w:pPr>
            <w:r w:rsidRPr="00655696">
              <w:rPr>
                <w:rFonts w:ascii="Segoe UI" w:hAnsi="Segoe UI"/>
                <w:color w:val="000000" w:themeColor="text1"/>
                <w:szCs w:val="18"/>
                <w:lang w:val="es-ES"/>
              </w:rPr>
              <w:t>Office 2016 para Mac Hogar y Empresas con Lync DL HUP</w:t>
            </w:r>
          </w:p>
        </w:tc>
      </w:tr>
      <w:tr w:rsidR="00296F54" w:rsidRPr="00E23144" w:rsidTr="0019337E">
        <w:trPr>
          <w:trHeight w:val="438"/>
        </w:trPr>
        <w:tc>
          <w:tcPr>
            <w:tcW w:w="5355" w:type="dxa"/>
            <w:tcMar>
              <w:top w:w="0" w:type="dxa"/>
              <w:left w:w="108" w:type="dxa"/>
              <w:bottom w:w="0" w:type="dxa"/>
              <w:right w:w="108" w:type="dxa"/>
            </w:tcMar>
            <w:vAlign w:val="center"/>
          </w:tcPr>
          <w:p w:rsidR="00296F54" w:rsidRPr="00483B32" w:rsidRDefault="00296F54" w:rsidP="0019337E">
            <w:pPr>
              <w:pStyle w:val="ProductList-Body"/>
            </w:pPr>
            <w:r>
              <w:rPr>
                <w:rFonts w:ascii="Segoe UI" w:hAnsi="Segoe UI"/>
                <w:color w:val="000000" w:themeColor="text1"/>
                <w:szCs w:val="18"/>
              </w:rPr>
              <w:t xml:space="preserve">Visio Standard 2010/2013 </w:t>
            </w:r>
          </w:p>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296F54" w:rsidRPr="00E23144" w:rsidTr="0019337E">
        <w:trPr>
          <w:trHeight w:val="438"/>
        </w:trPr>
        <w:tc>
          <w:tcPr>
            <w:tcW w:w="5355" w:type="dxa"/>
            <w:tcMar>
              <w:top w:w="0" w:type="dxa"/>
              <w:left w:w="108" w:type="dxa"/>
              <w:bottom w:w="0" w:type="dxa"/>
              <w:right w:w="108" w:type="dxa"/>
            </w:tcMar>
            <w:vAlign w:val="center"/>
          </w:tcPr>
          <w:p w:rsidR="00296F54" w:rsidRPr="00483B32" w:rsidRDefault="00296F54" w:rsidP="0019337E">
            <w:pPr>
              <w:pStyle w:val="ProductList-Body"/>
            </w:pPr>
            <w:r>
              <w:rPr>
                <w:rFonts w:ascii="Segoe UI" w:hAnsi="Segoe UI"/>
                <w:color w:val="000000" w:themeColor="text1"/>
                <w:szCs w:val="18"/>
              </w:rPr>
              <w:t>Project Standard 2010/2013</w:t>
            </w:r>
          </w:p>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296F54" w:rsidRPr="002123CF" w:rsidRDefault="00296F54"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296F54" w:rsidRPr="00655696" w:rsidRDefault="00296F54" w:rsidP="00296F54">
      <w:pPr>
        <w:pStyle w:val="ProductList-Body"/>
        <w:tabs>
          <w:tab w:val="clear" w:pos="158"/>
          <w:tab w:val="left" w:pos="180"/>
        </w:tabs>
        <w:rPr>
          <w:lang w:val="es-ES"/>
        </w:rPr>
      </w:pPr>
      <w:r w:rsidRPr="00655696">
        <w:rPr>
          <w:rFonts w:ascii="Segoe UI" w:hAnsi="Segoe UI"/>
          <w:color w:val="000000" w:themeColor="text1"/>
          <w:szCs w:val="18"/>
          <w:lang w:val="es-ES"/>
        </w:rPr>
        <w:t xml:space="preserve">Para obtener más información, incluida la información sobre la futura disponibilidad del software adicional del Home Use Program, consulte </w:t>
      </w:r>
      <w:hyperlink r:id="rId24" w:history="1">
        <w:r w:rsidRPr="00655696">
          <w:rPr>
            <w:rStyle w:val="Hyperlink"/>
            <w:rFonts w:ascii="Segoe UI" w:hAnsi="Segoe UI"/>
            <w:szCs w:val="18"/>
            <w:lang w:val="es-ES"/>
          </w:rPr>
          <w:t>http://www.microsoft.com/licensing</w:t>
        </w:r>
      </w:hyperlink>
      <w:r w:rsidRPr="00655696">
        <w:rPr>
          <w:rFonts w:ascii="Segoe UI" w:hAnsi="Segoe UI"/>
          <w:color w:val="000000" w:themeColor="text1"/>
          <w:szCs w:val="18"/>
          <w:lang w:val="es-ES"/>
        </w:rPr>
        <w:t xml:space="preserve">. </w:t>
      </w:r>
    </w:p>
    <w:p w:rsidR="00296F54" w:rsidRPr="00655696" w:rsidRDefault="00296F54" w:rsidP="00296F54">
      <w:pPr>
        <w:pStyle w:val="Heading2"/>
        <w:rPr>
          <w:lang w:val="es-ES"/>
        </w:rPr>
      </w:pPr>
      <w:bookmarkStart w:id="73" w:name="_Enterprise_Source_Licensing"/>
      <w:bookmarkStart w:id="74" w:name="_Programa_de_Licencia"/>
      <w:bookmarkStart w:id="75" w:name="_Toc379797448"/>
      <w:bookmarkStart w:id="76" w:name="_Toc380513484"/>
      <w:bookmarkStart w:id="77" w:name="_Toc380655534"/>
      <w:bookmarkStart w:id="78" w:name="_Toc394601030"/>
      <w:bookmarkStart w:id="79" w:name="_Toc403380312"/>
      <w:bookmarkStart w:id="80" w:name="_Toc403985030"/>
      <w:bookmarkStart w:id="81" w:name="_Toc428279775"/>
      <w:bookmarkEnd w:id="73"/>
      <w:bookmarkEnd w:id="74"/>
      <w:r w:rsidRPr="00655696">
        <w:rPr>
          <w:lang w:val="es-ES"/>
        </w:rPr>
        <w:t>Programa de Licencia de Origen Empresarial</w:t>
      </w:r>
      <w:bookmarkEnd w:id="75"/>
      <w:bookmarkEnd w:id="76"/>
      <w:bookmarkEnd w:id="77"/>
      <w:bookmarkEnd w:id="78"/>
      <w:bookmarkEnd w:id="79"/>
      <w:bookmarkEnd w:id="80"/>
      <w:bookmarkEnd w:id="81"/>
      <w:r w:rsidRPr="00655696">
        <w:rPr>
          <w:lang w:val="es-ES"/>
        </w:rPr>
        <w:t xml:space="preserve"> </w:t>
      </w:r>
    </w:p>
    <w:p w:rsidR="00296F54" w:rsidRPr="00655696" w:rsidRDefault="00296F54" w:rsidP="00296F54">
      <w:pPr>
        <w:pStyle w:val="ProductList-Body"/>
        <w:rPr>
          <w:lang w:val="es-ES"/>
        </w:rPr>
      </w:pPr>
      <w:r w:rsidRPr="00655696">
        <w:rPr>
          <w:rFonts w:ascii="Segoe UI" w:hAnsi="Segoe UI"/>
          <w:color w:val="000000" w:themeColor="text1"/>
          <w:szCs w:val="18"/>
          <w:lang w:val="es-ES"/>
        </w:rPr>
        <w:t>Cuando la Cuenta de Compra tenga 10.000 o más licencias con cobertura de SA en el grupo de sistemas puede participar en Enterprise Source Licensing Program (ESLP), que brinda acceso al código fuente de Microsoft Windows para el desarrollo y soporte técnico interno y se concede por Cuenta de Compra. Para obtener información adicional sobre la elegibilidad y la disponibilidad por país, consulte</w:t>
      </w:r>
      <w:r w:rsidRPr="00655696">
        <w:rPr>
          <w:lang w:val="es-ES"/>
        </w:rPr>
        <w:t xml:space="preserve"> </w:t>
      </w:r>
      <w:hyperlink r:id="rId25" w:history="1">
        <w:r w:rsidRPr="00655696">
          <w:rPr>
            <w:rStyle w:val="Hyperlink"/>
            <w:lang w:val="es-ES"/>
          </w:rPr>
          <w:t>http://www.microsoft.com/en-us/sharedsource/enterprise-source-licensing-program.aspx</w:t>
        </w:r>
      </w:hyperlink>
      <w:r w:rsidRPr="00655696">
        <w:rPr>
          <w:lang w:val="es-ES"/>
        </w:rPr>
        <w:t>.</w:t>
      </w:r>
      <w:r w:rsidRPr="00655696">
        <w:rPr>
          <w:strike/>
          <w:lang w:val="es-ES"/>
        </w:rPr>
        <w:t xml:space="preserve"> </w:t>
      </w:r>
    </w:p>
    <w:p w:rsidR="00296F54" w:rsidRPr="00655696" w:rsidRDefault="00296F54" w:rsidP="00296F54">
      <w:pPr>
        <w:pStyle w:val="ProductList-Body"/>
        <w:rPr>
          <w:sz w:val="2"/>
          <w:szCs w:val="2"/>
          <w:lang w:val="es-ES"/>
        </w:rPr>
      </w:pPr>
      <w:bookmarkStart w:id="82" w:name="_24x7_Problem_Resolution"/>
      <w:bookmarkStart w:id="83" w:name="__System_Center"/>
      <w:bookmarkStart w:id="84" w:name="__System_Center_1"/>
      <w:bookmarkStart w:id="85" w:name="_Back-up_for_Disaster"/>
      <w:bookmarkStart w:id="86" w:name="_Toc336338239"/>
      <w:bookmarkStart w:id="87" w:name="_Toc372892146"/>
      <w:bookmarkStart w:id="88" w:name="_Toc379797451"/>
      <w:bookmarkStart w:id="89" w:name="_Toc380513487"/>
      <w:bookmarkStart w:id="90" w:name="_Toc380655537"/>
      <w:bookmarkStart w:id="91" w:name="_Toc394601033"/>
      <w:bookmarkEnd w:id="82"/>
      <w:bookmarkEnd w:id="83"/>
      <w:bookmarkEnd w:id="84"/>
      <w:bookmarkEnd w:id="85"/>
    </w:p>
    <w:p w:rsidR="00296F54" w:rsidRPr="00655696" w:rsidRDefault="00296F54" w:rsidP="00296F54">
      <w:pPr>
        <w:pStyle w:val="Heading2"/>
        <w:rPr>
          <w:lang w:val="es-ES"/>
        </w:rPr>
      </w:pPr>
      <w:bookmarkStart w:id="92" w:name="_Copia_de_Seguridad"/>
      <w:bookmarkStart w:id="93" w:name="_Toc403380314"/>
      <w:bookmarkStart w:id="94" w:name="_Toc403985032"/>
      <w:bookmarkStart w:id="95" w:name="_Toc428279776"/>
      <w:bookmarkEnd w:id="92"/>
      <w:r w:rsidRPr="00655696">
        <w:rPr>
          <w:lang w:val="es-ES"/>
        </w:rPr>
        <w:t>Copia de Seguridad para Recuperación de Desastres</w:t>
      </w:r>
      <w:bookmarkEnd w:id="86"/>
      <w:bookmarkEnd w:id="87"/>
      <w:bookmarkEnd w:id="88"/>
      <w:bookmarkEnd w:id="89"/>
      <w:bookmarkEnd w:id="90"/>
      <w:bookmarkEnd w:id="91"/>
      <w:bookmarkEnd w:id="93"/>
      <w:bookmarkEnd w:id="94"/>
      <w:bookmarkEnd w:id="95"/>
      <w:r w:rsidRPr="00655696">
        <w:rPr>
          <w:lang w:val="es-ES"/>
        </w:rPr>
        <w:t xml:space="preserve"> </w:t>
      </w:r>
    </w:p>
    <w:p w:rsidR="00296F54" w:rsidRPr="00655696" w:rsidRDefault="00296F54" w:rsidP="00296F54">
      <w:pPr>
        <w:rPr>
          <w:lang w:val="es-ES"/>
        </w:rPr>
      </w:pPr>
      <w:r w:rsidRPr="00655696">
        <w:rPr>
          <w:color w:val="000000" w:themeColor="text1"/>
          <w:szCs w:val="18"/>
          <w:lang w:val="es-ES"/>
        </w:rPr>
        <w:t xml:space="preserve">Si dispone de SA para productos de Servidor y las Licencias CAL relacionadas es elegible para obtener licencias de Servidor gratuitas para dichos productos para fines de recuperación ante desastres. Consulte también </w:t>
      </w:r>
      <w:hyperlink r:id="rId26" w:anchor="tab=4" w:history="1">
        <w:r w:rsidRPr="00655696">
          <w:rPr>
            <w:rStyle w:val="Hyperlink"/>
            <w:lang w:val="es-ES"/>
          </w:rPr>
          <w:t>http://www.microsoft.com/licensing/software-assurance/by-benefits.aspx#tab=4</w:t>
        </w:r>
      </w:hyperlink>
      <w:r w:rsidRPr="00655696">
        <w:rPr>
          <w:color w:val="1F497D"/>
          <w:lang w:val="es-ES"/>
        </w:rPr>
        <w:t>.</w:t>
      </w:r>
    </w:p>
    <w:p w:rsidR="00296F54" w:rsidRPr="00655696" w:rsidRDefault="00296F54" w:rsidP="00296F54">
      <w:pPr>
        <w:pStyle w:val="Heading2"/>
        <w:rPr>
          <w:lang w:val="es-ES"/>
        </w:rPr>
      </w:pPr>
      <w:bookmarkStart w:id="96" w:name="_License_Mobility_through"/>
      <w:bookmarkStart w:id="97" w:name="_Movilidad_de_Licencias"/>
      <w:bookmarkStart w:id="98" w:name="_Toc336338242"/>
      <w:bookmarkStart w:id="99" w:name="_Toc372892149"/>
      <w:bookmarkStart w:id="100" w:name="_Toc403380315"/>
      <w:bookmarkStart w:id="101" w:name="_Toc403985033"/>
      <w:bookmarkStart w:id="102" w:name="_Toc428279777"/>
      <w:bookmarkEnd w:id="96"/>
      <w:bookmarkEnd w:id="97"/>
      <w:r w:rsidRPr="00655696">
        <w:rPr>
          <w:lang w:val="es-ES"/>
        </w:rPr>
        <w:lastRenderedPageBreak/>
        <w:t>Movilidad de Licencias a través de Software Assurance.</w:t>
      </w:r>
      <w:bookmarkEnd w:id="98"/>
      <w:bookmarkEnd w:id="99"/>
      <w:bookmarkEnd w:id="100"/>
      <w:bookmarkEnd w:id="101"/>
      <w:bookmarkEnd w:id="102"/>
    </w:p>
    <w:p w:rsidR="00296F54" w:rsidRPr="00655696" w:rsidRDefault="00296F54" w:rsidP="00296F54">
      <w:pPr>
        <w:pStyle w:val="ProductList-Body"/>
        <w:rPr>
          <w:lang w:val="es-ES"/>
        </w:rPr>
      </w:pPr>
      <w:r w:rsidRPr="00655696">
        <w:rPr>
          <w:rFonts w:ascii="Segoe UI" w:hAnsi="Segoe UI"/>
          <w:color w:val="000000" w:themeColor="text1"/>
          <w:szCs w:val="18"/>
          <w:lang w:val="es-ES"/>
        </w:rPr>
        <w:t>Movilidad de licencias a través de SA le permite mover licencias locales específicas cubiertas por SA a servidores compartidos de terceros. Todos los Productos que actualmente califican para “Movilidad de licencias dentro de granjas de servidores” y están cubiertos por SA son elegibles para la Movilidad de licencias a través de SA. Asimismo, los siguientes Productos también son elegibles para Movilidad de licencias a través de SA:</w:t>
      </w:r>
    </w:p>
    <w:p w:rsidR="00296F54" w:rsidRPr="0071130B" w:rsidRDefault="00296F54" w:rsidP="00296F54">
      <w:pPr>
        <w:pStyle w:val="BodyText"/>
        <w:numPr>
          <w:ilvl w:val="0"/>
          <w:numId w:val="16"/>
        </w:numPr>
        <w:spacing w:after="0"/>
        <w:rPr>
          <w:lang w:val="es-ES"/>
        </w:rPr>
      </w:pPr>
      <w:r w:rsidRPr="0071130B">
        <w:rPr>
          <w:lang w:val="es-ES"/>
        </w:rPr>
        <w:t>System Center: todas las Licencias de administración de servidor (ML), incluidos SMSE y SMSD con SA y System Center 2012 Standard</w:t>
      </w:r>
      <w:r>
        <w:fldChar w:fldCharType="begin"/>
      </w:r>
      <w:r w:rsidRPr="0071130B">
        <w:rPr>
          <w:lang w:val="es-ES"/>
        </w:rPr>
        <w:instrText>XE "System Center 2012 Standard"</w:instrText>
      </w:r>
      <w:r>
        <w:fldChar w:fldCharType="end"/>
      </w:r>
      <w:r w:rsidRPr="0071130B">
        <w:rPr>
          <w:lang w:val="es-ES"/>
        </w:rPr>
        <w:t xml:space="preserve"> y Datacenter con SA.</w:t>
      </w:r>
    </w:p>
    <w:p w:rsidR="00296F54" w:rsidRPr="005A6CF9" w:rsidRDefault="00296F54" w:rsidP="00296F54">
      <w:pPr>
        <w:pStyle w:val="BodyText"/>
        <w:numPr>
          <w:ilvl w:val="0"/>
          <w:numId w:val="16"/>
        </w:numPr>
        <w:spacing w:after="0"/>
        <w:rPr>
          <w:lang w:val="es-ES"/>
        </w:rPr>
      </w:pPr>
      <w:r w:rsidRPr="005A6CF9">
        <w:rPr>
          <w:lang w:val="es-ES"/>
        </w:rPr>
        <w:t>Para utilizar Movilidad de licencias a través de SA, debe:</w:t>
      </w:r>
    </w:p>
    <w:p w:rsidR="00296F54" w:rsidRPr="00655696" w:rsidRDefault="00296F54" w:rsidP="00296F54">
      <w:pPr>
        <w:pStyle w:val="BodyText"/>
        <w:numPr>
          <w:ilvl w:val="1"/>
          <w:numId w:val="16"/>
        </w:numPr>
        <w:spacing w:after="0"/>
        <w:ind w:left="720" w:hanging="288"/>
        <w:rPr>
          <w:lang w:val="es-ES"/>
        </w:rPr>
      </w:pPr>
      <w:r w:rsidRPr="00655696">
        <w:rPr>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rsidR="00296F54" w:rsidRPr="00655696" w:rsidRDefault="00296F54" w:rsidP="00296F54">
      <w:pPr>
        <w:pStyle w:val="BodyText"/>
        <w:numPr>
          <w:ilvl w:val="1"/>
          <w:numId w:val="16"/>
        </w:numPr>
        <w:spacing w:after="0"/>
        <w:ind w:left="720" w:hanging="288"/>
        <w:rPr>
          <w:lang w:val="es-ES"/>
        </w:rPr>
      </w:pPr>
      <w:r w:rsidRPr="00655696">
        <w:rPr>
          <w:lang w:val="es-ES"/>
        </w:rPr>
        <w:t xml:space="preserve">Implementar sus licencias únicamente con Movilidad de licencias a través de los partners de Software Assurance cualificada (consulte </w:t>
      </w:r>
      <w:hyperlink r:id="rId27" w:history="1">
        <w:r w:rsidRPr="00655696">
          <w:rPr>
            <w:rStyle w:val="Hyperlink"/>
            <w:szCs w:val="18"/>
            <w:lang w:val="es-ES"/>
          </w:rPr>
          <w:t>http://www.microsoft.com/licensing/software-assurance/license-mobility.aspx</w:t>
        </w:r>
      </w:hyperlink>
      <w:r w:rsidRPr="00655696">
        <w:rPr>
          <w:color w:val="000000" w:themeColor="text1"/>
          <w:szCs w:val="18"/>
          <w:lang w:val="es-ES"/>
        </w:rPr>
        <w:t xml:space="preserve">) </w:t>
      </w:r>
    </w:p>
    <w:p w:rsidR="00296F54" w:rsidRPr="00655696" w:rsidRDefault="00296F54" w:rsidP="00296F54">
      <w:pPr>
        <w:pStyle w:val="BodyText"/>
        <w:numPr>
          <w:ilvl w:val="1"/>
          <w:numId w:val="16"/>
        </w:numPr>
        <w:spacing w:after="0"/>
        <w:ind w:left="720" w:hanging="288"/>
        <w:rPr>
          <w:lang w:val="es-ES"/>
        </w:rPr>
      </w:pPr>
      <w:r w:rsidRPr="00655696">
        <w:rPr>
          <w:lang w:val="es-ES"/>
        </w:rPr>
        <w:t>Completar y enviar el formulario de Validación de Movilidad de Licencias con cada Socio de Movilidad de Licencias a través de Software Assurance que ejecutará su software licenciado en los servidores compartidos de los socios. La Movilidad de Licencias mediante el Partner de Software Assurance pondrá a su disposición el formulario de Validación de Movilidad de Licencias.</w:t>
      </w:r>
    </w:p>
    <w:p w:rsidR="00296F54" w:rsidRPr="00655696" w:rsidRDefault="00296F54" w:rsidP="00296F54">
      <w:pPr>
        <w:pStyle w:val="Heading2"/>
        <w:rPr>
          <w:lang w:val="es-ES"/>
        </w:rPr>
      </w:pPr>
      <w:bookmarkStart w:id="103" w:name="_Windows_Thin_PC"/>
      <w:bookmarkStart w:id="104" w:name="_Extended_Hotfix_Support"/>
      <w:bookmarkStart w:id="105" w:name="_Toc291204568"/>
      <w:bookmarkStart w:id="106" w:name="_Toc374472969"/>
      <w:bookmarkStart w:id="107" w:name="_Toc375840471"/>
      <w:bookmarkStart w:id="108" w:name="_Toc379797455"/>
      <w:bookmarkStart w:id="109" w:name="_Toc380513491"/>
      <w:bookmarkStart w:id="110" w:name="_Toc380655540"/>
      <w:bookmarkStart w:id="111" w:name="_Toc394601036"/>
      <w:bookmarkStart w:id="112" w:name="_Toc403380317"/>
      <w:bookmarkStart w:id="113" w:name="_Toc403985035"/>
      <w:bookmarkStart w:id="114" w:name="_Toc428279778"/>
      <w:bookmarkEnd w:id="103"/>
      <w:bookmarkEnd w:id="104"/>
      <w:r w:rsidRPr="00655696">
        <w:rPr>
          <w:lang w:val="es-ES"/>
        </w:rPr>
        <w:t>Soporte Técnico de Revisiones Ampliado</w:t>
      </w:r>
      <w:bookmarkEnd w:id="105"/>
      <w:bookmarkEnd w:id="106"/>
      <w:bookmarkEnd w:id="107"/>
      <w:bookmarkEnd w:id="108"/>
      <w:bookmarkEnd w:id="109"/>
      <w:bookmarkEnd w:id="110"/>
      <w:bookmarkEnd w:id="111"/>
      <w:bookmarkEnd w:id="112"/>
      <w:bookmarkEnd w:id="113"/>
      <w:bookmarkEnd w:id="114"/>
    </w:p>
    <w:p w:rsidR="00296F54" w:rsidRPr="00655696" w:rsidRDefault="00296F54" w:rsidP="00296F54">
      <w:pPr>
        <w:pStyle w:val="ProductList-Body"/>
        <w:rPr>
          <w:lang w:val="es-ES"/>
        </w:rPr>
      </w:pPr>
      <w:r w:rsidRPr="00655696">
        <w:rPr>
          <w:rFonts w:ascii="Segoe UI" w:hAnsi="Segoe UI"/>
          <w:color w:val="000000" w:themeColor="text1"/>
          <w:szCs w:val="18"/>
          <w:lang w:val="es-ES"/>
        </w:rPr>
        <w:t>El Soporte Técnico Ampliado de Revisiones se encuentra disponible si ha firmado un contrato de Soporte Técnico Premier y ha adquirido SA.</w:t>
      </w:r>
    </w:p>
    <w:p w:rsidR="00296F54" w:rsidRPr="00655696" w:rsidRDefault="00296F54" w:rsidP="00296F54">
      <w:pPr>
        <w:pStyle w:val="BodyText"/>
        <w:numPr>
          <w:ilvl w:val="0"/>
          <w:numId w:val="16"/>
        </w:numPr>
        <w:spacing w:after="0"/>
        <w:rPr>
          <w:lang w:val="es-ES"/>
        </w:rPr>
      </w:pPr>
      <w:r w:rsidRPr="00655696">
        <w:rPr>
          <w:lang w:val="es-ES"/>
        </w:rPr>
        <w:t xml:space="preserve">Si dispone de cobertura de Afiliación a Software Assurance para grupos de Aplicaciones es susceptible de obtener Soporte Técnico Ampliado de Revisiones para productos del grupo de aplicación. </w:t>
      </w:r>
    </w:p>
    <w:p w:rsidR="00296F54" w:rsidRPr="00655696" w:rsidRDefault="00296F54" w:rsidP="00296F54">
      <w:pPr>
        <w:pStyle w:val="BodyText"/>
        <w:numPr>
          <w:ilvl w:val="0"/>
          <w:numId w:val="16"/>
        </w:numPr>
        <w:spacing w:after="0"/>
        <w:rPr>
          <w:lang w:val="es-ES"/>
        </w:rPr>
      </w:pPr>
      <w:r w:rsidRPr="00655696">
        <w:rPr>
          <w:lang w:val="es-ES"/>
        </w:rPr>
        <w:t>Si dispone de cobertura de Afiliación a Software Assurance para grupos de Sistemas es susceptible de obtener Soporte Técnico Ampliado de Revisiones para sistemas operativos de sobremesa Windows o el sistema operativo incrustado de Windows (con cobertura de Afiliación a Software Assurance en un producto Windows Embedded).</w:t>
      </w:r>
    </w:p>
    <w:p w:rsidR="00296F54" w:rsidRPr="00483B32" w:rsidRDefault="00296F54" w:rsidP="00296F54">
      <w:pPr>
        <w:pStyle w:val="BodyText"/>
        <w:numPr>
          <w:ilvl w:val="0"/>
          <w:numId w:val="16"/>
        </w:numPr>
        <w:spacing w:after="0"/>
      </w:pPr>
      <w:r w:rsidRPr="00655696">
        <w:rPr>
          <w:lang w:val="es-ES"/>
        </w:rPr>
        <w:t xml:space="preserve">Si dispone de SA en al menos un producto de servidor es susceptible de obtener Soporte Técnico Ampliado de Revisiones para productos de Servidor. </w:t>
      </w:r>
      <w:r>
        <w:t>Los productos de servidor cubiertos son los siguientes:</w:t>
      </w:r>
    </w:p>
    <w:p w:rsidR="00296F54" w:rsidRPr="00483B32" w:rsidRDefault="00296F54" w:rsidP="00296F54">
      <w:pPr>
        <w:pStyle w:val="BodyText"/>
        <w:numPr>
          <w:ilvl w:val="1"/>
          <w:numId w:val="16"/>
        </w:numPr>
        <w:spacing w:after="0"/>
        <w:ind w:left="720" w:hanging="288"/>
      </w:pPr>
      <w:r>
        <w:t>Microsoft Exchange Server, Microsoft SQL Server, System Center 2012 y Windows Server.</w:t>
      </w:r>
    </w:p>
    <w:p w:rsidR="00296F54" w:rsidRPr="00483B32" w:rsidRDefault="00296F54" w:rsidP="00296F54"/>
    <w:p w:rsidR="00296F54" w:rsidRPr="00655696" w:rsidRDefault="00296F54" w:rsidP="00296F54">
      <w:pPr>
        <w:rPr>
          <w:lang w:val="es-ES"/>
        </w:rPr>
      </w:pPr>
      <w:r w:rsidRPr="00655696">
        <w:rPr>
          <w:color w:val="000000" w:themeColor="text1"/>
          <w:szCs w:val="18"/>
          <w:lang w:val="es-ES"/>
        </w:rPr>
        <w:t xml:space="preserve">El Soporte Técnico Ampliado de Revisiones es un beneficio destinado para versiones de software más antiguas que han cambiado de Soporte Estándar a Ampliado. Los precios anuales, que normalmente se cobran como parte de un contrato de Soporte Técnico Ampliado, no se aplican si es elegible para este beneficio de SA. Usted sigue siendo responsable de los precios aplicados a las Revisiones individuales. Cuando sea elegible para este beneficio no necesita suscribirse para realizar la transición de un producto a Soporte Técnico Ampliado en un periodo de noventa (90) días. Consulte también </w:t>
      </w:r>
      <w:hyperlink r:id="rId28" w:anchor="tab=4" w:history="1">
        <w:r w:rsidRPr="00655696">
          <w:rPr>
            <w:rStyle w:val="Hyperlink"/>
            <w:lang w:val="es-ES"/>
          </w:rPr>
          <w:t>http://www.microsoft.com/licensing/software-assurance/by-benefits.aspx#tab=4</w:t>
        </w:r>
      </w:hyperlink>
      <w:r w:rsidRPr="00655696">
        <w:rPr>
          <w:color w:val="1F497D"/>
          <w:lang w:val="es-ES"/>
        </w:rPr>
        <w:t>.</w:t>
      </w:r>
    </w:p>
    <w:p w:rsidR="00296F54" w:rsidRPr="00655696" w:rsidRDefault="00296F54" w:rsidP="00296F54">
      <w:pPr>
        <w:pStyle w:val="Hdg1noborder"/>
        <w:rPr>
          <w:lang w:val="es-ES"/>
        </w:rPr>
      </w:pPr>
      <w:bookmarkStart w:id="115" w:name="_Microsoft_Desktop_Optimization"/>
      <w:bookmarkStart w:id="116" w:name="_Microsoft_Dynamics_CustomerSource"/>
      <w:bookmarkStart w:id="117" w:name="_Virtualization_Rights_for"/>
      <w:bookmarkStart w:id="118" w:name="_Windows_Virtual_Desktop"/>
      <w:bookmarkStart w:id="119" w:name="_Dynamics_CustomerSource"/>
      <w:bookmarkStart w:id="120" w:name="_Toc207701228"/>
      <w:bookmarkStart w:id="121" w:name="_Toc295673421"/>
      <w:bookmarkStart w:id="122" w:name="_Toc336949456"/>
      <w:bookmarkStart w:id="123" w:name="_Toc359876008"/>
      <w:bookmarkStart w:id="124" w:name="_Toc370837298"/>
      <w:bookmarkStart w:id="125" w:name="_Toc403380322"/>
      <w:bookmarkStart w:id="126" w:name="_Toc403985040"/>
      <w:bookmarkStart w:id="127" w:name="_Toc428279779"/>
      <w:bookmarkEnd w:id="115"/>
      <w:bookmarkEnd w:id="116"/>
      <w:bookmarkEnd w:id="117"/>
      <w:bookmarkEnd w:id="118"/>
      <w:bookmarkEnd w:id="119"/>
      <w:bookmarkEnd w:id="120"/>
      <w:bookmarkEnd w:id="121"/>
      <w:bookmarkEnd w:id="122"/>
      <w:bookmarkEnd w:id="123"/>
      <w:bookmarkEnd w:id="124"/>
      <w:r w:rsidRPr="00655696">
        <w:rPr>
          <w:lang w:val="es-ES"/>
        </w:rPr>
        <w:t>Apartado 3</w:t>
      </w:r>
      <w:bookmarkEnd w:id="125"/>
      <w:bookmarkEnd w:id="126"/>
      <w:bookmarkEnd w:id="127"/>
      <w:r w:rsidRPr="00655696">
        <w:rPr>
          <w:lang w:val="es-ES"/>
        </w:rPr>
        <w:t xml:space="preserve"> </w:t>
      </w:r>
    </w:p>
    <w:p w:rsidR="00296F54" w:rsidRPr="00655696" w:rsidRDefault="00296F54" w:rsidP="00296F54">
      <w:pPr>
        <w:pStyle w:val="Hdg1noborder"/>
        <w:spacing w:before="120" w:after="120" w:line="240" w:lineRule="auto"/>
        <w:rPr>
          <w:rFonts w:eastAsiaTheme="majorEastAsia"/>
          <w:lang w:val="es-ES"/>
        </w:rPr>
      </w:pPr>
      <w:bookmarkStart w:id="128" w:name="_Toc403380323"/>
      <w:bookmarkStart w:id="129" w:name="_Toc403985041"/>
      <w:bookmarkStart w:id="130" w:name="_Toc428279780"/>
      <w:r w:rsidRPr="00655696">
        <w:rPr>
          <w:rFonts w:asciiTheme="majorHAnsi" w:eastAsiaTheme="majorEastAsia" w:hAnsiTheme="majorHAnsi" w:cstheme="majorBidi"/>
          <w:bCs/>
          <w:color w:val="FFC000" w:themeColor="accent4"/>
          <w:sz w:val="28"/>
          <w:szCs w:val="26"/>
          <w:lang w:val="es-ES"/>
        </w:rPr>
        <w:t>Copias de los Productos y derechos a reemplazar copias</w:t>
      </w:r>
      <w:bookmarkEnd w:id="128"/>
      <w:bookmarkEnd w:id="129"/>
      <w:bookmarkEnd w:id="130"/>
    </w:p>
    <w:p w:rsidR="00296F54" w:rsidRPr="00655696" w:rsidRDefault="00296F54" w:rsidP="00296F54">
      <w:pPr>
        <w:spacing w:before="120" w:line="240" w:lineRule="auto"/>
        <w:rPr>
          <w:lang w:val="es-ES"/>
        </w:rPr>
      </w:pPr>
      <w:r w:rsidRPr="00655696">
        <w:rPr>
          <w:rFonts w:eastAsia="Times New Roman" w:cs="Times New Roman"/>
          <w:color w:val="505050"/>
          <w:szCs w:val="20"/>
          <w:lang w:val="es-ES"/>
        </w:rPr>
        <w:t>Las</w:t>
      </w:r>
      <w:r w:rsidRPr="00655696">
        <w:rPr>
          <w:lang w:val="es-ES"/>
        </w:rPr>
        <w:t xml:space="preserve"> </w:t>
      </w:r>
      <w:r w:rsidRPr="00655696">
        <w:rPr>
          <w:rFonts w:eastAsia="Times New Roman" w:cs="Times New Roman"/>
          <w:color w:val="505050"/>
          <w:szCs w:val="20"/>
          <w:lang w:val="es-ES"/>
        </w:rPr>
        <w:t>Cuentas de Compra registradas podrán realizar tantas copias de los Productos como necesite para distribuirlas dentro de la organización. Las copias deben ser exactas y completas (incluidos los avisos de propiedad intelectual y de marca) y se deben realizar a partir de copias maestras obtenidas de una fuente de suministro aprobada por Microsoft. Las Cuentas de Compra pueden utilizar a un tercero para hacer estas copias, pero usted y sus cuentas seguirán siendo responsables de las acciones de ese tercero.</w:t>
      </w:r>
      <w:r w:rsidRPr="00655696">
        <w:rPr>
          <w:lang w:val="es-ES"/>
        </w:rPr>
        <w:t xml:space="preserve"> </w:t>
      </w:r>
    </w:p>
    <w:p w:rsidR="00296F54" w:rsidRPr="00483B32" w:rsidRDefault="00296F54" w:rsidP="00296F54">
      <w:pPr>
        <w:spacing w:before="120" w:line="240" w:lineRule="auto"/>
      </w:pPr>
      <w:r w:rsidRPr="00655696">
        <w:rPr>
          <w:rFonts w:eastAsia="Times New Roman" w:cs="Times New Roman"/>
          <w:color w:val="505050"/>
          <w:szCs w:val="20"/>
          <w:lang w:val="es-ES"/>
        </w:rPr>
        <w:t xml:space="preserve">En algunos casos, se permite reemplazar copias mediante el uso del soporte físico del Producto. Si el Producto se ha licenciado (1) a través de un fabricante de equipos originales (OEM), (2) como un Producto empaquetado completo a través de un minorista o (3) en virtud de otro programa de Microsoft, entonces los soportes físicos entregados a través del MPSA generalmente pueden utilizarse para crear copias para su uso en lugar de las copias proporcionadas a través de esa otra fuente. </w:t>
      </w:r>
      <w:r>
        <w:rPr>
          <w:rFonts w:eastAsia="Times New Roman" w:cs="Times New Roman"/>
          <w:color w:val="505050"/>
          <w:szCs w:val="20"/>
        </w:rPr>
        <w:t>Este derecho depende de lo siguiente:</w:t>
      </w:r>
    </w:p>
    <w:p w:rsidR="00296F54" w:rsidRPr="00655696" w:rsidRDefault="00296F54" w:rsidP="00296F54">
      <w:pPr>
        <w:pStyle w:val="BodyText"/>
        <w:numPr>
          <w:ilvl w:val="0"/>
          <w:numId w:val="16"/>
        </w:numPr>
        <w:spacing w:after="0"/>
        <w:rPr>
          <w:lang w:val="es-ES"/>
        </w:rPr>
      </w:pPr>
      <w:r w:rsidRPr="00655696">
        <w:rPr>
          <w:lang w:val="es-ES"/>
        </w:rPr>
        <w:t>Para cada Producto cuya copia se desee reemplazar, se deben adquirir licencias separadas a través de la otra fuente.</w:t>
      </w:r>
    </w:p>
    <w:p w:rsidR="00296F54" w:rsidRPr="00655696" w:rsidRDefault="00296F54" w:rsidP="00296F54">
      <w:pPr>
        <w:pStyle w:val="BodyText"/>
        <w:numPr>
          <w:ilvl w:val="0"/>
          <w:numId w:val="16"/>
        </w:numPr>
        <w:spacing w:after="0"/>
        <w:rPr>
          <w:lang w:val="es-ES"/>
        </w:rPr>
      </w:pPr>
      <w:r w:rsidRPr="00655696">
        <w:rPr>
          <w:lang w:val="es-ES"/>
        </w:rPr>
        <w:lastRenderedPageBreak/>
        <w:t>El Producto, el idioma, la versión y los componentes de las copias realizadas deben ser idénticos al Producto, al idioma, a la versión y a todos los componentes de las copias que sustituyan, y el número permitido de copias o instancias del Producto cuya copia se haya reemplazado no varía.</w:t>
      </w:r>
    </w:p>
    <w:p w:rsidR="00296F54" w:rsidRPr="00655696" w:rsidRDefault="00296F54" w:rsidP="00296F54">
      <w:pPr>
        <w:pStyle w:val="BodyText"/>
        <w:numPr>
          <w:ilvl w:val="0"/>
          <w:numId w:val="16"/>
        </w:numPr>
        <w:spacing w:after="0"/>
        <w:rPr>
          <w:lang w:val="es-ES"/>
        </w:rPr>
      </w:pPr>
      <w:r w:rsidRPr="00655696">
        <w:rPr>
          <w:lang w:val="es-ES"/>
        </w:rPr>
        <w:t>Con excepción de las copias de un sistema operativo y las copias de Productos licenciados al amparo de otro programa de Microsoft, el tipo de Producto (por ejemplo, licencia de actualización o licencia completa) reemplazado deberá ser idéntico al tipo de Producto licenciado de esa otra fuente.</w:t>
      </w:r>
    </w:p>
    <w:p w:rsidR="00296F54" w:rsidRPr="00655696" w:rsidRDefault="00296F54" w:rsidP="00296F54">
      <w:pPr>
        <w:pStyle w:val="BodyText"/>
        <w:numPr>
          <w:ilvl w:val="0"/>
          <w:numId w:val="16"/>
        </w:numPr>
        <w:spacing w:after="0"/>
        <w:rPr>
          <w:lang w:val="es-ES"/>
        </w:rPr>
      </w:pPr>
      <w:r w:rsidRPr="00655696">
        <w:rPr>
          <w:lang w:val="es-ES"/>
        </w:rPr>
        <w:t>La Cuenta de compra debe adherirse a los procesos o requisitos específicos de cualquier Producto para reemplazar copias que se identifican en los Términos de Productos.</w:t>
      </w:r>
    </w:p>
    <w:p w:rsidR="00296F54" w:rsidRPr="00655696" w:rsidRDefault="00296F54" w:rsidP="00296F54">
      <w:pPr>
        <w:pStyle w:val="BodyText"/>
        <w:numPr>
          <w:ilvl w:val="0"/>
          <w:numId w:val="16"/>
        </w:numPr>
        <w:spacing w:after="0"/>
        <w:rPr>
          <w:lang w:val="es-ES"/>
        </w:rPr>
      </w:pPr>
      <w:r w:rsidRPr="00655696">
        <w:rPr>
          <w:lang w:val="es-ES"/>
        </w:rPr>
        <w:t xml:space="preserve">Las copias de reemplazo de Productos siguen estando sujetas a los términos y derechos de uso de la licencia adquirida de la fuente separada. </w:t>
      </w:r>
    </w:p>
    <w:p w:rsidR="00296F54" w:rsidRPr="00655696" w:rsidRDefault="00296F54" w:rsidP="00296F54">
      <w:pPr>
        <w:pStyle w:val="Thirdheading"/>
        <w:rPr>
          <w:lang w:val="es-ES"/>
        </w:rPr>
      </w:pPr>
      <w:r w:rsidRPr="00655696">
        <w:rPr>
          <w:b/>
          <w:lang w:val="es-ES"/>
        </w:rPr>
        <w:t xml:space="preserve">Copias para formación, evaluación y seguridad </w:t>
      </w:r>
    </w:p>
    <w:p w:rsidR="00296F54" w:rsidRPr="00655696" w:rsidRDefault="00296F54" w:rsidP="00296F54">
      <w:pPr>
        <w:spacing w:before="120" w:line="240" w:lineRule="auto"/>
        <w:rPr>
          <w:lang w:val="es-ES"/>
        </w:rPr>
      </w:pPr>
      <w:r w:rsidRPr="00655696">
        <w:rPr>
          <w:rFonts w:eastAsia="Times New Roman" w:cs="Times New Roman"/>
          <w:color w:val="505050"/>
          <w:szCs w:val="20"/>
          <w:lang w:val="es-ES"/>
        </w:rPr>
        <w:t xml:space="preserve">Para todos los Productos, excepto los Servicios en Línea, cada Cuenta de Compra puede (1) utilizar hasta veinte (20) copias gratuitas de cualquier Producto licenciado en una instalación de sus dependencias destinada a la formación sobre ese Producto específico, (2) utilizar hasta diez (10) copias gratuitas de cualquier Producto durante un periodo de evaluación de sesenta (60) días y (3) utilizar una copia gratuita de cualquier Producto licenciado como copia de seguridad o de archivo para cada una de sus ubicaciones geográficas. </w:t>
      </w:r>
    </w:p>
    <w:p w:rsidR="00296F54" w:rsidRPr="00655696" w:rsidRDefault="00296F54" w:rsidP="00296F54">
      <w:pPr>
        <w:pStyle w:val="Hdg1noborder"/>
        <w:spacing w:before="120" w:after="120" w:line="240" w:lineRule="auto"/>
        <w:rPr>
          <w:rFonts w:eastAsiaTheme="majorEastAsia"/>
          <w:lang w:val="es-ES"/>
        </w:rPr>
      </w:pPr>
      <w:bookmarkStart w:id="131" w:name="_Toc403380324"/>
      <w:bookmarkStart w:id="132" w:name="_Toc403985042"/>
      <w:bookmarkStart w:id="133" w:name="_Toc428279781"/>
      <w:r w:rsidRPr="00655696">
        <w:rPr>
          <w:rFonts w:asciiTheme="majorHAnsi" w:eastAsiaTheme="majorEastAsia" w:hAnsiTheme="majorHAnsi" w:cstheme="majorBidi"/>
          <w:bCs/>
          <w:color w:val="FFC000" w:themeColor="accent4"/>
          <w:sz w:val="28"/>
          <w:szCs w:val="26"/>
          <w:lang w:val="es-ES"/>
        </w:rPr>
        <w:t>Proceso de Transferencia de Licencia</w:t>
      </w:r>
      <w:bookmarkEnd w:id="131"/>
      <w:bookmarkEnd w:id="132"/>
      <w:bookmarkEnd w:id="133"/>
    </w:p>
    <w:p w:rsidR="00296F54" w:rsidRPr="00655696" w:rsidRDefault="00296F54" w:rsidP="00296F54">
      <w:pPr>
        <w:pStyle w:val="BodyText"/>
        <w:rPr>
          <w:lang w:val="es-ES"/>
        </w:rPr>
      </w:pPr>
      <w:r w:rsidRPr="00655696">
        <w:rPr>
          <w:lang w:val="es-ES"/>
        </w:rPr>
        <w:t xml:space="preserve">Debe notificar a Microsoft de una transmisión de Licencias completando un formulario de notificación de la transmisión de licencias, disponible en </w:t>
      </w:r>
      <w:hyperlink r:id="rId29" w:history="1">
        <w:r w:rsidRPr="00655696">
          <w:rPr>
            <w:rStyle w:val="Hyperlink"/>
            <w:lang w:val="es-ES"/>
          </w:rPr>
          <w:t>http://www.microsoft.com/licensing/contracts</w:t>
        </w:r>
      </w:hyperlink>
      <w:r w:rsidRPr="00655696">
        <w:rPr>
          <w:lang w:val="es-ES"/>
        </w:rPr>
        <w:t xml:space="preserve"> y enviando el formulario completado a Microsoft antes de la transmisión de las licencias. Ninguna transmisión de licencias será válida a no ser que proporcione al adquirente, y este acepte por escrito los Derechos de Uso de los Productos, las restricciones de uso, las limitaciones de responsabilidad (incluidas las cláusulas de exclusiones y garantía) y las restricciones a la transmisión que se describen en este apartado.</w:t>
      </w:r>
    </w:p>
    <w:p w:rsidR="00296F54" w:rsidRPr="00655696" w:rsidRDefault="00296F54" w:rsidP="00296F54">
      <w:pPr>
        <w:pStyle w:val="Hdg1noborder"/>
        <w:spacing w:before="120" w:after="120" w:line="240" w:lineRule="auto"/>
        <w:rPr>
          <w:rFonts w:eastAsiaTheme="majorEastAsia"/>
          <w:lang w:val="es-ES"/>
        </w:rPr>
      </w:pPr>
      <w:bookmarkStart w:id="134" w:name="_Toc428279782"/>
      <w:r w:rsidRPr="00655696">
        <w:rPr>
          <w:rFonts w:asciiTheme="majorHAnsi" w:eastAsiaTheme="majorEastAsia" w:hAnsiTheme="majorHAnsi" w:cstheme="majorBidi"/>
          <w:bCs/>
          <w:color w:val="FFC000" w:themeColor="accent4"/>
          <w:sz w:val="28"/>
          <w:szCs w:val="26"/>
          <w:lang w:val="es-ES"/>
        </w:rPr>
        <w:t xml:space="preserve">Proceso de Verificación del Cumplimiento y </w:t>
      </w:r>
      <w:r w:rsidRPr="00655696">
        <w:rPr>
          <w:rFonts w:asciiTheme="majorHAnsi" w:eastAsiaTheme="majorEastAsia" w:hAnsiTheme="majorHAnsi"/>
          <w:color w:val="FFC000" w:themeColor="accent4"/>
          <w:sz w:val="28"/>
          <w:lang w:val="es-ES"/>
        </w:rPr>
        <w:t>Limitaciones</w:t>
      </w:r>
      <w:bookmarkEnd w:id="134"/>
      <w:r w:rsidRPr="00655696">
        <w:rPr>
          <w:rFonts w:asciiTheme="majorHAnsi" w:eastAsiaTheme="majorEastAsia" w:hAnsiTheme="majorHAnsi"/>
          <w:color w:val="FFC000" w:themeColor="accent4"/>
          <w:sz w:val="28"/>
          <w:lang w:val="es-ES"/>
        </w:rPr>
        <w:t xml:space="preserve"> </w:t>
      </w:r>
    </w:p>
    <w:p w:rsidR="00296F54" w:rsidRPr="00655696" w:rsidRDefault="00296F54" w:rsidP="00296F54">
      <w:pPr>
        <w:pStyle w:val="BodyText"/>
        <w:rPr>
          <w:lang w:val="es-ES"/>
        </w:rPr>
      </w:pPr>
      <w:r w:rsidRPr="00655696">
        <w:rPr>
          <w:lang w:val="es-ES"/>
        </w:rPr>
        <w:t xml:space="preserve">Microsoft le notificará con un mínimo de 30 días de antelación sobre su intencionalidad de comprobar el cumplimiento de los términos de la licencia de los Productos que usted y sus Filiales usan o distribuyen. Microsoft contratará a un auditor independiente, que estará sujeto a una obligación de confidencialidad. Cualquier información recopilada durante la autoauditoría se utilizará únicamente para determinar el cumplimiento. La comprobación tendrá lugar durante horario laboral normal y de manera que no interfiera irrazonablemente en sus actividades. </w:t>
      </w:r>
    </w:p>
    <w:p w:rsidR="00296F54" w:rsidRPr="00655696" w:rsidRDefault="00296F54" w:rsidP="00296F54">
      <w:pPr>
        <w:pStyle w:val="Hdg1noborder"/>
        <w:spacing w:before="120" w:after="120" w:line="240" w:lineRule="auto"/>
        <w:rPr>
          <w:rFonts w:eastAsiaTheme="majorEastAsia"/>
          <w:lang w:val="es-ES"/>
        </w:rPr>
      </w:pPr>
      <w:bookmarkStart w:id="135" w:name="_Toc428279783"/>
      <w:bookmarkStart w:id="136" w:name="_Toc403380325"/>
      <w:bookmarkStart w:id="137" w:name="_Toc403985043"/>
      <w:r w:rsidRPr="00655696">
        <w:rPr>
          <w:rFonts w:asciiTheme="majorHAnsi" w:eastAsiaTheme="majorEastAsia" w:hAnsiTheme="majorHAnsi" w:cstheme="majorBidi"/>
          <w:bCs/>
          <w:color w:val="FFC000" w:themeColor="accent4"/>
          <w:sz w:val="28"/>
          <w:szCs w:val="26"/>
          <w:lang w:val="es-ES"/>
        </w:rPr>
        <w:t>Desinversiones</w:t>
      </w:r>
      <w:bookmarkEnd w:id="135"/>
    </w:p>
    <w:p w:rsidR="00296F54" w:rsidRPr="00655696" w:rsidRDefault="00296F54" w:rsidP="00296F54">
      <w:pPr>
        <w:pStyle w:val="BodyText"/>
        <w:rPr>
          <w:lang w:val="es-ES"/>
        </w:rPr>
      </w:pPr>
      <w:r w:rsidRPr="00655696">
        <w:rPr>
          <w:lang w:val="es-ES"/>
        </w:rPr>
        <w:t>Si tiene la intención de transmitir más de un diez por ciento de sus licencias relacionadas con la desinversión de una Filial, una división de actividad o cualquier división de actividad de su Filial, Microsoft trabajará con usted de buena fe para habilitar la transmisión.</w:t>
      </w:r>
    </w:p>
    <w:p w:rsidR="00296F54" w:rsidRPr="00655696" w:rsidRDefault="00296F54" w:rsidP="00296F54">
      <w:pPr>
        <w:pStyle w:val="Hdg1noborder"/>
        <w:spacing w:before="120" w:after="120" w:line="240" w:lineRule="auto"/>
        <w:rPr>
          <w:rFonts w:asciiTheme="majorHAnsi" w:eastAsiaTheme="majorEastAsia" w:hAnsiTheme="majorHAnsi" w:cstheme="majorBidi"/>
          <w:bCs/>
          <w:color w:val="FFC000" w:themeColor="accent4"/>
          <w:sz w:val="28"/>
          <w:szCs w:val="26"/>
          <w:lang w:val="es-ES"/>
        </w:rPr>
      </w:pPr>
      <w:bookmarkStart w:id="138" w:name="_Toc428279784"/>
      <w:r w:rsidRPr="00655696">
        <w:rPr>
          <w:rFonts w:asciiTheme="majorHAnsi" w:eastAsiaTheme="majorEastAsia" w:hAnsiTheme="majorHAnsi" w:cstheme="majorBidi"/>
          <w:bCs/>
          <w:color w:val="FFC000" w:themeColor="accent4"/>
          <w:sz w:val="28"/>
          <w:szCs w:val="26"/>
          <w:lang w:val="es-ES"/>
        </w:rPr>
        <w:t>Desastre natural</w:t>
      </w:r>
      <w:bookmarkEnd w:id="136"/>
      <w:bookmarkEnd w:id="137"/>
      <w:bookmarkEnd w:id="138"/>
      <w:r w:rsidRPr="00655696">
        <w:rPr>
          <w:rFonts w:asciiTheme="majorHAnsi" w:eastAsiaTheme="majorEastAsia" w:hAnsiTheme="majorHAnsi" w:cstheme="majorBidi"/>
          <w:bCs/>
          <w:color w:val="FFC000" w:themeColor="accent4"/>
          <w:sz w:val="28"/>
          <w:szCs w:val="26"/>
          <w:lang w:val="es-ES"/>
        </w:rPr>
        <w:t xml:space="preserve"> </w:t>
      </w:r>
    </w:p>
    <w:p w:rsidR="00296F54" w:rsidRPr="00655696" w:rsidRDefault="00296F54" w:rsidP="00296F54">
      <w:pPr>
        <w:pStyle w:val="BodyText"/>
        <w:rPr>
          <w:lang w:val="es-ES"/>
        </w:rPr>
      </w:pPr>
      <w:r w:rsidRPr="00655696">
        <w:rPr>
          <w:lang w:val="es-ES"/>
        </w:rPr>
        <w:t>En caso de desastre natural, Microsoft puede proporcionar asistencia o derechos adicionales publicándolos en http://www.microsoft.com en ese momento.</w:t>
      </w:r>
    </w:p>
    <w:p w:rsidR="00296F54" w:rsidRPr="00655696" w:rsidRDefault="00296F54" w:rsidP="00296F54">
      <w:pPr>
        <w:pStyle w:val="Hdg1noborder"/>
        <w:rPr>
          <w:lang w:val="es-ES"/>
        </w:rPr>
      </w:pPr>
      <w:bookmarkStart w:id="139" w:name="_Toc403380326"/>
      <w:bookmarkStart w:id="140" w:name="_Toc403985044"/>
      <w:bookmarkStart w:id="141" w:name="_Toc428279785"/>
      <w:r w:rsidRPr="00655696">
        <w:rPr>
          <w:lang w:val="es-ES"/>
        </w:rPr>
        <w:t>Apartado 4</w:t>
      </w:r>
      <w:bookmarkEnd w:id="139"/>
      <w:bookmarkEnd w:id="140"/>
      <w:bookmarkEnd w:id="141"/>
    </w:p>
    <w:p w:rsidR="00296F54" w:rsidRPr="00655696" w:rsidRDefault="00296F54" w:rsidP="00296F54">
      <w:pPr>
        <w:pStyle w:val="Hdg1noborder"/>
        <w:spacing w:before="120" w:after="120" w:line="240" w:lineRule="auto"/>
        <w:rPr>
          <w:rFonts w:eastAsiaTheme="majorEastAsia"/>
          <w:lang w:val="es-ES"/>
        </w:rPr>
      </w:pPr>
      <w:bookmarkStart w:id="142" w:name="_Toc403380327"/>
      <w:bookmarkStart w:id="143" w:name="_Toc403985045"/>
      <w:bookmarkStart w:id="144" w:name="_Toc428279786"/>
      <w:r w:rsidRPr="00655696">
        <w:rPr>
          <w:rFonts w:asciiTheme="majorHAnsi" w:eastAsiaTheme="majorEastAsia" w:hAnsiTheme="majorHAnsi" w:cstheme="majorBidi"/>
          <w:color w:val="FFC000" w:themeColor="accent4"/>
          <w:sz w:val="28"/>
          <w:szCs w:val="26"/>
          <w:lang w:val="es-ES"/>
        </w:rPr>
        <w:t>Cambios en el Manual de Licencia durante los últimos 12 meses</w:t>
      </w:r>
      <w:bookmarkEnd w:id="142"/>
      <w:bookmarkEnd w:id="143"/>
      <w:bookmarkEnd w:id="144"/>
    </w:p>
    <w:p w:rsidR="00296F54" w:rsidRPr="00655696" w:rsidRDefault="00296F54" w:rsidP="00296F54">
      <w:pPr>
        <w:pStyle w:val="BodyText"/>
        <w:numPr>
          <w:ilvl w:val="0"/>
          <w:numId w:val="16"/>
        </w:numPr>
        <w:spacing w:after="0"/>
        <w:rPr>
          <w:lang w:val="es-ES"/>
        </w:rPr>
      </w:pPr>
      <w:r w:rsidRPr="00655696">
        <w:rPr>
          <w:lang w:val="es-ES"/>
        </w:rPr>
        <w:t xml:space="preserve">Actualizado en agosto de 2015 para reflejar los servicios de Azure adicionales, los Servicios Online y las opciones de adquisición de Paquetes, además de hacer referencia y alinearse al documento Términos de Productos. A partir del 1 de julio de 2015, los Términos de Productos sustituyeron a los documentos Lista de Productos y Derechos de Uso de los productos (PUR, del inglés “Product Use Rights”). </w:t>
      </w:r>
    </w:p>
    <w:p w:rsidR="00296F54" w:rsidRPr="00655696" w:rsidRDefault="00296F54" w:rsidP="00296F54">
      <w:pPr>
        <w:pStyle w:val="BodyText"/>
        <w:numPr>
          <w:ilvl w:val="0"/>
          <w:numId w:val="16"/>
        </w:numPr>
        <w:spacing w:after="0"/>
        <w:rPr>
          <w:lang w:val="es-ES"/>
        </w:rPr>
      </w:pPr>
      <w:r w:rsidRPr="00655696">
        <w:rPr>
          <w:lang w:val="es-ES"/>
        </w:rPr>
        <w:t>En mayo de 2015 se añadió información relacionada con el proceso de verificación del cumplimiento, las transmisiones de licencias de desinversión y el SA adjunto a OEM/FPP.</w:t>
      </w:r>
    </w:p>
    <w:p w:rsidR="00296F54" w:rsidRPr="00655696" w:rsidRDefault="00296F54" w:rsidP="00296F54">
      <w:pPr>
        <w:pStyle w:val="BodyText"/>
        <w:numPr>
          <w:ilvl w:val="0"/>
          <w:numId w:val="16"/>
        </w:numPr>
        <w:spacing w:after="0"/>
        <w:rPr>
          <w:lang w:val="es-ES"/>
        </w:rPr>
      </w:pPr>
      <w:r w:rsidRPr="00655696">
        <w:rPr>
          <w:lang w:val="es-ES"/>
        </w:rPr>
        <w:t xml:space="preserve">Actualizado en febrero de 2015 para apoyar el lanzamiento de los procesos de los tipos de Cuenta de compra Government y Academic. </w:t>
      </w:r>
    </w:p>
    <w:p w:rsidR="00296F54" w:rsidRPr="00655696" w:rsidRDefault="00296F54" w:rsidP="00296F54">
      <w:pPr>
        <w:pStyle w:val="BodyText"/>
        <w:numPr>
          <w:ilvl w:val="0"/>
          <w:numId w:val="16"/>
        </w:numPr>
        <w:spacing w:after="0"/>
        <w:rPr>
          <w:lang w:val="es-ES"/>
        </w:rPr>
      </w:pPr>
      <w:r w:rsidRPr="00655696">
        <w:rPr>
          <w:lang w:val="es-ES"/>
        </w:rPr>
        <w:lastRenderedPageBreak/>
        <w:t>En diciembre de 2014 se actualizó información sobre el Home Use Program y se eliminó la referencia a la Suscripción a Windows Companion.</w:t>
      </w:r>
    </w:p>
    <w:p w:rsidR="00296F54" w:rsidRPr="00655696" w:rsidRDefault="00296F54" w:rsidP="00296F54">
      <w:pPr>
        <w:pStyle w:val="BodyText"/>
        <w:numPr>
          <w:ilvl w:val="0"/>
          <w:numId w:val="16"/>
        </w:numPr>
        <w:spacing w:after="0"/>
        <w:rPr>
          <w:lang w:val="es-ES"/>
        </w:rPr>
      </w:pPr>
      <w:r w:rsidRPr="00655696">
        <w:rPr>
          <w:lang w:val="es-ES"/>
        </w:rPr>
        <w:t>En septiembre de 2014 se actualizó con respecto al lanzamiento de Software Assurance y beneficios de Software Assurance.</w:t>
      </w:r>
    </w:p>
    <w:p w:rsidR="00296F54" w:rsidRPr="00655696" w:rsidRDefault="00296F54" w:rsidP="00296F54">
      <w:pPr>
        <w:pStyle w:val="Hdg1noborder"/>
        <w:rPr>
          <w:lang w:val="es-ES"/>
        </w:rPr>
      </w:pPr>
      <w:bookmarkStart w:id="145" w:name="_Toc403380328"/>
      <w:bookmarkStart w:id="146" w:name="_Toc403985046"/>
      <w:bookmarkStart w:id="147" w:name="_Toc428279787"/>
      <w:r w:rsidRPr="00655696">
        <w:rPr>
          <w:lang w:val="es-ES"/>
        </w:rPr>
        <w:t>Apéndice</w:t>
      </w:r>
      <w:bookmarkEnd w:id="145"/>
      <w:bookmarkEnd w:id="146"/>
      <w:bookmarkEnd w:id="147"/>
    </w:p>
    <w:p w:rsidR="00296F54" w:rsidRPr="00655696" w:rsidRDefault="00296F54" w:rsidP="00296F54">
      <w:pPr>
        <w:pStyle w:val="Hdg1noborder"/>
        <w:spacing w:before="120" w:after="120" w:line="240" w:lineRule="auto"/>
        <w:rPr>
          <w:rFonts w:eastAsiaTheme="majorEastAsia"/>
          <w:lang w:val="es-ES"/>
        </w:rPr>
      </w:pPr>
      <w:bookmarkStart w:id="148" w:name="_Toc403985047"/>
      <w:bookmarkStart w:id="149" w:name="_Toc428279788"/>
      <w:bookmarkStart w:id="150" w:name="_Toc403380329"/>
      <w:r w:rsidRPr="00655696">
        <w:rPr>
          <w:rFonts w:asciiTheme="majorHAnsi" w:eastAsiaTheme="majorEastAsia" w:hAnsiTheme="majorHAnsi" w:cstheme="majorBidi"/>
          <w:bCs/>
          <w:color w:val="FFC000" w:themeColor="accent4"/>
          <w:sz w:val="28"/>
          <w:szCs w:val="26"/>
          <w:lang w:val="es-ES"/>
        </w:rPr>
        <w:t>Definición de R</w:t>
      </w:r>
      <w:r w:rsidRPr="00655696">
        <w:rPr>
          <w:rFonts w:asciiTheme="majorHAnsi" w:eastAsiaTheme="majorEastAsia" w:hAnsiTheme="majorHAnsi" w:cstheme="majorBidi"/>
          <w:color w:val="FFC000" w:themeColor="accent4"/>
          <w:sz w:val="28"/>
          <w:szCs w:val="26"/>
          <w:lang w:val="es-ES"/>
        </w:rPr>
        <w:t>egiones</w:t>
      </w:r>
      <w:bookmarkEnd w:id="148"/>
      <w:bookmarkEnd w:id="149"/>
      <w:r w:rsidRPr="00655696">
        <w:rPr>
          <w:rFonts w:asciiTheme="majorHAnsi" w:eastAsiaTheme="majorEastAsia" w:hAnsiTheme="majorHAnsi" w:cstheme="majorBidi"/>
          <w:color w:val="FFC000" w:themeColor="accent4"/>
          <w:sz w:val="28"/>
          <w:szCs w:val="26"/>
          <w:lang w:val="es-ES"/>
        </w:rPr>
        <w:t xml:space="preserve"> </w:t>
      </w:r>
      <w:bookmarkEnd w:id="150"/>
    </w:p>
    <w:p w:rsidR="00296F54" w:rsidRPr="00655696" w:rsidRDefault="00296F54" w:rsidP="00296F54">
      <w:pPr>
        <w:pStyle w:val="BodyText"/>
        <w:rPr>
          <w:lang w:val="es-ES"/>
        </w:rPr>
      </w:pPr>
      <w:r w:rsidRPr="00655696">
        <w:rPr>
          <w:lang w:val="es-ES"/>
        </w:rPr>
        <w:t>En la lista siguiente se presentan los países</w:t>
      </w:r>
      <w:r w:rsidRPr="00655696">
        <w:rPr>
          <w:color w:val="1F497D"/>
          <w:lang w:val="es-ES"/>
        </w:rPr>
        <w:t xml:space="preserve">, </w:t>
      </w:r>
      <w:r w:rsidRPr="00655696">
        <w:rPr>
          <w:lang w:val="es-ES"/>
        </w:rPr>
        <w:t>regiones o territorios</w:t>
      </w:r>
      <w:r w:rsidRPr="00655696">
        <w:rPr>
          <w:color w:val="FF0000"/>
          <w:lang w:val="es-ES"/>
        </w:rPr>
        <w:t xml:space="preserve"> </w:t>
      </w:r>
      <w:r w:rsidRPr="00655696">
        <w:rPr>
          <w:lang w:val="es-ES"/>
        </w:rPr>
        <w:t>que forman parte de la definición de Microsoft de la región de EMEA (Europa, Oriente Medio y África), que pueden mencionarse en algunos Términos Nacionales del Tipo de Cuenta de Compra. Tenga en cuenta que es posible que el MPSA no esté disponible en todos los países.</w:t>
      </w:r>
    </w:p>
    <w:p w:rsidR="00296F54" w:rsidRPr="00655696" w:rsidRDefault="00296F54" w:rsidP="00296F54">
      <w:pPr>
        <w:pStyle w:val="BodyText"/>
        <w:rPr>
          <w:lang w:val="es-ES"/>
        </w:rPr>
      </w:pPr>
      <w:r w:rsidRPr="00655696">
        <w:rPr>
          <w:sz w:val="14"/>
          <w:lang w:val="es-ES"/>
        </w:rPr>
        <w:t>Afganistán, Albania, Alemania, Andorra, Angola, Arabia Saudí, Argelia, Armenia, Austria, Azerbaiyán, Baréin, Belarús, Bélgica, Benín, Bosnia y Herzegovina, Botsuana, Bulgaria, Burkina Faso, Burundi, Cabo Verde, Camerún, Chad, Chipre, Comoras, Congo (RDC), Congo, Costa de Marfil, Croacia, Dinamarca, Egipto, Emiratos Árabes Unidos, Eritrea, Eslovaquia, Eslovenia, España, Estonia, Etiopía, Finlandia, Francia, Gabón, Gambia, Georgia, Ghana, Grecia, Guinea Ecuatorial, Guinea, Guinea-Bisáu, Hungría, Irak, Irlanda, Islandia, Israel, Italia, Jordania, Kazajistán, Kenia, Kirguistán, Kuwait, Letonia, Líbano, Libia, Liechtenstein, Lituania, Luxemburgo, Macedonia, Madagascar, Malawi, Malí, Malta, Marruecos, Mauricio, Mauritania, Moldova, Mónaco, Mongolia, Montenegro, Mozambique, Namibia, Níger, Nigeria, Noruega, Nueva Caledonia, Omán, Países Bajos, Pakistán, Polinesia Francesa, Polonia, Portugal, Qatar, Reino Unido, República Centroafricana, República Checa, Ruanda, Rumanía, Rusia, San Marino, Santa Sede (Ciudad del Vaticano), Senegal, Serbia, Seychelles, Sierra Leona, Siria, Somalia, Sudáfrica, Sudán del Sur, Suecia, Suiza, Tanzania, Tayikistán, Togo, Túnez, Turkmenistán, Turquía, Ucrania, Uganda, Uzbekistán, Yemen, Yibuti, Zambia, Zimbabue</w:t>
      </w:r>
      <w:r w:rsidRPr="00655696">
        <w:rPr>
          <w:rFonts w:cs="Segoe UI"/>
          <w:color w:val="1C4269"/>
          <w:sz w:val="20"/>
          <w:lang w:val="es-ES"/>
        </w:rPr>
        <w:t>.</w:t>
      </w:r>
    </w:p>
    <w:p w:rsidR="00296F54" w:rsidRPr="00655696" w:rsidRDefault="00296F54" w:rsidP="00296F54">
      <w:pPr>
        <w:pStyle w:val="BodyText"/>
        <w:rPr>
          <w:lang w:val="es-ES"/>
        </w:rPr>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F54" w:rsidRDefault="00296F54" w:rsidP="00296F54">
      <w:pPr>
        <w:spacing w:line="240" w:lineRule="auto"/>
      </w:pPr>
      <w:r>
        <w:separator/>
      </w:r>
    </w:p>
  </w:endnote>
  <w:endnote w:type="continuationSeparator" w:id="0">
    <w:p w:rsidR="00296F54" w:rsidRDefault="00296F54" w:rsidP="00296F5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F54" w:rsidRPr="00175A86" w:rsidRDefault="00296F54"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696" w:rsidRDefault="001B31DB" w:rsidP="00D25102">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655696" w:rsidRPr="00C537F0" w:rsidRDefault="001B31DB" w:rsidP="00D25102">
    <w:pPr>
      <w:pStyle w:val="Footer"/>
      <w:tabs>
        <w:tab w:val="clear" w:pos="4680"/>
        <w:tab w:val="clear" w:pos="9360"/>
        <w:tab w:val="right" w:pos="10800"/>
      </w:tabs>
    </w:pPr>
    <w:r w:rsidRPr="00CC6A48">
      <w:rPr>
        <w:sz w:val="16"/>
      </w:rPr>
      <w:t>Microsoft is a registered trademark of Microsoft Corpora</w:t>
    </w:r>
    <w:r w:rsidRPr="00CC6A48">
      <w:rPr>
        <w:sz w:val="16"/>
      </w:rPr>
      <w:t>tion in the United States and/or other countries</w:t>
    </w:r>
    <w:r>
      <w:tab/>
    </w:r>
    <w:r>
      <w:fldChar w:fldCharType="begin"/>
    </w:r>
    <w:r>
      <w:instrText xml:space="preserve"> PAGE   \* MERGEFORMAT </w:instrText>
    </w:r>
    <w:r>
      <w:fldChar w:fldCharType="separate"/>
    </w:r>
    <w:r>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696" w:rsidRDefault="001B31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F54" w:rsidRDefault="00296F54" w:rsidP="00296F54">
      <w:pPr>
        <w:spacing w:line="240" w:lineRule="auto"/>
      </w:pPr>
      <w:r>
        <w:separator/>
      </w:r>
    </w:p>
  </w:footnote>
  <w:footnote w:type="continuationSeparator" w:id="0">
    <w:p w:rsidR="00296F54" w:rsidRDefault="00296F54" w:rsidP="00296F54">
      <w:pPr>
        <w:spacing w:line="240" w:lineRule="auto"/>
      </w:pPr>
      <w:r>
        <w:continuationSeparator/>
      </w:r>
    </w:p>
  </w:footnote>
  <w:footnote w:id="1">
    <w:p w:rsidR="00296F54" w:rsidRPr="00655696" w:rsidRDefault="00296F54" w:rsidP="00296F54">
      <w:pPr>
        <w:pStyle w:val="FootnoteText"/>
        <w:rPr>
          <w:lang w:val="es-ES"/>
        </w:rPr>
      </w:pPr>
      <w:r w:rsidRPr="007B5219">
        <w:rPr>
          <w:rStyle w:val="FootnoteReference"/>
          <w:sz w:val="18"/>
        </w:rPr>
        <w:footnoteRef/>
      </w:r>
      <w:r w:rsidRPr="00655696">
        <w:rPr>
          <w:sz w:val="14"/>
          <w:lang w:val="es-ES"/>
        </w:rPr>
        <w:t xml:space="preserve"> Se admite la firma física de contratos creados electrónicamente según sea necesario.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F54" w:rsidRPr="00175A86" w:rsidRDefault="00296F54"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F54" w:rsidRDefault="00296F54"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696" w:rsidRPr="00C537F0" w:rsidRDefault="001B31DB"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5696" w:rsidRDefault="001B31DB"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W53e9YbJDX6g62fJ9UDsuY5i6RaYv371pwYiuZUu/LINu56MN4vdGVLhfHhoQh6BnZ2OZBo3KsgKM3mNV8g9ig==" w:salt="3rd0lpWG5VYLhnWnYJCH/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F54"/>
    <w:rsid w:val="001B31DB"/>
    <w:rsid w:val="00296F54"/>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9B6E36-7CB6-44E3-90AD-368000572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296F54"/>
    <w:pPr>
      <w:spacing w:after="0" w:line="240" w:lineRule="atLeast"/>
    </w:pPr>
    <w:rPr>
      <w:rFonts w:ascii="Segoe UI" w:hAnsi="Segoe UI"/>
      <w:sz w:val="18"/>
    </w:rPr>
  </w:style>
  <w:style w:type="paragraph" w:styleId="Heading1">
    <w:name w:val="heading 1"/>
    <w:aliases w:val="Hdg 1 w/ border"/>
    <w:next w:val="Normal"/>
    <w:link w:val="Heading1Char"/>
    <w:uiPriority w:val="2"/>
    <w:qFormat/>
    <w:rsid w:val="00296F54"/>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296F54"/>
    <w:pPr>
      <w:keepNext/>
      <w:keepLines/>
      <w:spacing w:before="120" w:after="120" w:line="240" w:lineRule="auto"/>
      <w:outlineLvl w:val="1"/>
    </w:pPr>
    <w:rPr>
      <w:rFonts w:asciiTheme="majorHAnsi" w:eastAsiaTheme="majorEastAsia" w:hAnsiTheme="majorHAnsi" w:cstheme="majorBidi"/>
      <w:b/>
      <w:bCs/>
      <w:color w:val="FFC000"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296F54"/>
    <w:rPr>
      <w:rFonts w:ascii="Segoe UI Light" w:eastAsia="Times New Roman" w:hAnsi="Segoe UI Light" w:cs="Times New Roman"/>
      <w:color w:val="68217A"/>
      <w:kern w:val="36"/>
      <w:sz w:val="36"/>
      <w:szCs w:val="39"/>
    </w:rPr>
  </w:style>
  <w:style w:type="character" w:customStyle="1" w:styleId="Heading2Char">
    <w:name w:val="Heading 2 Char"/>
    <w:basedOn w:val="DefaultParagraphFont"/>
    <w:link w:val="Heading2"/>
    <w:uiPriority w:val="2"/>
    <w:rsid w:val="00296F54"/>
    <w:rPr>
      <w:rFonts w:asciiTheme="majorHAnsi" w:eastAsiaTheme="majorEastAsia" w:hAnsiTheme="majorHAnsi" w:cstheme="majorBidi"/>
      <w:b/>
      <w:bCs/>
      <w:color w:val="FFC000" w:themeColor="accent4"/>
      <w:szCs w:val="18"/>
    </w:rPr>
  </w:style>
  <w:style w:type="paragraph" w:styleId="BalloonText">
    <w:name w:val="Balloon Text"/>
    <w:basedOn w:val="Normal"/>
    <w:link w:val="BalloonTextChar"/>
    <w:uiPriority w:val="99"/>
    <w:semiHidden/>
    <w:unhideWhenUsed/>
    <w:rsid w:val="00296F54"/>
    <w:rPr>
      <w:rFonts w:ascii="Tahoma" w:hAnsi="Tahoma" w:cs="Tahoma"/>
      <w:sz w:val="16"/>
      <w:szCs w:val="16"/>
    </w:rPr>
  </w:style>
  <w:style w:type="character" w:customStyle="1" w:styleId="BalloonTextChar">
    <w:name w:val="Balloon Text Char"/>
    <w:basedOn w:val="DefaultParagraphFont"/>
    <w:link w:val="BalloonText"/>
    <w:uiPriority w:val="99"/>
    <w:semiHidden/>
    <w:rsid w:val="00296F54"/>
    <w:rPr>
      <w:rFonts w:ascii="Tahoma" w:hAnsi="Tahoma" w:cs="Tahoma"/>
      <w:sz w:val="16"/>
      <w:szCs w:val="16"/>
    </w:rPr>
  </w:style>
  <w:style w:type="paragraph" w:customStyle="1" w:styleId="ecxmsonormal">
    <w:name w:val="ecxmsonormal"/>
    <w:basedOn w:val="Normal"/>
    <w:uiPriority w:val="98"/>
    <w:semiHidden/>
    <w:rsid w:val="00296F54"/>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296F54"/>
    <w:rPr>
      <w:color w:val="0563C1" w:themeColor="hyperlink"/>
      <w:u w:val="single"/>
    </w:rPr>
  </w:style>
  <w:style w:type="paragraph" w:styleId="Title">
    <w:name w:val="Title"/>
    <w:basedOn w:val="Normal"/>
    <w:next w:val="Normal"/>
    <w:link w:val="TitleChar"/>
    <w:uiPriority w:val="99"/>
    <w:unhideWhenUsed/>
    <w:rsid w:val="00296F54"/>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296F54"/>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99"/>
    <w:unhideWhenUsed/>
    <w:rsid w:val="00296F54"/>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296F54"/>
    <w:rPr>
      <w:rFonts w:asciiTheme="majorHAnsi" w:eastAsiaTheme="majorEastAsia" w:hAnsiTheme="majorHAnsi" w:cstheme="majorBidi"/>
      <w:i/>
      <w:iCs/>
      <w:color w:val="5B9BD5" w:themeColor="accent1"/>
      <w:spacing w:val="15"/>
      <w:sz w:val="24"/>
      <w:szCs w:val="24"/>
    </w:rPr>
  </w:style>
  <w:style w:type="character" w:styleId="SubtleEmphasis">
    <w:name w:val="Subtle Emphasis"/>
    <w:basedOn w:val="DefaultParagraphFont"/>
    <w:uiPriority w:val="99"/>
    <w:rsid w:val="00296F54"/>
    <w:rPr>
      <w:i/>
      <w:iCs/>
      <w:color w:val="808080" w:themeColor="text1" w:themeTint="7F"/>
    </w:rPr>
  </w:style>
  <w:style w:type="character" w:styleId="Emphasis">
    <w:name w:val="Emphasis"/>
    <w:basedOn w:val="DefaultParagraphFont"/>
    <w:uiPriority w:val="99"/>
    <w:rsid w:val="00296F54"/>
    <w:rPr>
      <w:i/>
      <w:iCs/>
    </w:rPr>
  </w:style>
  <w:style w:type="character" w:styleId="IntenseEmphasis">
    <w:name w:val="Intense Emphasis"/>
    <w:basedOn w:val="DefaultParagraphFont"/>
    <w:uiPriority w:val="21"/>
    <w:unhideWhenUsed/>
    <w:rsid w:val="00296F54"/>
    <w:rPr>
      <w:b/>
      <w:bCs/>
      <w:i/>
      <w:iCs/>
      <w:color w:val="5B9BD5" w:themeColor="accent1"/>
    </w:rPr>
  </w:style>
  <w:style w:type="character" w:styleId="Strong">
    <w:name w:val="Strong"/>
    <w:basedOn w:val="DefaultParagraphFont"/>
    <w:uiPriority w:val="22"/>
    <w:unhideWhenUsed/>
    <w:rsid w:val="00296F54"/>
    <w:rPr>
      <w:b/>
      <w:bCs/>
    </w:rPr>
  </w:style>
  <w:style w:type="paragraph" w:styleId="Quote">
    <w:name w:val="Quote"/>
    <w:basedOn w:val="Normal"/>
    <w:next w:val="Normal"/>
    <w:link w:val="QuoteChar"/>
    <w:uiPriority w:val="29"/>
    <w:unhideWhenUsed/>
    <w:rsid w:val="00296F54"/>
    <w:rPr>
      <w:i/>
      <w:iCs/>
      <w:color w:val="000000" w:themeColor="text1"/>
    </w:rPr>
  </w:style>
  <w:style w:type="character" w:customStyle="1" w:styleId="QuoteChar">
    <w:name w:val="Quote Char"/>
    <w:basedOn w:val="DefaultParagraphFont"/>
    <w:link w:val="Quote"/>
    <w:uiPriority w:val="29"/>
    <w:rsid w:val="00296F54"/>
    <w:rPr>
      <w:rFonts w:ascii="Segoe UI" w:hAnsi="Segoe UI"/>
      <w:i/>
      <w:iCs/>
      <w:color w:val="000000" w:themeColor="text1"/>
      <w:sz w:val="18"/>
    </w:rPr>
  </w:style>
  <w:style w:type="paragraph" w:styleId="IntenseQuote">
    <w:name w:val="Intense Quote"/>
    <w:basedOn w:val="Normal"/>
    <w:next w:val="Normal"/>
    <w:link w:val="IntenseQuoteChar"/>
    <w:uiPriority w:val="30"/>
    <w:unhideWhenUsed/>
    <w:rsid w:val="00296F54"/>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296F54"/>
    <w:rPr>
      <w:rFonts w:ascii="Segoe UI" w:hAnsi="Segoe UI"/>
      <w:b/>
      <w:bCs/>
      <w:i/>
      <w:iCs/>
      <w:color w:val="5B9BD5" w:themeColor="accent1"/>
      <w:sz w:val="18"/>
    </w:rPr>
  </w:style>
  <w:style w:type="character" w:styleId="SubtleReference">
    <w:name w:val="Subtle Reference"/>
    <w:basedOn w:val="DefaultParagraphFont"/>
    <w:uiPriority w:val="31"/>
    <w:unhideWhenUsed/>
    <w:rsid w:val="00296F54"/>
    <w:rPr>
      <w:smallCaps/>
      <w:color w:val="ED7D31" w:themeColor="accent2"/>
      <w:u w:val="single"/>
    </w:rPr>
  </w:style>
  <w:style w:type="character" w:styleId="IntenseReference">
    <w:name w:val="Intense Reference"/>
    <w:basedOn w:val="DefaultParagraphFont"/>
    <w:uiPriority w:val="32"/>
    <w:unhideWhenUsed/>
    <w:rsid w:val="00296F54"/>
    <w:rPr>
      <w:b/>
      <w:bCs/>
      <w:smallCaps/>
      <w:color w:val="ED7D31" w:themeColor="accent2"/>
      <w:spacing w:val="5"/>
      <w:u w:val="single"/>
    </w:rPr>
  </w:style>
  <w:style w:type="character" w:styleId="BookTitle">
    <w:name w:val="Book Title"/>
    <w:basedOn w:val="DefaultParagraphFont"/>
    <w:uiPriority w:val="33"/>
    <w:unhideWhenUsed/>
    <w:rsid w:val="00296F54"/>
    <w:rPr>
      <w:b/>
      <w:bCs/>
      <w:smallCaps/>
      <w:spacing w:val="5"/>
    </w:rPr>
  </w:style>
  <w:style w:type="paragraph" w:styleId="ListParagraph">
    <w:name w:val="List Paragraph"/>
    <w:basedOn w:val="Normal"/>
    <w:uiPriority w:val="34"/>
    <w:unhideWhenUsed/>
    <w:qFormat/>
    <w:rsid w:val="00296F54"/>
  </w:style>
  <w:style w:type="paragraph" w:styleId="NoSpacing">
    <w:name w:val="No Spacing"/>
    <w:uiPriority w:val="98"/>
    <w:rsid w:val="00296F54"/>
    <w:pPr>
      <w:spacing w:after="0" w:line="240" w:lineRule="auto"/>
    </w:pPr>
    <w:rPr>
      <w:rFonts w:ascii="Arial" w:hAnsi="Arial"/>
    </w:rPr>
  </w:style>
  <w:style w:type="table" w:styleId="TableGrid">
    <w:name w:val="Table Grid"/>
    <w:basedOn w:val="TableNormal"/>
    <w:uiPriority w:val="39"/>
    <w:rsid w:val="00296F54"/>
    <w:pPr>
      <w:spacing w:after="0" w:line="240" w:lineRule="auto"/>
    </w:pPr>
    <w:rPr>
      <w:rFonts w:ascii="Arial" w:hAnsi="Arial"/>
      <w:sz w:val="20"/>
    </w:rPr>
    <w:tblPr>
      <w:tblCellMar>
        <w:left w:w="0" w:type="dxa"/>
        <w:right w:w="0" w:type="dxa"/>
      </w:tblCellMar>
    </w:tblPr>
    <w:trPr>
      <w:cantSplit/>
    </w:trPr>
  </w:style>
  <w:style w:type="paragraph" w:customStyle="1" w:styleId="BodyTextIndented">
    <w:name w:val="Body Text Indented"/>
    <w:basedOn w:val="BodyText"/>
    <w:uiPriority w:val="6"/>
    <w:qFormat/>
    <w:rsid w:val="00296F54"/>
    <w:pPr>
      <w:ind w:left="3168"/>
    </w:pPr>
  </w:style>
  <w:style w:type="paragraph" w:styleId="Header">
    <w:name w:val="header"/>
    <w:basedOn w:val="Normal"/>
    <w:link w:val="HeaderChar"/>
    <w:uiPriority w:val="99"/>
    <w:unhideWhenUsed/>
    <w:rsid w:val="00296F54"/>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296F54"/>
    <w:rPr>
      <w:rFonts w:asciiTheme="majorHAnsi" w:hAnsiTheme="majorHAnsi"/>
      <w:color w:val="68217A"/>
      <w:sz w:val="40"/>
    </w:rPr>
  </w:style>
  <w:style w:type="paragraph" w:styleId="Footer">
    <w:name w:val="footer"/>
    <w:link w:val="FooterChar"/>
    <w:uiPriority w:val="99"/>
    <w:unhideWhenUsed/>
    <w:rsid w:val="00296F54"/>
    <w:pPr>
      <w:pBdr>
        <w:top w:val="single" w:sz="4" w:space="5" w:color="969696"/>
      </w:pBdr>
      <w:tabs>
        <w:tab w:val="center" w:pos="4680"/>
        <w:tab w:val="right" w:pos="9360"/>
      </w:tabs>
      <w:spacing w:after="0" w:line="240" w:lineRule="auto"/>
    </w:pPr>
    <w:rPr>
      <w:rFonts w:ascii="Segoe UI" w:hAnsi="Segoe UI"/>
      <w:color w:val="505050"/>
      <w:sz w:val="18"/>
    </w:rPr>
  </w:style>
  <w:style w:type="character" w:customStyle="1" w:styleId="FooterChar">
    <w:name w:val="Footer Char"/>
    <w:basedOn w:val="DefaultParagraphFont"/>
    <w:link w:val="Footer"/>
    <w:uiPriority w:val="99"/>
    <w:rsid w:val="00296F54"/>
    <w:rPr>
      <w:rFonts w:ascii="Segoe UI" w:hAnsi="Segoe UI"/>
      <w:color w:val="505050"/>
      <w:sz w:val="18"/>
    </w:rPr>
  </w:style>
  <w:style w:type="paragraph" w:customStyle="1" w:styleId="DocTitle">
    <w:name w:val="DocTitle"/>
    <w:rsid w:val="00296F54"/>
    <w:pPr>
      <w:spacing w:after="0"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96F54"/>
    <w:pPr>
      <w:pageBreakBefore/>
      <w:pBdr>
        <w:bottom w:val="single" w:sz="36" w:space="6" w:color="68217A"/>
      </w:pBdr>
      <w:spacing w:before="1320" w:after="720" w:line="240" w:lineRule="auto"/>
      <w:ind w:right="1440"/>
    </w:pPr>
    <w:rPr>
      <w:rFonts w:ascii="Segoe UI" w:hAnsi="Segoe UI"/>
      <w:color w:val="68217A"/>
      <w:sz w:val="32"/>
    </w:rPr>
  </w:style>
  <w:style w:type="paragraph" w:styleId="Caption">
    <w:name w:val="caption"/>
    <w:aliases w:val="Caption underneath"/>
    <w:basedOn w:val="Normal"/>
    <w:uiPriority w:val="9"/>
    <w:qFormat/>
    <w:rsid w:val="00296F54"/>
    <w:pPr>
      <w:spacing w:before="60" w:after="300" w:line="180" w:lineRule="atLeast"/>
    </w:pPr>
    <w:rPr>
      <w:i/>
      <w:sz w:val="14"/>
    </w:rPr>
  </w:style>
  <w:style w:type="paragraph" w:customStyle="1" w:styleId="Legalese">
    <w:name w:val="Legalese"/>
    <w:uiPriority w:val="13"/>
    <w:qFormat/>
    <w:rsid w:val="00296F54"/>
    <w:pPr>
      <w:spacing w:after="120" w:line="180" w:lineRule="atLeast"/>
    </w:pPr>
    <w:rPr>
      <w:rFonts w:ascii="Segoe UI" w:eastAsia="Times New Roman" w:hAnsi="Segoe UI" w:cs="Times New Roman"/>
      <w:color w:val="000000" w:themeColor="text1"/>
      <w:sz w:val="14"/>
      <w:szCs w:val="20"/>
    </w:rPr>
  </w:style>
  <w:style w:type="paragraph" w:styleId="TOC1">
    <w:name w:val="toc 1"/>
    <w:basedOn w:val="Normal"/>
    <w:next w:val="Normal"/>
    <w:uiPriority w:val="39"/>
    <w:unhideWhenUsed/>
    <w:rsid w:val="00296F54"/>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296F54"/>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296F54"/>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296F54"/>
    <w:pPr>
      <w:spacing w:after="0" w:line="240" w:lineRule="auto"/>
    </w:pPr>
    <w:rPr>
      <w:sz w:val="18"/>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296F54"/>
    <w:pPr>
      <w:keepNext/>
    </w:pPr>
    <w:rPr>
      <w:color w:val="FFFFFF"/>
      <w:sz w:val="22"/>
    </w:rPr>
  </w:style>
  <w:style w:type="paragraph" w:customStyle="1" w:styleId="Hdg1noborder">
    <w:name w:val="Hdg 1 no border"/>
    <w:basedOn w:val="Heading1"/>
    <w:uiPriority w:val="2"/>
    <w:qFormat/>
    <w:rsid w:val="00296F54"/>
    <w:pPr>
      <w:pBdr>
        <w:top w:val="none" w:sz="0" w:space="0" w:color="auto"/>
      </w:pBdr>
      <w:spacing w:before="360"/>
    </w:pPr>
    <w:rPr>
      <w:rFonts w:ascii="Segoe UI" w:hAnsi="Segoe UI"/>
      <w:b/>
      <w:szCs w:val="20"/>
    </w:rPr>
  </w:style>
  <w:style w:type="paragraph" w:customStyle="1" w:styleId="DocSubtitle">
    <w:name w:val="DocSubtitle"/>
    <w:next w:val="DocTitle"/>
    <w:rsid w:val="00296F54"/>
    <w:pPr>
      <w:pageBreakBefore/>
      <w:spacing w:before="1080" w:after="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296F54"/>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296F54"/>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296F54"/>
    <w:pPr>
      <w:keepNext/>
      <w:spacing w:after="0" w:line="240" w:lineRule="auto"/>
    </w:pPr>
    <w:rPr>
      <w:rFonts w:ascii="Segoe UI" w:eastAsia="Times New Roman" w:hAnsi="Segoe UI" w:cs="Times New Roman"/>
      <w:noProof/>
      <w:color w:val="000000" w:themeColor="text1"/>
      <w:sz w:val="16"/>
      <w:szCs w:val="20"/>
    </w:rPr>
  </w:style>
  <w:style w:type="paragraph" w:customStyle="1" w:styleId="Sidebarheading">
    <w:name w:val="Sidebar heading"/>
    <w:uiPriority w:val="7"/>
    <w:qFormat/>
    <w:rsid w:val="00296F54"/>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296F54"/>
    <w:pPr>
      <w:spacing w:after="0"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296F54"/>
    <w:pPr>
      <w:spacing w:before="3000"/>
      <w:ind w:left="-144"/>
    </w:pPr>
    <w:rPr>
      <w:color w:val="FFFFFF"/>
    </w:rPr>
  </w:style>
  <w:style w:type="paragraph" w:customStyle="1" w:styleId="SpacerafterToChdgV3">
    <w:name w:val="Spacer after ToC hdg V3"/>
    <w:uiPriority w:val="20"/>
    <w:rsid w:val="00296F54"/>
    <w:pPr>
      <w:spacing w:after="0" w:line="240" w:lineRule="auto"/>
    </w:pPr>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296F54"/>
    <w:pPr>
      <w:ind w:left="3150"/>
    </w:pPr>
    <w:rPr>
      <w:szCs w:val="20"/>
    </w:rPr>
  </w:style>
  <w:style w:type="paragraph" w:customStyle="1" w:styleId="Hdg1noborderindented">
    <w:name w:val="Hdg 1 no border indented"/>
    <w:basedOn w:val="Hdg1noborder"/>
    <w:uiPriority w:val="4"/>
    <w:qFormat/>
    <w:rsid w:val="00296F54"/>
    <w:pPr>
      <w:ind w:left="3150"/>
    </w:pPr>
  </w:style>
  <w:style w:type="paragraph" w:customStyle="1" w:styleId="Heading2indented">
    <w:name w:val="Heading 2 indented"/>
    <w:basedOn w:val="Heading2"/>
    <w:uiPriority w:val="5"/>
    <w:qFormat/>
    <w:rsid w:val="00296F54"/>
    <w:pPr>
      <w:ind w:left="3150"/>
    </w:pPr>
    <w:rPr>
      <w:rFonts w:eastAsia="Times New Roman" w:cs="Times New Roman"/>
      <w:szCs w:val="20"/>
    </w:rPr>
  </w:style>
  <w:style w:type="paragraph" w:customStyle="1" w:styleId="Bullet">
    <w:name w:val="Bullet"/>
    <w:basedOn w:val="BodyText"/>
    <w:uiPriority w:val="3"/>
    <w:qFormat/>
    <w:rsid w:val="00296F54"/>
    <w:pPr>
      <w:numPr>
        <w:numId w:val="12"/>
      </w:numPr>
    </w:pPr>
  </w:style>
  <w:style w:type="paragraph" w:customStyle="1" w:styleId="Bulletindented">
    <w:name w:val="Bullet indented"/>
    <w:basedOn w:val="Bullet"/>
    <w:uiPriority w:val="7"/>
    <w:qFormat/>
    <w:rsid w:val="00296F54"/>
    <w:pPr>
      <w:ind w:left="3528"/>
    </w:pPr>
  </w:style>
  <w:style w:type="paragraph" w:customStyle="1" w:styleId="Bulletnexttosidebar">
    <w:name w:val="Bullet next to sidebar"/>
    <w:basedOn w:val="Bulletindented"/>
    <w:uiPriority w:val="7"/>
    <w:qFormat/>
    <w:rsid w:val="00296F54"/>
    <w:pPr>
      <w:ind w:left="3442" w:hanging="3442"/>
    </w:pPr>
  </w:style>
  <w:style w:type="paragraph" w:customStyle="1" w:styleId="TOCHeadingV2">
    <w:name w:val="TOC Heading V2"/>
    <w:basedOn w:val="TOCHeadingV1"/>
    <w:uiPriority w:val="19"/>
    <w:qFormat/>
    <w:rsid w:val="00296F54"/>
    <w:pPr>
      <w:pBdr>
        <w:bottom w:val="none" w:sz="0" w:space="0" w:color="auto"/>
      </w:pBdr>
      <w:spacing w:before="1440" w:after="120"/>
      <w:ind w:left="1440"/>
    </w:pPr>
  </w:style>
  <w:style w:type="paragraph" w:customStyle="1" w:styleId="TOCHeadingV3">
    <w:name w:val="TOC Heading V3"/>
    <w:basedOn w:val="TOCHeadingV1"/>
    <w:uiPriority w:val="19"/>
    <w:qFormat/>
    <w:rsid w:val="00296F54"/>
    <w:pPr>
      <w:pBdr>
        <w:bottom w:val="none" w:sz="0" w:space="0" w:color="auto"/>
      </w:pBdr>
      <w:spacing w:before="120" w:after="0"/>
    </w:pPr>
    <w:rPr>
      <w:sz w:val="40"/>
    </w:rPr>
  </w:style>
  <w:style w:type="paragraph" w:customStyle="1" w:styleId="Tablespacerrows">
    <w:name w:val="Table spacer rows"/>
    <w:uiPriority w:val="12"/>
    <w:qFormat/>
    <w:rsid w:val="00296F54"/>
    <w:pPr>
      <w:keepNext/>
      <w:spacing w:after="0" w:line="240" w:lineRule="auto"/>
    </w:pPr>
    <w:rPr>
      <w:rFonts w:ascii="Segoe UI" w:eastAsia="Times New Roman" w:hAnsi="Segoe UI" w:cs="Times New Roman"/>
      <w:noProof/>
      <w:color w:val="000000" w:themeColor="text1"/>
      <w:sz w:val="16"/>
      <w:szCs w:val="20"/>
    </w:rPr>
  </w:style>
  <w:style w:type="paragraph" w:customStyle="1" w:styleId="Captiontotheleft">
    <w:name w:val="Caption to the left"/>
    <w:basedOn w:val="Caption"/>
    <w:uiPriority w:val="9"/>
    <w:rsid w:val="00296F54"/>
    <w:pPr>
      <w:spacing w:after="120"/>
    </w:pPr>
    <w:rPr>
      <w:rFonts w:eastAsia="Times New Roman" w:cs="Times New Roman"/>
      <w:iCs/>
      <w:szCs w:val="20"/>
    </w:rPr>
  </w:style>
  <w:style w:type="paragraph" w:customStyle="1" w:styleId="VLBodyBullet">
    <w:name w:val="VL Body Bullet"/>
    <w:basedOn w:val="Normal"/>
    <w:qFormat/>
    <w:rsid w:val="00296F54"/>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296F54"/>
    <w:pPr>
      <w:spacing w:after="0" w:line="240" w:lineRule="auto"/>
    </w:pPr>
    <w:rPr>
      <w:sz w:val="24"/>
      <w:szCs w:val="24"/>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296F54"/>
    <w:pPr>
      <w:spacing w:before="60" w:after="60" w:line="240" w:lineRule="auto"/>
    </w:pPr>
    <w:rPr>
      <w:b/>
      <w:bCs/>
      <w:color w:val="FFFFFF" w:themeColor="background1"/>
    </w:rPr>
  </w:style>
  <w:style w:type="paragraph" w:customStyle="1" w:styleId="VLTableBullets">
    <w:name w:val="VL Table Bullets"/>
    <w:basedOn w:val="VLBodyBullet"/>
    <w:rsid w:val="00296F54"/>
    <w:pPr>
      <w:spacing w:line="200" w:lineRule="exact"/>
      <w:ind w:left="432"/>
    </w:pPr>
    <w:rPr>
      <w:spacing w:val="-2"/>
      <w:sz w:val="17"/>
    </w:rPr>
  </w:style>
  <w:style w:type="paragraph" w:customStyle="1" w:styleId="VLTabletext">
    <w:name w:val="VL Table text"/>
    <w:basedOn w:val="Normal"/>
    <w:rsid w:val="00296F54"/>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296F54"/>
    <w:pPr>
      <w:spacing w:after="0" w:line="240" w:lineRule="auto"/>
    </w:pPr>
    <w:rPr>
      <w:rFonts w:ascii="Arial" w:hAnsi="Arial"/>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296F54"/>
    <w:pPr>
      <w:spacing w:after="0" w:line="240" w:lineRule="auto"/>
    </w:pPr>
    <w:rPr>
      <w:rFonts w:ascii="Arial" w:hAnsi="Arial"/>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296F54"/>
    <w:pPr>
      <w:numPr>
        <w:numId w:val="14"/>
      </w:numPr>
      <w:spacing w:after="60" w:line="240" w:lineRule="auto"/>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296F54"/>
    <w:rPr>
      <w:color w:val="954F72" w:themeColor="followedHyperlink"/>
      <w:u w:val="single"/>
    </w:rPr>
  </w:style>
  <w:style w:type="paragraph" w:customStyle="1" w:styleId="VLBodyCopy2">
    <w:name w:val="VL Body Copy 2"/>
    <w:basedOn w:val="Normal"/>
    <w:next w:val="Normal"/>
    <w:link w:val="VLBodyCopy2Char"/>
    <w:qFormat/>
    <w:rsid w:val="00296F54"/>
    <w:pPr>
      <w:spacing w:line="240" w:lineRule="auto"/>
    </w:pPr>
    <w:rPr>
      <w:color w:val="595959" w:themeColor="text1" w:themeTint="A6"/>
      <w:sz w:val="19"/>
    </w:rPr>
  </w:style>
  <w:style w:type="character" w:customStyle="1" w:styleId="VLBodyCopy2Char">
    <w:name w:val="VL Body Copy 2 Char"/>
    <w:basedOn w:val="DefaultParagraphFont"/>
    <w:link w:val="VLBodyCopy2"/>
    <w:rsid w:val="00296F54"/>
    <w:rPr>
      <w:rFonts w:ascii="Segoe UI" w:hAnsi="Segoe UI"/>
      <w:color w:val="595959" w:themeColor="text1" w:themeTint="A6"/>
      <w:sz w:val="19"/>
    </w:rPr>
  </w:style>
  <w:style w:type="character" w:styleId="CommentReference">
    <w:name w:val="annotation reference"/>
    <w:basedOn w:val="DefaultParagraphFont"/>
    <w:unhideWhenUsed/>
    <w:rsid w:val="00296F54"/>
    <w:rPr>
      <w:sz w:val="16"/>
      <w:szCs w:val="16"/>
    </w:rPr>
  </w:style>
  <w:style w:type="paragraph" w:styleId="CommentText">
    <w:name w:val="annotation text"/>
    <w:basedOn w:val="Normal"/>
    <w:link w:val="CommentTextChar"/>
    <w:uiPriority w:val="99"/>
    <w:semiHidden/>
    <w:unhideWhenUsed/>
    <w:rsid w:val="00296F54"/>
    <w:pPr>
      <w:spacing w:line="240" w:lineRule="auto"/>
    </w:pPr>
    <w:rPr>
      <w:sz w:val="20"/>
      <w:szCs w:val="20"/>
    </w:rPr>
  </w:style>
  <w:style w:type="character" w:customStyle="1" w:styleId="CommentTextChar">
    <w:name w:val="Comment Text Char"/>
    <w:basedOn w:val="DefaultParagraphFont"/>
    <w:link w:val="CommentText"/>
    <w:uiPriority w:val="99"/>
    <w:semiHidden/>
    <w:rsid w:val="00296F54"/>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296F54"/>
    <w:rPr>
      <w:b/>
      <w:bCs/>
    </w:rPr>
  </w:style>
  <w:style w:type="character" w:customStyle="1" w:styleId="CommentSubjectChar">
    <w:name w:val="Comment Subject Char"/>
    <w:basedOn w:val="CommentTextChar"/>
    <w:link w:val="CommentSubject"/>
    <w:uiPriority w:val="99"/>
    <w:semiHidden/>
    <w:rsid w:val="00296F54"/>
    <w:rPr>
      <w:rFonts w:ascii="Segoe UI" w:hAnsi="Segoe UI"/>
      <w:b/>
      <w:bCs/>
      <w:sz w:val="20"/>
      <w:szCs w:val="20"/>
    </w:rPr>
  </w:style>
  <w:style w:type="paragraph" w:styleId="NormalWeb">
    <w:name w:val="Normal (Web)"/>
    <w:basedOn w:val="Normal"/>
    <w:uiPriority w:val="99"/>
    <w:unhideWhenUsed/>
    <w:rsid w:val="00296F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296F54"/>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296F54"/>
    <w:rPr>
      <w:rFonts w:ascii="Segoe UI" w:hAnsi="Segoe UI"/>
      <w:color w:val="5B9BD5" w:themeColor="accent1"/>
      <w:sz w:val="25"/>
      <w:szCs w:val="24"/>
    </w:rPr>
  </w:style>
  <w:style w:type="paragraph" w:styleId="FootnoteText">
    <w:name w:val="footnote text"/>
    <w:basedOn w:val="Normal"/>
    <w:link w:val="FootnoteTextChar"/>
    <w:uiPriority w:val="99"/>
    <w:semiHidden/>
    <w:unhideWhenUsed/>
    <w:rsid w:val="00296F54"/>
    <w:pPr>
      <w:spacing w:line="240" w:lineRule="auto"/>
    </w:pPr>
    <w:rPr>
      <w:sz w:val="20"/>
      <w:szCs w:val="20"/>
    </w:rPr>
  </w:style>
  <w:style w:type="character" w:customStyle="1" w:styleId="FootnoteTextChar">
    <w:name w:val="Footnote Text Char"/>
    <w:basedOn w:val="DefaultParagraphFont"/>
    <w:link w:val="FootnoteText"/>
    <w:uiPriority w:val="99"/>
    <w:semiHidden/>
    <w:rsid w:val="00296F54"/>
    <w:rPr>
      <w:rFonts w:ascii="Segoe UI" w:hAnsi="Segoe UI"/>
      <w:sz w:val="20"/>
      <w:szCs w:val="20"/>
    </w:rPr>
  </w:style>
  <w:style w:type="character" w:styleId="FootnoteReference">
    <w:name w:val="footnote reference"/>
    <w:basedOn w:val="DefaultParagraphFont"/>
    <w:uiPriority w:val="99"/>
    <w:semiHidden/>
    <w:unhideWhenUsed/>
    <w:rsid w:val="00296F54"/>
    <w:rPr>
      <w:vertAlign w:val="superscript"/>
    </w:rPr>
  </w:style>
  <w:style w:type="paragraph" w:customStyle="1" w:styleId="AppendixTableHeadings">
    <w:name w:val="Appendix Table Headings"/>
    <w:basedOn w:val="AppendixTableText"/>
    <w:rsid w:val="00296F54"/>
    <w:rPr>
      <w:b/>
      <w:bCs/>
    </w:rPr>
  </w:style>
  <w:style w:type="paragraph" w:customStyle="1" w:styleId="AppendixTableText">
    <w:name w:val="Appendix Table Text"/>
    <w:basedOn w:val="Normal"/>
    <w:rsid w:val="00296F54"/>
    <w:pPr>
      <w:jc w:val="center"/>
    </w:pPr>
    <w:rPr>
      <w:rFonts w:ascii="Trebuchet MS" w:eastAsia="MS Mincho" w:hAnsi="Trebuchet MS" w:cs="Arial"/>
      <w:szCs w:val="18"/>
    </w:rPr>
  </w:style>
  <w:style w:type="paragraph" w:styleId="Revision">
    <w:name w:val="Revision"/>
    <w:hidden/>
    <w:uiPriority w:val="99"/>
    <w:semiHidden/>
    <w:rsid w:val="00296F54"/>
    <w:pPr>
      <w:spacing w:after="0" w:line="240" w:lineRule="auto"/>
    </w:pPr>
    <w:rPr>
      <w:rFonts w:ascii="Segoe UI" w:hAnsi="Segoe UI"/>
      <w:sz w:val="18"/>
    </w:rPr>
  </w:style>
  <w:style w:type="table" w:customStyle="1" w:styleId="GridTable4-Accent41">
    <w:name w:val="Grid Table 4 - Accent 41"/>
    <w:basedOn w:val="TableNormal"/>
    <w:uiPriority w:val="49"/>
    <w:rsid w:val="00296F54"/>
    <w:pPr>
      <w:spacing w:after="0" w:line="240" w:lineRule="auto"/>
    </w:pPr>
    <w:rPr>
      <w:rFonts w:ascii="Arial" w:hAnsi="Arial"/>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296F54"/>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296F54"/>
    <w:rPr>
      <w:rFonts w:ascii="Segoe UI Semibold" w:hAnsi="Segoe UI Semibold"/>
      <w:color w:val="404040" w:themeColor="text1" w:themeTint="BF"/>
      <w:sz w:val="19"/>
    </w:rPr>
  </w:style>
  <w:style w:type="paragraph" w:customStyle="1" w:styleId="tableheading">
    <w:name w:val="table heading"/>
    <w:basedOn w:val="BodyText"/>
    <w:next w:val="Hdg1noborder"/>
    <w:link w:val="tableheadingChar"/>
    <w:uiPriority w:val="11"/>
    <w:qFormat/>
    <w:rsid w:val="00296F54"/>
    <w:pPr>
      <w:spacing w:before="120"/>
    </w:pPr>
    <w:rPr>
      <w:color w:val="68217A"/>
      <w:sz w:val="40"/>
    </w:rPr>
  </w:style>
  <w:style w:type="paragraph" w:customStyle="1" w:styleId="newheading2shurley">
    <w:name w:val="new heading 2 shurley"/>
    <w:basedOn w:val="Heading2"/>
    <w:link w:val="newheading2shurleyChar"/>
    <w:uiPriority w:val="11"/>
    <w:qFormat/>
    <w:rsid w:val="00296F54"/>
    <w:rPr>
      <w:b w:val="0"/>
      <w:sz w:val="28"/>
    </w:rPr>
  </w:style>
  <w:style w:type="character" w:customStyle="1" w:styleId="tableheadingChar">
    <w:name w:val="table heading Char"/>
    <w:basedOn w:val="BodyTextChar"/>
    <w:link w:val="tableheading"/>
    <w:uiPriority w:val="11"/>
    <w:rsid w:val="00296F54"/>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296F54"/>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296F54"/>
    <w:rPr>
      <w:rFonts w:asciiTheme="majorHAnsi" w:eastAsiaTheme="majorEastAsia" w:hAnsiTheme="majorHAnsi" w:cstheme="majorBidi"/>
      <w:b w:val="0"/>
      <w:bCs/>
      <w:color w:val="FFC000" w:themeColor="accent4"/>
      <w:sz w:val="28"/>
      <w:szCs w:val="18"/>
    </w:rPr>
  </w:style>
  <w:style w:type="character" w:customStyle="1" w:styleId="ThirdheadingChar">
    <w:name w:val="Third heading Char"/>
    <w:basedOn w:val="BodyTextChar"/>
    <w:link w:val="Thirdheading"/>
    <w:uiPriority w:val="11"/>
    <w:rsid w:val="00296F54"/>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296F5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296F54"/>
    <w:rPr>
      <w:sz w:val="18"/>
    </w:rPr>
  </w:style>
  <w:style w:type="paragraph" w:customStyle="1" w:styleId="ProductList-Offering1Heading">
    <w:name w:val="Product List - Offering 1 Heading"/>
    <w:basedOn w:val="ProductList-Body"/>
    <w:next w:val="ProductList-Body"/>
    <w:link w:val="ProductList-Offering1HeadingChar"/>
    <w:qFormat/>
    <w:rsid w:val="00296F54"/>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96F54"/>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296F54"/>
  </w:style>
  <w:style w:type="character" w:customStyle="1" w:styleId="ProductList-SubSubSectionHeadingChar">
    <w:name w:val="Product List - SubSubSection Heading Char"/>
    <w:basedOn w:val="ProductList-BodyChar"/>
    <w:link w:val="ProductList-SubSubSectionHeading"/>
    <w:rsid w:val="00296F54"/>
    <w:rPr>
      <w:sz w:val="18"/>
    </w:rPr>
  </w:style>
  <w:style w:type="paragraph" w:styleId="TOC5">
    <w:name w:val="toc 5"/>
    <w:basedOn w:val="Normal"/>
    <w:next w:val="Normal"/>
    <w:autoRedefine/>
    <w:uiPriority w:val="39"/>
    <w:semiHidden/>
    <w:unhideWhenUsed/>
    <w:rsid w:val="00296F54"/>
    <w:pPr>
      <w:spacing w:after="100"/>
      <w:ind w:left="720"/>
    </w:pPr>
  </w:style>
  <w:style w:type="table" w:customStyle="1" w:styleId="PlainTable11">
    <w:name w:val="Plain Table 11"/>
    <w:basedOn w:val="TableNormal"/>
    <w:uiPriority w:val="41"/>
    <w:rsid w:val="00296F54"/>
    <w:pPr>
      <w:spacing w:after="0" w:line="240" w:lineRule="auto"/>
    </w:pPr>
    <w:rPr>
      <w:rFonts w:ascii="Arial" w:hAnsi="Ari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296F54"/>
    <w:rPr>
      <w:rFonts w:ascii="Courier New" w:hAnsi="Courier New" w:cs="Courier New"/>
      <w:b w:val="0"/>
      <w:i w:val="0"/>
      <w:color w:val="FF0000"/>
      <w:sz w:val="18"/>
    </w:rPr>
  </w:style>
  <w:style w:type="character" w:customStyle="1" w:styleId="LogoportDoNotTranslate">
    <w:name w:val="LogoportDoNotTranslate"/>
    <w:basedOn w:val="DefaultParagraphFont"/>
    <w:rsid w:val="00296F54"/>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10409</Words>
  <Characters>59336</Characters>
  <Application>Microsoft Office Word</Application>
  <DocSecurity>0</DocSecurity>
  <Lines>494</Lines>
  <Paragraphs>139</Paragraphs>
  <ScaleCrop>false</ScaleCrop>
  <Company/>
  <LinksUpToDate>false</LinksUpToDate>
  <CharactersWithSpaces>69606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