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0947ECA2" w:rsidR="00112B7F" w:rsidRPr="001165AA" w:rsidRDefault="00840B46" w:rsidP="00777C56">
      <w:pPr>
        <w:pStyle w:val="DocSubtitle"/>
      </w:pPr>
      <w:bookmarkStart w:id="0" w:name="_GoBack"/>
      <w:bookmarkEnd w:id="0"/>
      <w:r>
        <w:rPr>
          <w:noProof/>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Licencias por Volumen de Microsoft </w:t>
      </w:r>
    </w:p>
    <w:p w14:paraId="5A22EF86" w14:textId="77777777" w:rsidR="00C415FE" w:rsidRPr="001165AA" w:rsidRDefault="003B5822" w:rsidP="00EA4630">
      <w:pPr>
        <w:pStyle w:val="DocTitle"/>
      </w:pPr>
      <w:r>
        <w:t>Manual de Licencia del Contrato de Productos y Servicios de Microsoft</w:t>
      </w:r>
    </w:p>
    <w:p w14:paraId="094BDD3F" w14:textId="77777777" w:rsidR="00C415FE" w:rsidRPr="001165AA" w:rsidRDefault="00C415FE" w:rsidP="00EA4630">
      <w:pPr>
        <w:pStyle w:val="DocTitle"/>
      </w:pPr>
    </w:p>
    <w:p w14:paraId="3E736D23" w14:textId="25D397D1" w:rsidR="001D1377" w:rsidRPr="001165AA" w:rsidRDefault="003355F7" w:rsidP="00CC6A48">
      <w:pPr>
        <w:pStyle w:val="DocTitle"/>
      </w:pPr>
      <w:r>
        <w:t>agosto de 2016</w:t>
      </w:r>
    </w:p>
    <w:p w14:paraId="6D2EBAD8" w14:textId="77777777" w:rsidR="001D1377" w:rsidRPr="001165AA" w:rsidRDefault="001D1377" w:rsidP="003F7CA9"/>
    <w:p w14:paraId="34C2D639" w14:textId="77777777" w:rsidR="002322E1" w:rsidRPr="001165AA" w:rsidRDefault="002322E1" w:rsidP="003F7CA9"/>
    <w:p w14:paraId="31A115F6" w14:textId="1570FF82" w:rsidR="00112B7F" w:rsidRPr="001165AA" w:rsidRDefault="00112B7F" w:rsidP="003F7CA9">
      <w:r>
        <w:rPr>
          <w:noProof/>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1165AA" w:rsidRDefault="00112B7F" w:rsidP="00B8569E">
      <w:pPr>
        <w:pStyle w:val="DocTitlewhite"/>
      </w:pPr>
    </w:p>
    <w:p w14:paraId="68188B2A" w14:textId="77777777" w:rsidR="00112B7F" w:rsidRPr="001165AA" w:rsidRDefault="00112B7F" w:rsidP="00B8569E"/>
    <w:p w14:paraId="109FA646" w14:textId="77777777" w:rsidR="001D1377" w:rsidRPr="001165AA" w:rsidRDefault="001D1377" w:rsidP="00B8569E"/>
    <w:p w14:paraId="57BA8101" w14:textId="77777777" w:rsidR="00112B7F" w:rsidRPr="001165AA" w:rsidRDefault="00112B7F" w:rsidP="00B8569E"/>
    <w:p w14:paraId="28F3D855" w14:textId="77777777" w:rsidR="00112B7F" w:rsidRPr="001165AA" w:rsidRDefault="00112B7F" w:rsidP="00B8569E">
      <w:pPr>
        <w:pStyle w:val="DocTitle"/>
      </w:pPr>
    </w:p>
    <w:p w14:paraId="2DBF0DF8" w14:textId="77777777" w:rsidR="00112B7F" w:rsidRPr="001165AA"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1165AA" w:rsidRDefault="00C415FE" w:rsidP="00EC190C">
      <w:pPr>
        <w:pStyle w:val="BodyText"/>
      </w:pPr>
      <w:r>
        <w:rPr>
          <w:rFonts w:ascii="Segoe UI Light" w:hAnsi="Segoe UI Light"/>
          <w:color w:val="68217A"/>
          <w:sz w:val="36"/>
        </w:rPr>
        <w:lastRenderedPageBreak/>
        <w:t>Tabla de contenido</w:t>
      </w:r>
    </w:p>
    <w:p w14:paraId="6737D052" w14:textId="77777777" w:rsidR="00D86939" w:rsidRDefault="0037779D">
      <w:pPr>
        <w:pStyle w:val="TOC1"/>
        <w:rPr>
          <w:rFonts w:asciiTheme="minorHAnsi" w:eastAsiaTheme="minorEastAsia" w:hAnsiTheme="minorHAnsi"/>
          <w:color w:val="auto"/>
          <w:sz w:val="22"/>
        </w:rPr>
      </w:pPr>
      <w:r>
        <w:fldChar w:fldCharType="begin"/>
      </w:r>
      <w:r>
        <w:instrText xml:space="preserve"> TOC \o "1-2" \h \z \u </w:instrText>
      </w:r>
      <w:r>
        <w:fldChar w:fldCharType="separate"/>
      </w:r>
      <w:hyperlink w:anchor="_Toc457924332" w:history="1">
        <w:r w:rsidR="00D86939" w:rsidRPr="00E753AF">
          <w:rPr>
            <w:rStyle w:val="Hyperlink"/>
          </w:rPr>
          <w:t>Recursos y propósito del documento</w:t>
        </w:r>
        <w:r w:rsidR="00D86939">
          <w:rPr>
            <w:webHidden/>
          </w:rPr>
          <w:tab/>
        </w:r>
        <w:r w:rsidR="00D86939">
          <w:rPr>
            <w:webHidden/>
          </w:rPr>
          <w:fldChar w:fldCharType="begin"/>
        </w:r>
        <w:r w:rsidR="00D86939">
          <w:rPr>
            <w:webHidden/>
          </w:rPr>
          <w:instrText xml:space="preserve"> PAGEREF _Toc457924332 \h </w:instrText>
        </w:r>
        <w:r w:rsidR="00D86939">
          <w:rPr>
            <w:webHidden/>
          </w:rPr>
        </w:r>
        <w:r w:rsidR="00D86939">
          <w:rPr>
            <w:webHidden/>
          </w:rPr>
          <w:fldChar w:fldCharType="separate"/>
        </w:r>
        <w:r w:rsidR="008377DF">
          <w:rPr>
            <w:webHidden/>
          </w:rPr>
          <w:t>1</w:t>
        </w:r>
        <w:r w:rsidR="00D86939">
          <w:rPr>
            <w:webHidden/>
          </w:rPr>
          <w:fldChar w:fldCharType="end"/>
        </w:r>
      </w:hyperlink>
    </w:p>
    <w:p w14:paraId="633FCB62" w14:textId="77777777" w:rsidR="00D86939" w:rsidRDefault="00BD7AC6">
      <w:pPr>
        <w:pStyle w:val="TOC1"/>
        <w:rPr>
          <w:rFonts w:asciiTheme="minorHAnsi" w:eastAsiaTheme="minorEastAsia" w:hAnsiTheme="minorHAnsi"/>
          <w:color w:val="auto"/>
          <w:sz w:val="22"/>
        </w:rPr>
      </w:pPr>
      <w:hyperlink w:anchor="_Toc457924333" w:history="1">
        <w:r w:rsidR="00D86939" w:rsidRPr="00E753AF">
          <w:rPr>
            <w:rStyle w:val="Hyperlink"/>
          </w:rPr>
          <w:t>Sección 1</w:t>
        </w:r>
        <w:r w:rsidR="00D86939">
          <w:rPr>
            <w:webHidden/>
          </w:rPr>
          <w:tab/>
        </w:r>
        <w:r w:rsidR="00D86939">
          <w:rPr>
            <w:webHidden/>
          </w:rPr>
          <w:fldChar w:fldCharType="begin"/>
        </w:r>
        <w:r w:rsidR="00D86939">
          <w:rPr>
            <w:webHidden/>
          </w:rPr>
          <w:instrText xml:space="preserve"> PAGEREF _Toc457924333 \h </w:instrText>
        </w:r>
        <w:r w:rsidR="00D86939">
          <w:rPr>
            <w:webHidden/>
          </w:rPr>
        </w:r>
        <w:r w:rsidR="00D86939">
          <w:rPr>
            <w:webHidden/>
          </w:rPr>
          <w:fldChar w:fldCharType="separate"/>
        </w:r>
        <w:r w:rsidR="008377DF">
          <w:rPr>
            <w:webHidden/>
          </w:rPr>
          <w:t>2</w:t>
        </w:r>
        <w:r w:rsidR="00D86939">
          <w:rPr>
            <w:webHidden/>
          </w:rPr>
          <w:fldChar w:fldCharType="end"/>
        </w:r>
      </w:hyperlink>
    </w:p>
    <w:p w14:paraId="216A472B" w14:textId="77777777" w:rsidR="00D86939" w:rsidRDefault="00BD7AC6">
      <w:pPr>
        <w:pStyle w:val="TOC1"/>
        <w:rPr>
          <w:rFonts w:asciiTheme="minorHAnsi" w:eastAsiaTheme="minorEastAsia" w:hAnsiTheme="minorHAnsi"/>
          <w:color w:val="auto"/>
          <w:sz w:val="22"/>
        </w:rPr>
      </w:pPr>
      <w:hyperlink w:anchor="_Toc457924334" w:history="1">
        <w:r w:rsidR="00D86939" w:rsidRPr="00E753AF">
          <w:rPr>
            <w:rStyle w:val="Hyperlink"/>
            <w:rFonts w:asciiTheme="majorHAnsi" w:eastAsiaTheme="majorEastAsia" w:hAnsiTheme="majorHAnsi" w:cstheme="majorBidi"/>
            <w:bCs/>
          </w:rPr>
          <w:t>Cómo funciona el Contrato de Productos y Servicios de Microsoft</w:t>
        </w:r>
        <w:r w:rsidR="00D86939">
          <w:rPr>
            <w:webHidden/>
          </w:rPr>
          <w:tab/>
        </w:r>
        <w:r w:rsidR="00D86939">
          <w:rPr>
            <w:webHidden/>
          </w:rPr>
          <w:fldChar w:fldCharType="begin"/>
        </w:r>
        <w:r w:rsidR="00D86939">
          <w:rPr>
            <w:webHidden/>
          </w:rPr>
          <w:instrText xml:space="preserve"> PAGEREF _Toc457924334 \h </w:instrText>
        </w:r>
        <w:r w:rsidR="00D86939">
          <w:rPr>
            <w:webHidden/>
          </w:rPr>
        </w:r>
        <w:r w:rsidR="00D86939">
          <w:rPr>
            <w:webHidden/>
          </w:rPr>
          <w:fldChar w:fldCharType="separate"/>
        </w:r>
        <w:r w:rsidR="008377DF">
          <w:rPr>
            <w:webHidden/>
          </w:rPr>
          <w:t>2</w:t>
        </w:r>
        <w:r w:rsidR="00D86939">
          <w:rPr>
            <w:webHidden/>
          </w:rPr>
          <w:fldChar w:fldCharType="end"/>
        </w:r>
      </w:hyperlink>
    </w:p>
    <w:p w14:paraId="05390AED" w14:textId="77777777" w:rsidR="00D86939" w:rsidRDefault="00BD7AC6">
      <w:pPr>
        <w:pStyle w:val="TOC1"/>
        <w:rPr>
          <w:rFonts w:asciiTheme="minorHAnsi" w:eastAsiaTheme="minorEastAsia" w:hAnsiTheme="minorHAnsi"/>
          <w:color w:val="auto"/>
          <w:sz w:val="22"/>
        </w:rPr>
      </w:pPr>
      <w:hyperlink w:anchor="_Toc457924335" w:history="1">
        <w:r w:rsidR="00D86939" w:rsidRPr="00E753AF">
          <w:rPr>
            <w:rStyle w:val="Hyperlink"/>
            <w:rFonts w:asciiTheme="majorHAnsi" w:eastAsiaTheme="majorEastAsia" w:hAnsiTheme="majorHAnsi" w:cstheme="majorBidi"/>
            <w:bCs/>
          </w:rPr>
          <w:t>Adquisiciones Transaccionales</w:t>
        </w:r>
        <w:r w:rsidR="00D86939">
          <w:rPr>
            <w:webHidden/>
          </w:rPr>
          <w:tab/>
        </w:r>
        <w:r w:rsidR="00D86939">
          <w:rPr>
            <w:webHidden/>
          </w:rPr>
          <w:fldChar w:fldCharType="begin"/>
        </w:r>
        <w:r w:rsidR="00D86939">
          <w:rPr>
            <w:webHidden/>
          </w:rPr>
          <w:instrText xml:space="preserve"> PAGEREF _Toc457924335 \h </w:instrText>
        </w:r>
        <w:r w:rsidR="00D86939">
          <w:rPr>
            <w:webHidden/>
          </w:rPr>
        </w:r>
        <w:r w:rsidR="00D86939">
          <w:rPr>
            <w:webHidden/>
          </w:rPr>
          <w:fldChar w:fldCharType="separate"/>
        </w:r>
        <w:r w:rsidR="008377DF">
          <w:rPr>
            <w:webHidden/>
          </w:rPr>
          <w:t>3</w:t>
        </w:r>
        <w:r w:rsidR="00D86939">
          <w:rPr>
            <w:webHidden/>
          </w:rPr>
          <w:fldChar w:fldCharType="end"/>
        </w:r>
      </w:hyperlink>
    </w:p>
    <w:p w14:paraId="7864D274" w14:textId="77777777" w:rsidR="00D86939" w:rsidRDefault="00BD7AC6">
      <w:pPr>
        <w:pStyle w:val="TOC1"/>
        <w:rPr>
          <w:rFonts w:asciiTheme="minorHAnsi" w:eastAsiaTheme="minorEastAsia" w:hAnsiTheme="minorHAnsi"/>
          <w:color w:val="auto"/>
          <w:sz w:val="22"/>
        </w:rPr>
      </w:pPr>
      <w:hyperlink w:anchor="_Toc457924336" w:history="1">
        <w:r w:rsidR="00D86939" w:rsidRPr="00E753AF">
          <w:rPr>
            <w:rStyle w:val="Hyperlink"/>
          </w:rPr>
          <w:t>Sección 2</w:t>
        </w:r>
        <w:r w:rsidR="00D86939">
          <w:rPr>
            <w:webHidden/>
          </w:rPr>
          <w:tab/>
        </w:r>
        <w:r w:rsidR="00D86939">
          <w:rPr>
            <w:webHidden/>
          </w:rPr>
          <w:fldChar w:fldCharType="begin"/>
        </w:r>
        <w:r w:rsidR="00D86939">
          <w:rPr>
            <w:webHidden/>
          </w:rPr>
          <w:instrText xml:space="preserve"> PAGEREF _Toc457924336 \h </w:instrText>
        </w:r>
        <w:r w:rsidR="00D86939">
          <w:rPr>
            <w:webHidden/>
          </w:rPr>
        </w:r>
        <w:r w:rsidR="00D86939">
          <w:rPr>
            <w:webHidden/>
          </w:rPr>
          <w:fldChar w:fldCharType="separate"/>
        </w:r>
        <w:r w:rsidR="008377DF">
          <w:rPr>
            <w:webHidden/>
          </w:rPr>
          <w:t>6</w:t>
        </w:r>
        <w:r w:rsidR="00D86939">
          <w:rPr>
            <w:webHidden/>
          </w:rPr>
          <w:fldChar w:fldCharType="end"/>
        </w:r>
      </w:hyperlink>
    </w:p>
    <w:p w14:paraId="4EEA9A5C" w14:textId="77777777" w:rsidR="00D86939" w:rsidRDefault="00BD7AC6">
      <w:pPr>
        <w:pStyle w:val="TOC1"/>
        <w:rPr>
          <w:rFonts w:asciiTheme="minorHAnsi" w:eastAsiaTheme="minorEastAsia" w:hAnsiTheme="minorHAnsi"/>
          <w:color w:val="auto"/>
          <w:sz w:val="22"/>
        </w:rPr>
      </w:pPr>
      <w:hyperlink w:anchor="_Toc457924337" w:history="1">
        <w:r w:rsidR="00D86939" w:rsidRPr="00E753AF">
          <w:rPr>
            <w:rStyle w:val="Hyperlink"/>
            <w:rFonts w:asciiTheme="majorHAnsi" w:eastAsiaTheme="majorEastAsia" w:hAnsiTheme="majorHAnsi" w:cstheme="majorBidi"/>
            <w:bCs/>
          </w:rPr>
          <w:t>Copias de los Productos y derechos a reemplazar copias</w:t>
        </w:r>
        <w:r w:rsidR="00D86939">
          <w:rPr>
            <w:webHidden/>
          </w:rPr>
          <w:tab/>
        </w:r>
        <w:r w:rsidR="00D86939">
          <w:rPr>
            <w:webHidden/>
          </w:rPr>
          <w:fldChar w:fldCharType="begin"/>
        </w:r>
        <w:r w:rsidR="00D86939">
          <w:rPr>
            <w:webHidden/>
          </w:rPr>
          <w:instrText xml:space="preserve"> PAGEREF _Toc457924337 \h </w:instrText>
        </w:r>
        <w:r w:rsidR="00D86939">
          <w:rPr>
            <w:webHidden/>
          </w:rPr>
        </w:r>
        <w:r w:rsidR="00D86939">
          <w:rPr>
            <w:webHidden/>
          </w:rPr>
          <w:fldChar w:fldCharType="separate"/>
        </w:r>
        <w:r w:rsidR="008377DF">
          <w:rPr>
            <w:webHidden/>
          </w:rPr>
          <w:t>6</w:t>
        </w:r>
        <w:r w:rsidR="00D86939">
          <w:rPr>
            <w:webHidden/>
          </w:rPr>
          <w:fldChar w:fldCharType="end"/>
        </w:r>
      </w:hyperlink>
    </w:p>
    <w:p w14:paraId="19309CC2" w14:textId="77777777" w:rsidR="00D86939" w:rsidRDefault="00BD7AC6">
      <w:pPr>
        <w:pStyle w:val="TOC1"/>
        <w:rPr>
          <w:rFonts w:asciiTheme="minorHAnsi" w:eastAsiaTheme="minorEastAsia" w:hAnsiTheme="minorHAnsi"/>
          <w:color w:val="auto"/>
          <w:sz w:val="22"/>
        </w:rPr>
      </w:pPr>
      <w:hyperlink w:anchor="_Toc457924338" w:history="1">
        <w:r w:rsidR="00D86939" w:rsidRPr="00E753AF">
          <w:rPr>
            <w:rStyle w:val="Hyperlink"/>
            <w:rFonts w:asciiTheme="majorHAnsi" w:eastAsiaTheme="majorEastAsia" w:hAnsiTheme="majorHAnsi" w:cstheme="majorBidi"/>
            <w:bCs/>
          </w:rPr>
          <w:t>Proceso de Transferencia de Licencia</w:t>
        </w:r>
        <w:r w:rsidR="00D86939">
          <w:rPr>
            <w:webHidden/>
          </w:rPr>
          <w:tab/>
        </w:r>
        <w:r w:rsidR="00D86939">
          <w:rPr>
            <w:webHidden/>
          </w:rPr>
          <w:fldChar w:fldCharType="begin"/>
        </w:r>
        <w:r w:rsidR="00D86939">
          <w:rPr>
            <w:webHidden/>
          </w:rPr>
          <w:instrText xml:space="preserve"> PAGEREF _Toc457924338 \h </w:instrText>
        </w:r>
        <w:r w:rsidR="00D86939">
          <w:rPr>
            <w:webHidden/>
          </w:rPr>
        </w:r>
        <w:r w:rsidR="00D86939">
          <w:rPr>
            <w:webHidden/>
          </w:rPr>
          <w:fldChar w:fldCharType="separate"/>
        </w:r>
        <w:r w:rsidR="008377DF">
          <w:rPr>
            <w:webHidden/>
          </w:rPr>
          <w:t>6</w:t>
        </w:r>
        <w:r w:rsidR="00D86939">
          <w:rPr>
            <w:webHidden/>
          </w:rPr>
          <w:fldChar w:fldCharType="end"/>
        </w:r>
      </w:hyperlink>
    </w:p>
    <w:p w14:paraId="78FA7013" w14:textId="77777777" w:rsidR="00D86939" w:rsidRDefault="00BD7AC6">
      <w:pPr>
        <w:pStyle w:val="TOC1"/>
        <w:rPr>
          <w:rFonts w:asciiTheme="minorHAnsi" w:eastAsiaTheme="minorEastAsia" w:hAnsiTheme="minorHAnsi"/>
          <w:color w:val="auto"/>
          <w:sz w:val="22"/>
        </w:rPr>
      </w:pPr>
      <w:hyperlink w:anchor="_Toc457924339" w:history="1">
        <w:r w:rsidR="00D86939" w:rsidRPr="00E753AF">
          <w:rPr>
            <w:rStyle w:val="Hyperlink"/>
            <w:rFonts w:asciiTheme="majorHAnsi" w:eastAsiaTheme="majorEastAsia" w:hAnsiTheme="majorHAnsi" w:cstheme="majorBidi"/>
            <w:bCs/>
          </w:rPr>
          <w:t xml:space="preserve">Proceso de Verificación del Cumplimiento y </w:t>
        </w:r>
        <w:r w:rsidR="00D86939" w:rsidRPr="00E753AF">
          <w:rPr>
            <w:rStyle w:val="Hyperlink"/>
            <w:rFonts w:asciiTheme="majorHAnsi" w:eastAsiaTheme="majorEastAsia" w:hAnsiTheme="majorHAnsi"/>
          </w:rPr>
          <w:t>Limitaciones</w:t>
        </w:r>
        <w:r w:rsidR="00D86939">
          <w:rPr>
            <w:webHidden/>
          </w:rPr>
          <w:tab/>
        </w:r>
        <w:r w:rsidR="00D86939">
          <w:rPr>
            <w:webHidden/>
          </w:rPr>
          <w:fldChar w:fldCharType="begin"/>
        </w:r>
        <w:r w:rsidR="00D86939">
          <w:rPr>
            <w:webHidden/>
          </w:rPr>
          <w:instrText xml:space="preserve"> PAGEREF _Toc457924339 \h </w:instrText>
        </w:r>
        <w:r w:rsidR="00D86939">
          <w:rPr>
            <w:webHidden/>
          </w:rPr>
        </w:r>
        <w:r w:rsidR="00D86939">
          <w:rPr>
            <w:webHidden/>
          </w:rPr>
          <w:fldChar w:fldCharType="separate"/>
        </w:r>
        <w:r w:rsidR="008377DF">
          <w:rPr>
            <w:webHidden/>
          </w:rPr>
          <w:t>6</w:t>
        </w:r>
        <w:r w:rsidR="00D86939">
          <w:rPr>
            <w:webHidden/>
          </w:rPr>
          <w:fldChar w:fldCharType="end"/>
        </w:r>
      </w:hyperlink>
    </w:p>
    <w:p w14:paraId="3AAA928C" w14:textId="77777777" w:rsidR="00D86939" w:rsidRDefault="00BD7AC6">
      <w:pPr>
        <w:pStyle w:val="TOC1"/>
        <w:rPr>
          <w:rFonts w:asciiTheme="minorHAnsi" w:eastAsiaTheme="minorEastAsia" w:hAnsiTheme="minorHAnsi"/>
          <w:color w:val="auto"/>
          <w:sz w:val="22"/>
        </w:rPr>
      </w:pPr>
      <w:hyperlink w:anchor="_Toc457924340" w:history="1">
        <w:r w:rsidR="00D86939" w:rsidRPr="00E753AF">
          <w:rPr>
            <w:rStyle w:val="Hyperlink"/>
            <w:rFonts w:asciiTheme="majorHAnsi" w:eastAsiaTheme="majorEastAsia" w:hAnsiTheme="majorHAnsi" w:cstheme="majorBidi"/>
            <w:bCs/>
          </w:rPr>
          <w:t>Desinversiones</w:t>
        </w:r>
        <w:r w:rsidR="00D86939">
          <w:rPr>
            <w:webHidden/>
          </w:rPr>
          <w:tab/>
        </w:r>
        <w:r w:rsidR="00D86939">
          <w:rPr>
            <w:webHidden/>
          </w:rPr>
          <w:fldChar w:fldCharType="begin"/>
        </w:r>
        <w:r w:rsidR="00D86939">
          <w:rPr>
            <w:webHidden/>
          </w:rPr>
          <w:instrText xml:space="preserve"> PAGEREF _Toc457924340 \h </w:instrText>
        </w:r>
        <w:r w:rsidR="00D86939">
          <w:rPr>
            <w:webHidden/>
          </w:rPr>
        </w:r>
        <w:r w:rsidR="00D86939">
          <w:rPr>
            <w:webHidden/>
          </w:rPr>
          <w:fldChar w:fldCharType="separate"/>
        </w:r>
        <w:r w:rsidR="008377DF">
          <w:rPr>
            <w:webHidden/>
          </w:rPr>
          <w:t>6</w:t>
        </w:r>
        <w:r w:rsidR="00D86939">
          <w:rPr>
            <w:webHidden/>
          </w:rPr>
          <w:fldChar w:fldCharType="end"/>
        </w:r>
      </w:hyperlink>
    </w:p>
    <w:p w14:paraId="3CC4D243" w14:textId="77777777" w:rsidR="00D86939" w:rsidRDefault="00BD7AC6">
      <w:pPr>
        <w:pStyle w:val="TOC1"/>
        <w:rPr>
          <w:rFonts w:asciiTheme="minorHAnsi" w:eastAsiaTheme="minorEastAsia" w:hAnsiTheme="minorHAnsi"/>
          <w:color w:val="auto"/>
          <w:sz w:val="22"/>
        </w:rPr>
      </w:pPr>
      <w:hyperlink w:anchor="_Toc457924341" w:history="1">
        <w:r w:rsidR="00D86939" w:rsidRPr="00D86939">
          <w:rPr>
            <w:rStyle w:val="Hyperlink"/>
            <w:rFonts w:asciiTheme="majorHAnsi" w:eastAsiaTheme="majorEastAsia" w:hAnsiTheme="majorHAnsi" w:cstheme="majorBidi"/>
            <w:bCs/>
          </w:rPr>
          <w:t>Desastre natural</w:t>
        </w:r>
        <w:r w:rsidR="00D86939">
          <w:rPr>
            <w:webHidden/>
          </w:rPr>
          <w:tab/>
        </w:r>
        <w:r w:rsidR="00D86939">
          <w:rPr>
            <w:webHidden/>
          </w:rPr>
          <w:fldChar w:fldCharType="begin"/>
        </w:r>
        <w:r w:rsidR="00D86939">
          <w:rPr>
            <w:webHidden/>
          </w:rPr>
          <w:instrText xml:space="preserve"> PAGEREF _Toc457924341 \h </w:instrText>
        </w:r>
        <w:r w:rsidR="00D86939">
          <w:rPr>
            <w:webHidden/>
          </w:rPr>
        </w:r>
        <w:r w:rsidR="00D86939">
          <w:rPr>
            <w:webHidden/>
          </w:rPr>
          <w:fldChar w:fldCharType="separate"/>
        </w:r>
        <w:r w:rsidR="008377DF">
          <w:rPr>
            <w:webHidden/>
          </w:rPr>
          <w:t>7</w:t>
        </w:r>
        <w:r w:rsidR="00D86939">
          <w:rPr>
            <w:webHidden/>
          </w:rPr>
          <w:fldChar w:fldCharType="end"/>
        </w:r>
      </w:hyperlink>
    </w:p>
    <w:p w14:paraId="65C3202A" w14:textId="77777777" w:rsidR="00D86939" w:rsidRDefault="00BD7AC6">
      <w:pPr>
        <w:pStyle w:val="TOC1"/>
        <w:rPr>
          <w:rFonts w:asciiTheme="minorHAnsi" w:eastAsiaTheme="minorEastAsia" w:hAnsiTheme="minorHAnsi"/>
          <w:color w:val="auto"/>
          <w:sz w:val="22"/>
        </w:rPr>
      </w:pPr>
      <w:hyperlink w:anchor="_Toc457924342" w:history="1">
        <w:r w:rsidR="00D86939" w:rsidRPr="00E753AF">
          <w:rPr>
            <w:rStyle w:val="Hyperlink"/>
          </w:rPr>
          <w:t>Sección 3</w:t>
        </w:r>
        <w:r w:rsidR="00D86939">
          <w:rPr>
            <w:webHidden/>
          </w:rPr>
          <w:tab/>
        </w:r>
        <w:r w:rsidR="00D86939">
          <w:rPr>
            <w:webHidden/>
          </w:rPr>
          <w:fldChar w:fldCharType="begin"/>
        </w:r>
        <w:r w:rsidR="00D86939">
          <w:rPr>
            <w:webHidden/>
          </w:rPr>
          <w:instrText xml:space="preserve"> PAGEREF _Toc457924342 \h </w:instrText>
        </w:r>
        <w:r w:rsidR="00D86939">
          <w:rPr>
            <w:webHidden/>
          </w:rPr>
        </w:r>
        <w:r w:rsidR="00D86939">
          <w:rPr>
            <w:webHidden/>
          </w:rPr>
          <w:fldChar w:fldCharType="separate"/>
        </w:r>
        <w:r w:rsidR="008377DF">
          <w:rPr>
            <w:webHidden/>
          </w:rPr>
          <w:t>7</w:t>
        </w:r>
        <w:r w:rsidR="00D86939">
          <w:rPr>
            <w:webHidden/>
          </w:rPr>
          <w:fldChar w:fldCharType="end"/>
        </w:r>
      </w:hyperlink>
    </w:p>
    <w:p w14:paraId="09B5E492" w14:textId="77777777" w:rsidR="00D86939" w:rsidRDefault="00BD7AC6">
      <w:pPr>
        <w:pStyle w:val="TOC1"/>
        <w:rPr>
          <w:rFonts w:asciiTheme="minorHAnsi" w:eastAsiaTheme="minorEastAsia" w:hAnsiTheme="minorHAnsi"/>
          <w:color w:val="auto"/>
          <w:sz w:val="22"/>
        </w:rPr>
      </w:pPr>
      <w:hyperlink w:anchor="_Toc457924343" w:history="1">
        <w:r w:rsidR="00D86939" w:rsidRPr="00E753AF">
          <w:rPr>
            <w:rStyle w:val="Hyperlink"/>
            <w:rFonts w:asciiTheme="majorHAnsi" w:eastAsiaTheme="majorEastAsia" w:hAnsiTheme="majorHAnsi" w:cstheme="majorBidi"/>
          </w:rPr>
          <w:t>Cambios en el Manual de Licencia durante los últimos 12 meses</w:t>
        </w:r>
        <w:r w:rsidR="00D86939">
          <w:rPr>
            <w:webHidden/>
          </w:rPr>
          <w:tab/>
        </w:r>
        <w:r w:rsidR="00D86939">
          <w:rPr>
            <w:webHidden/>
          </w:rPr>
          <w:fldChar w:fldCharType="begin"/>
        </w:r>
        <w:r w:rsidR="00D86939">
          <w:rPr>
            <w:webHidden/>
          </w:rPr>
          <w:instrText xml:space="preserve"> PAGEREF _Toc457924343 \h </w:instrText>
        </w:r>
        <w:r w:rsidR="00D86939">
          <w:rPr>
            <w:webHidden/>
          </w:rPr>
        </w:r>
        <w:r w:rsidR="00D86939">
          <w:rPr>
            <w:webHidden/>
          </w:rPr>
          <w:fldChar w:fldCharType="separate"/>
        </w:r>
        <w:r w:rsidR="008377DF">
          <w:rPr>
            <w:webHidden/>
          </w:rPr>
          <w:t>7</w:t>
        </w:r>
        <w:r w:rsidR="00D86939">
          <w:rPr>
            <w:webHidden/>
          </w:rPr>
          <w:fldChar w:fldCharType="end"/>
        </w:r>
      </w:hyperlink>
    </w:p>
    <w:p w14:paraId="220E6B70" w14:textId="77777777" w:rsidR="00D86939" w:rsidRDefault="00BD7AC6">
      <w:pPr>
        <w:pStyle w:val="TOC1"/>
        <w:rPr>
          <w:rFonts w:asciiTheme="minorHAnsi" w:eastAsiaTheme="minorEastAsia" w:hAnsiTheme="minorHAnsi"/>
          <w:color w:val="auto"/>
          <w:sz w:val="22"/>
        </w:rPr>
      </w:pPr>
      <w:hyperlink w:anchor="_Toc457924344" w:history="1">
        <w:r w:rsidR="00D86939" w:rsidRPr="00E753AF">
          <w:rPr>
            <w:rStyle w:val="Hyperlink"/>
          </w:rPr>
          <w:t>Apéndice</w:t>
        </w:r>
        <w:r w:rsidR="00D86939">
          <w:rPr>
            <w:webHidden/>
          </w:rPr>
          <w:tab/>
        </w:r>
        <w:r w:rsidR="00D86939">
          <w:rPr>
            <w:webHidden/>
          </w:rPr>
          <w:fldChar w:fldCharType="begin"/>
        </w:r>
        <w:r w:rsidR="00D86939">
          <w:rPr>
            <w:webHidden/>
          </w:rPr>
          <w:instrText xml:space="preserve"> PAGEREF _Toc457924344 \h </w:instrText>
        </w:r>
        <w:r w:rsidR="00D86939">
          <w:rPr>
            <w:webHidden/>
          </w:rPr>
        </w:r>
        <w:r w:rsidR="00D86939">
          <w:rPr>
            <w:webHidden/>
          </w:rPr>
          <w:fldChar w:fldCharType="separate"/>
        </w:r>
        <w:r w:rsidR="008377DF">
          <w:rPr>
            <w:webHidden/>
          </w:rPr>
          <w:t>8</w:t>
        </w:r>
        <w:r w:rsidR="00D86939">
          <w:rPr>
            <w:webHidden/>
          </w:rPr>
          <w:fldChar w:fldCharType="end"/>
        </w:r>
      </w:hyperlink>
    </w:p>
    <w:p w14:paraId="1E3C7C95" w14:textId="77777777" w:rsidR="00D86939" w:rsidRDefault="00BD7AC6">
      <w:pPr>
        <w:pStyle w:val="TOC1"/>
        <w:rPr>
          <w:rFonts w:asciiTheme="minorHAnsi" w:eastAsiaTheme="minorEastAsia" w:hAnsiTheme="minorHAnsi"/>
          <w:color w:val="auto"/>
          <w:sz w:val="22"/>
        </w:rPr>
      </w:pPr>
      <w:hyperlink w:anchor="_Toc457924345" w:history="1">
        <w:r w:rsidR="00D86939" w:rsidRPr="00E753AF">
          <w:rPr>
            <w:rStyle w:val="Hyperlink"/>
            <w:rFonts w:asciiTheme="majorHAnsi" w:eastAsiaTheme="majorEastAsia" w:hAnsiTheme="majorHAnsi" w:cstheme="majorBidi"/>
            <w:bCs/>
          </w:rPr>
          <w:t>Definición de R</w:t>
        </w:r>
        <w:r w:rsidR="00D86939" w:rsidRPr="00E753AF">
          <w:rPr>
            <w:rStyle w:val="Hyperlink"/>
            <w:rFonts w:asciiTheme="majorHAnsi" w:eastAsiaTheme="majorEastAsia" w:hAnsiTheme="majorHAnsi" w:cstheme="majorBidi"/>
          </w:rPr>
          <w:t>egiones</w:t>
        </w:r>
        <w:r w:rsidR="00D86939">
          <w:rPr>
            <w:webHidden/>
          </w:rPr>
          <w:tab/>
        </w:r>
        <w:r w:rsidR="00D86939">
          <w:rPr>
            <w:webHidden/>
          </w:rPr>
          <w:fldChar w:fldCharType="begin"/>
        </w:r>
        <w:r w:rsidR="00D86939">
          <w:rPr>
            <w:webHidden/>
          </w:rPr>
          <w:instrText xml:space="preserve"> PAGEREF _Toc457924345 \h </w:instrText>
        </w:r>
        <w:r w:rsidR="00D86939">
          <w:rPr>
            <w:webHidden/>
          </w:rPr>
        </w:r>
        <w:r w:rsidR="00D86939">
          <w:rPr>
            <w:webHidden/>
          </w:rPr>
          <w:fldChar w:fldCharType="separate"/>
        </w:r>
        <w:r w:rsidR="008377DF">
          <w:rPr>
            <w:webHidden/>
          </w:rPr>
          <w:t>8</w:t>
        </w:r>
        <w:r w:rsidR="00D86939">
          <w:rPr>
            <w:webHidden/>
          </w:rPr>
          <w:fldChar w:fldCharType="end"/>
        </w:r>
      </w:hyperlink>
    </w:p>
    <w:p w14:paraId="53DEC633" w14:textId="063D8185" w:rsidR="00BC6802" w:rsidRPr="001165AA" w:rsidRDefault="0037779D" w:rsidP="002123CF">
      <w:pPr>
        <w:pStyle w:val="BodyText"/>
      </w:pPr>
      <w:r>
        <w:fldChar w:fldCharType="end"/>
      </w:r>
    </w:p>
    <w:p w14:paraId="24667BE1" w14:textId="6BC4FB6A" w:rsidR="00BC6802" w:rsidRPr="001165AA" w:rsidRDefault="00BC6802" w:rsidP="00CC6A48">
      <w:pPr>
        <w:pStyle w:val="Hdg1noborder"/>
      </w:pPr>
      <w:bookmarkStart w:id="1" w:name="_Toc403380293"/>
      <w:bookmarkStart w:id="2" w:name="_Toc403985011"/>
      <w:bookmarkStart w:id="3" w:name="_Toc457924332"/>
      <w:r>
        <w:t>Recursos y propósito del documento</w:t>
      </w:r>
      <w:bookmarkEnd w:id="1"/>
      <w:bookmarkEnd w:id="2"/>
      <w:bookmarkEnd w:id="3"/>
    </w:p>
    <w:p w14:paraId="0AAB290E" w14:textId="3383FA82" w:rsidR="0038541A" w:rsidRPr="001165AA" w:rsidRDefault="00BC6802" w:rsidP="00551301">
      <w:pPr>
        <w:pStyle w:val="BodyText"/>
      </w:pPr>
      <w:r>
        <w:t>El Manual de Licencia proporciona información adicional a los clientes con un Contrato de Productos y Servicios de Microsoft (MPSA) sobre la estructura de la cuenta, los procesos de realización de pedidos, los precios y otros términos.</w:t>
      </w:r>
      <w:r w:rsidR="004020AB">
        <w:t xml:space="preserve"> </w:t>
      </w:r>
      <w:r>
        <w:t>Todos los términos en mayúsculas que se utilizan, pero no se definen en este Manual de Licencia, tendrán el mismo significado que el establecido en el MPSA, incluyendo los Términos de Productos.</w:t>
      </w:r>
    </w:p>
    <w:p w14:paraId="6352A80B" w14:textId="42307543" w:rsidR="00BC6802" w:rsidRPr="001165AA" w:rsidRDefault="00BC6802" w:rsidP="00551301">
      <w:pPr>
        <w:pStyle w:val="BodyText"/>
      </w:pPr>
      <w:r>
        <w:t xml:space="preserve">Encontrará información general del MPSA en </w:t>
      </w:r>
      <w:hyperlink r:id="rId15" w:history="1">
        <w:r>
          <w:rPr>
            <w:rStyle w:val="Hyperlink"/>
          </w:rPr>
          <w:t>http://www.microsoft.com/licensing/mpsa/</w:t>
        </w:r>
      </w:hyperlink>
      <w:r w:rsidRPr="00443E72">
        <w:rPr>
          <w:rStyle w:val="Hyperlink"/>
          <w:u w:val="none"/>
        </w:rPr>
        <w:t>.</w:t>
      </w:r>
      <w:r w:rsidR="004020AB">
        <w:rPr>
          <w:rStyle w:val="Hyperlink"/>
        </w:rPr>
        <w:t xml:space="preserve"> </w:t>
      </w:r>
    </w:p>
    <w:p w14:paraId="7505A368" w14:textId="2778AD10" w:rsidR="00BC6802" w:rsidRPr="001165AA" w:rsidRDefault="00BC6802" w:rsidP="00BC6802">
      <w:pPr>
        <w:pStyle w:val="BodyText"/>
      </w:pPr>
      <w:r>
        <w:t xml:space="preserve">Para obtener la versión más reciente de este documento, información sobre los derechos de uso y los Términos de Productos consulte </w:t>
      </w:r>
      <w:hyperlink r:id="rId16" w:history="1">
        <w:r>
          <w:rPr>
            <w:rStyle w:val="Hyperlink"/>
          </w:rPr>
          <w:t>http://www.microsoft.com/licensing/contracts</w:t>
        </w:r>
      </w:hyperlink>
      <w:r w:rsidRPr="00443E72">
        <w:rPr>
          <w:rStyle w:val="Hyperlink"/>
          <w:u w:val="none"/>
        </w:rPr>
        <w:t>.</w:t>
      </w:r>
      <w:r w:rsidR="004020AB">
        <w:t xml:space="preserve"> </w:t>
      </w:r>
    </w:p>
    <w:p w14:paraId="745ABED2" w14:textId="77777777" w:rsidR="00BE480E" w:rsidRPr="001165AA" w:rsidRDefault="00BE480E">
      <w:pPr>
        <w:spacing w:line="240" w:lineRule="auto"/>
      </w:pPr>
      <w:r>
        <w:br w:type="page"/>
      </w:r>
    </w:p>
    <w:p w14:paraId="585769CF" w14:textId="20522273" w:rsidR="00BC6802" w:rsidRPr="001165AA" w:rsidRDefault="00BC6802" w:rsidP="002123CF">
      <w:pPr>
        <w:pStyle w:val="Hdg1noborder"/>
        <w:spacing w:before="120" w:after="0"/>
      </w:pPr>
      <w:bookmarkStart w:id="4" w:name="_Toc403380294"/>
      <w:bookmarkStart w:id="5" w:name="_Toc403985012"/>
      <w:bookmarkStart w:id="6" w:name="_Toc457924333"/>
      <w:r>
        <w:lastRenderedPageBreak/>
        <w:t>Sección 1</w:t>
      </w:r>
      <w:bookmarkEnd w:id="4"/>
      <w:bookmarkEnd w:id="5"/>
      <w:bookmarkEnd w:id="6"/>
    </w:p>
    <w:p w14:paraId="2C831D37" w14:textId="2308B238" w:rsidR="003B5822" w:rsidRPr="001165AA"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7924334"/>
      <w:r>
        <w:rPr>
          <w:rFonts w:asciiTheme="majorHAnsi" w:eastAsiaTheme="majorEastAsia" w:hAnsiTheme="majorHAnsi" w:cstheme="majorBidi"/>
          <w:bCs/>
          <w:color w:val="8064A2" w:themeColor="accent4"/>
          <w:sz w:val="28"/>
          <w:szCs w:val="26"/>
        </w:rPr>
        <w:t>Cómo funciona el Contrato de Productos y Servicios de Microsoft</w:t>
      </w:r>
      <w:bookmarkEnd w:id="7"/>
      <w:bookmarkEnd w:id="8"/>
      <w:bookmarkEnd w:id="9"/>
    </w:p>
    <w:p w14:paraId="3D0499DA" w14:textId="77777777" w:rsidR="00EE5D60" w:rsidRPr="001165AA" w:rsidRDefault="00FD4C65" w:rsidP="00CC6A48">
      <w:pPr>
        <w:pStyle w:val="Thirdheading"/>
      </w:pPr>
      <w:r>
        <w:rPr>
          <w:b/>
        </w:rPr>
        <w:t>Estructura de la cuenta</w:t>
      </w:r>
    </w:p>
    <w:p w14:paraId="748F15FC" w14:textId="05618B96" w:rsidR="002B4822" w:rsidRPr="001165AA" w:rsidRDefault="002B4822" w:rsidP="002B4822">
      <w:pPr>
        <w:pStyle w:val="BodyText"/>
      </w:pPr>
      <w:r>
        <w:t>Con el Contrato de Productos y Servicios de Microsoft, tiene la flexibilidad de configurar la estructura de adquisición que desee para las compras de Licencias por Volumen con Cuentas de Compra.</w:t>
      </w:r>
      <w:r w:rsidR="004020AB">
        <w:t xml:space="preserve"> </w:t>
      </w:r>
      <w:r>
        <w:t>Una Cuenta de compra se define como cualquier unidad dentro de su organización para la que desee habilitar la compra tanto de Software como de Servicios Online.</w:t>
      </w:r>
      <w:r w:rsidR="004020AB">
        <w:t xml:space="preserve"> </w:t>
      </w:r>
      <w:r>
        <w:t>Las Cuentas de Compra se asocian al MPSA de la organización, a través de la persona jurídica definida en el formulario de registro de la Cuenta de Compra.</w:t>
      </w:r>
    </w:p>
    <w:p w14:paraId="71AABA69" w14:textId="212A3FC9" w:rsidR="00551301" w:rsidRPr="001165AA" w:rsidRDefault="00986457" w:rsidP="00551301">
      <w:pPr>
        <w:pStyle w:val="BodyText"/>
      </w:pPr>
      <w:r>
        <w:t>Existen tres tipos de Cuentas de Compra para diferentes tipos de Clientes: Commercial, Government y Academic.</w:t>
      </w:r>
      <w:r w:rsidR="004020AB">
        <w:t xml:space="preserve"> </w:t>
      </w:r>
      <w:r>
        <w:t xml:space="preserve">Para ser susceptible de considerarse una Cuenta de Compra Government o Academic, una organización deben cumplir los requisitos de elegibilidad pertinentes que se encuentran en </w:t>
      </w:r>
      <w:hyperlink r:id="rId17" w:history="1">
        <w:r>
          <w:rPr>
            <w:rStyle w:val="Hyperlink"/>
          </w:rPr>
          <w:t>http://www.microsoftvolumelicensing.com/contracts</w:t>
        </w:r>
      </w:hyperlink>
      <w:r>
        <w:t>.</w:t>
      </w:r>
    </w:p>
    <w:p w14:paraId="57454CD8" w14:textId="1442EFE0" w:rsidR="002B4822" w:rsidRPr="001165AA" w:rsidRDefault="002B4822" w:rsidP="002B4822">
      <w:pPr>
        <w:pStyle w:val="BodyText"/>
      </w:pPr>
      <w:r>
        <w:t>La estructura flexible de la Cuenta de Compra le autoriza a definir y redefinir la configuración de adquisición de la organización según las necesidades de su negocio.</w:t>
      </w:r>
      <w:r w:rsidR="004020AB">
        <w:t xml:space="preserve"> </w:t>
      </w:r>
      <w:r>
        <w:t>Estas cuentas pueden establecerse en el nivel de organización, en el nivel de filial, en el nivel de departamento o incluso para solo un subconjunto del personal.</w:t>
      </w:r>
    </w:p>
    <w:p w14:paraId="18A1DAD4" w14:textId="77D70497" w:rsidR="003B5822" w:rsidRPr="001165AA" w:rsidRDefault="002B4822" w:rsidP="002B4822">
      <w:pPr>
        <w:pStyle w:val="BodyText"/>
      </w:pPr>
      <w:r>
        <w:t>El primer paso es decidir cómo quiere que su organización adquiera Productos.</w:t>
      </w:r>
      <w:r w:rsidR="004020AB">
        <w:t xml:space="preserve"> </w:t>
      </w:r>
      <w:r>
        <w:t>Esto ayudará a guiar la estructura que se establece para las adquisiciones de transacción de Licencias por Volumen.</w:t>
      </w:r>
      <w:r w:rsidR="004020AB">
        <w:t xml:space="preserve"> </w:t>
      </w:r>
    </w:p>
    <w:p w14:paraId="1454C11F" w14:textId="103CEE30" w:rsidR="00EE5D60" w:rsidRPr="001165AA" w:rsidRDefault="00EE5D60" w:rsidP="003B5822">
      <w:pPr>
        <w:pStyle w:val="BodyText"/>
      </w:pPr>
      <w:r>
        <w:t>Por ejemplo, si desea administrar centralmente las adquisiciones, podría registrar una Cuenta de Compra:</w:t>
      </w:r>
      <w:r w:rsidR="004020AB">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CUENTA DE COMPRA</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348660E5" w:rsidR="002C6347" w:rsidRPr="001165AA" w:rsidRDefault="001273AD" w:rsidP="00EF5842">
      <w:pPr>
        <w:pStyle w:val="BodyText"/>
        <w:spacing w:before="240"/>
      </w:pPr>
      <w:r>
        <w:t>También, si desea disponer de un enfoque más descentralizado, puede registrar varias Cuentas de compra y también puede disponer de diferentes tipos de Cuentas de compra a través de un único MPSA:</w:t>
      </w:r>
      <w:r w:rsidR="004020AB">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1165AA" w:rsidRDefault="002678BC" w:rsidP="00E77ED7">
            <w:pPr>
              <w:pStyle w:val="BodyText"/>
              <w:spacing w:after="0" w:line="240" w:lineRule="auto"/>
              <w:jc w:val="center"/>
            </w:pPr>
            <w:r>
              <w:rPr>
                <w:color w:val="FFFFFF" w:themeColor="background1"/>
                <w:sz w:val="16"/>
              </w:rPr>
              <w:t>CUENTA DE COMPRA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14:paraId="6C89649C" w14:textId="77777777" w:rsidR="002678BC" w:rsidRPr="001165A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1C95D260" w14:textId="77777777" w:rsidR="00E77ED7" w:rsidRPr="001165A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1165A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1165AA" w:rsidRDefault="002C6347" w:rsidP="007B0011">
            <w:pPr>
              <w:pStyle w:val="BodyText"/>
              <w:spacing w:after="0" w:line="240" w:lineRule="auto"/>
              <w:jc w:val="center"/>
            </w:pPr>
            <w:r>
              <w:rPr>
                <w:color w:val="FFFFFF" w:themeColor="background1"/>
                <w:sz w:val="16"/>
              </w:rPr>
              <w:t>CUENTA DE COMPRA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14:paraId="66C17F73" w14:textId="77777777" w:rsidR="002C6347" w:rsidRPr="001165A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3B159B10" w14:textId="77777777" w:rsidR="002C6347" w:rsidRPr="001165A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CUENTA DE COMPRA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B2F5030" w:rsidR="001660CB" w:rsidRPr="001165AA" w:rsidRDefault="001660CB" w:rsidP="00CC6A48">
      <w:pPr>
        <w:pStyle w:val="Thirdheading"/>
      </w:pPr>
    </w:p>
    <w:p w14:paraId="0F5600B1" w14:textId="77777777" w:rsidR="000F6294" w:rsidRPr="001165AA" w:rsidRDefault="000F6294" w:rsidP="00CC6A48">
      <w:pPr>
        <w:pStyle w:val="Thirdheading"/>
      </w:pPr>
      <w:r>
        <w:rPr>
          <w:b/>
        </w:rPr>
        <w:t>Mes aniversario de la Cuenta de Compra</w:t>
      </w:r>
    </w:p>
    <w:p w14:paraId="716531FB" w14:textId="5EB631D6" w:rsidR="00BA0D95" w:rsidRPr="001165AA" w:rsidRDefault="00F55CB5" w:rsidP="000F6294">
      <w:pPr>
        <w:pStyle w:val="BodyText"/>
      </w:pPr>
      <w:r>
        <w:t>Al registrar cada Cuenta de Compra, puede elegir un determinado mes en el que organizar las adquisiciones que tienen periodos de suscripción, para proporcionar un aniversario único y coherente para las renovaciones.</w:t>
      </w:r>
      <w:r w:rsidR="004020AB">
        <w:t xml:space="preserve"> </w:t>
      </w:r>
      <w:r>
        <w:t>Por ejemplo, si en una de sus cuentas se elige enero como mes de aniversario, cualquier adquisición de Servicios en Línea que se realice con la cuenta se alineará a dicho mes, lo que tendrá como resultado el establecimiento de renovaciones de los Servicios en Línea que tendrán lugar en enero de cada año.</w:t>
      </w:r>
      <w:r w:rsidR="004020AB">
        <w:t xml:space="preserve"> </w:t>
      </w:r>
      <w:r>
        <w:t>Puede cambiar esta designación según sea necesario para su organización a través de Microsoft Business Center.</w:t>
      </w:r>
      <w:r w:rsidR="004020AB">
        <w:t xml:space="preserve"> </w:t>
      </w:r>
      <w:r>
        <w:t>Cualquier cambio que se realice solo afectará a los pedidos futuros.</w:t>
      </w:r>
    </w:p>
    <w:p w14:paraId="523B666A" w14:textId="7C3A85D9" w:rsidR="009C6617" w:rsidRPr="001165AA" w:rsidRDefault="00351635" w:rsidP="000F6294">
      <w:pPr>
        <w:pStyle w:val="BodyText"/>
      </w:pPr>
      <w:r>
        <w:t>Para Cuentas de Compra Government y Academic, es posible especificar una fecha final para las adquisiciones.</w:t>
      </w:r>
      <w:r w:rsidR="004020AB">
        <w:t xml:space="preserve"> </w:t>
      </w:r>
      <w:r>
        <w:t>Cuando se seleccione esta opción, los periodos de suscripción no se extenderán más allá de esta fecha.</w:t>
      </w:r>
      <w:r w:rsidR="004020AB">
        <w:t xml:space="preserve"> </w:t>
      </w:r>
      <w:r>
        <w:t>Es posible extender esta fecha, si fuera necesario.</w:t>
      </w:r>
      <w:r w:rsidR="004020AB">
        <w:t xml:space="preserve"> </w:t>
      </w:r>
    </w:p>
    <w:p w14:paraId="3E54FF24" w14:textId="77777777" w:rsidR="00EE5D60" w:rsidRPr="001165AA" w:rsidRDefault="00EE5D60" w:rsidP="00CC6A48">
      <w:pPr>
        <w:pStyle w:val="Thirdheading"/>
      </w:pPr>
      <w:r>
        <w:rPr>
          <w:b/>
        </w:rPr>
        <w:t>El Administrador del Contrato</w:t>
      </w:r>
    </w:p>
    <w:p w14:paraId="5DCCE091" w14:textId="1AED2169" w:rsidR="00EE5D60" w:rsidRPr="001165AA" w:rsidRDefault="00B60D55" w:rsidP="00EE5D60">
      <w:pPr>
        <w:pStyle w:val="BodyText"/>
      </w:pPr>
      <w:r>
        <w:t>Cada MPSA lo debe firmar una persona jurídica que es el “Cliente”. El Cliente designará una Cuenta de Compra como Administrador del Contrato.</w:t>
      </w:r>
      <w:r w:rsidR="004020AB">
        <w:t xml:space="preserve"> </w:t>
      </w:r>
      <w:r>
        <w:t>Se pueden agregar y asociar otras Cuentas de Compra con el Administrador del Contrato.</w:t>
      </w:r>
      <w:r w:rsidR="004020AB">
        <w:t xml:space="preserve"> </w:t>
      </w:r>
      <w:r>
        <w:t xml:space="preserve">Esto le proporciona al </w:t>
      </w:r>
      <w:r>
        <w:lastRenderedPageBreak/>
        <w:t>Administrador del Contrato una vista consolidada de todos los activos de la organización y una única fuente práctica para administrar todas las Cuentas de Compra.</w:t>
      </w:r>
      <w:r w:rsidR="004020AB">
        <w:t xml:space="preserve"> </w:t>
      </w:r>
      <w:r>
        <w:t>La cuenta del Administrador del Contrato:</w:t>
      </w:r>
    </w:p>
    <w:p w14:paraId="17D00860" w14:textId="77777777" w:rsidR="00EE5D60" w:rsidRPr="001165AA" w:rsidRDefault="00EE5D60" w:rsidP="00732568">
      <w:pPr>
        <w:pStyle w:val="BodyText"/>
        <w:numPr>
          <w:ilvl w:val="0"/>
          <w:numId w:val="16"/>
        </w:numPr>
        <w:spacing w:after="0"/>
      </w:pPr>
      <w:r>
        <w:t>Proporciona una vista de activos completa de todas las Cuentas de Compra.</w:t>
      </w:r>
    </w:p>
    <w:p w14:paraId="22DDFB5B" w14:textId="5DF06EAD" w:rsidR="00EE5D60" w:rsidRPr="001165AA" w:rsidRDefault="00EE5D60" w:rsidP="00732568">
      <w:pPr>
        <w:pStyle w:val="BodyText"/>
        <w:numPr>
          <w:ilvl w:val="0"/>
          <w:numId w:val="16"/>
        </w:numPr>
        <w:spacing w:after="0"/>
      </w:pPr>
      <w:r>
        <w:t>Se notifica cuando se asocia una Cuenta de compra a su MPSA.</w:t>
      </w:r>
    </w:p>
    <w:p w14:paraId="3900998A" w14:textId="77777777" w:rsidR="00EE5D60" w:rsidRPr="001165AA" w:rsidRDefault="00EE5D60" w:rsidP="00732568">
      <w:pPr>
        <w:pStyle w:val="BodyText"/>
        <w:numPr>
          <w:ilvl w:val="0"/>
          <w:numId w:val="16"/>
        </w:numPr>
        <w:spacing w:after="0"/>
      </w:pPr>
      <w:r>
        <w:t>Tiene el derecho de terminar la vinculación de cualquier Cuenta de Compra al MPSA.</w:t>
      </w:r>
    </w:p>
    <w:p w14:paraId="670F27E9" w14:textId="77777777" w:rsidR="00EE5D60" w:rsidRPr="001165AA" w:rsidRDefault="00EE5D60" w:rsidP="00732568">
      <w:pPr>
        <w:pStyle w:val="BodyText"/>
        <w:numPr>
          <w:ilvl w:val="0"/>
          <w:numId w:val="16"/>
        </w:numPr>
        <w:spacing w:after="0"/>
      </w:pPr>
      <w:r>
        <w:t>Tiene el derecho de terminar el MPSA.</w:t>
      </w:r>
    </w:p>
    <w:p w14:paraId="4B7AFB3F" w14:textId="77777777" w:rsidR="00732568" w:rsidRPr="001165AA" w:rsidRDefault="00732568" w:rsidP="00A80953">
      <w:pPr>
        <w:pStyle w:val="BodyText"/>
        <w:numPr>
          <w:ilvl w:val="0"/>
          <w:numId w:val="16"/>
        </w:numPr>
        <w:spacing w:after="0"/>
      </w:pPr>
      <w:r>
        <w:t xml:space="preserve">No puede realizar pedidos para otras Cuentas de Compra ni administrar sus activos. </w:t>
      </w:r>
    </w:p>
    <w:p w14:paraId="4805856A" w14:textId="7316D0FD" w:rsidR="00E66243" w:rsidRPr="001165AA" w:rsidRDefault="00E66243" w:rsidP="008073E9">
      <w:pPr>
        <w:pStyle w:val="BodyText"/>
        <w:spacing w:before="120" w:after="0"/>
      </w:pPr>
      <w:r>
        <w:t>El Cliente (persona jurídica) del Administrador del Contrato se usa para la definición de Filial del MPSA.</w:t>
      </w:r>
    </w:p>
    <w:p w14:paraId="16DC1212" w14:textId="77777777" w:rsidR="00BA0D95" w:rsidRPr="001165AA" w:rsidRDefault="00BA0D95" w:rsidP="002123CF">
      <w:pPr>
        <w:pStyle w:val="Thirdheading"/>
        <w:spacing w:line="240" w:lineRule="auto"/>
      </w:pPr>
      <w:r>
        <w:rPr>
          <w:b/>
        </w:rPr>
        <w:t>Partners:</w:t>
      </w:r>
    </w:p>
    <w:p w14:paraId="13ADF8DC" w14:textId="19EBA5FA" w:rsidR="00BA0D95" w:rsidRPr="001165AA" w:rsidRDefault="00DF4813" w:rsidP="006E42F4">
      <w:pPr>
        <w:pStyle w:val="BodyText"/>
        <w:spacing w:after="0"/>
      </w:pPr>
      <w:r>
        <w:t>Usted puede realizar pedidos en virtud de su Cuenta de la Compra de MPSA mediante un Partner de Soluciones de Licencias (LSP) autorizado para revender Productos de Microsoft a través del MPSA.</w:t>
      </w:r>
      <w:r w:rsidR="004020AB">
        <w:t xml:space="preserve"> </w:t>
      </w:r>
      <w:r>
        <w:t>Cada Cuenta de compra puede elegir un LSP particular que trabajará con usted para registrar Cuentas de compra y crear el contrato de forma electrónica con una firma electrónica</w:t>
      </w:r>
      <w:r w:rsidR="009A7485">
        <w:rPr>
          <w:rStyle w:val="FootnoteReference"/>
        </w:rPr>
        <w:footnoteReference w:id="2"/>
      </w:r>
      <w:r w:rsidR="0039518E">
        <w:t xml:space="preserve">. </w:t>
      </w:r>
      <w:r>
        <w:t>Puede agregar LSP a las cuentas a lo largo del tiempo según sea necesario para adquisiciones transaccionales.</w:t>
      </w:r>
      <w:r w:rsidR="004020AB">
        <w:t xml:space="preserve"> </w:t>
      </w:r>
      <w:r>
        <w:t xml:space="preserve">Para obtener más información relacionada con los Partners de todo el mundo en su ubicación, consulte </w:t>
      </w:r>
      <w:hyperlink r:id="rId18" w:history="1">
        <w:r>
          <w:rPr>
            <w:rStyle w:val="Hyperlink"/>
          </w:rPr>
          <w:t>http://pinpoint.microsoft.com</w:t>
        </w:r>
      </w:hyperlink>
      <w:r w:rsidRPr="00EF49A1">
        <w:t>.</w:t>
      </w:r>
    </w:p>
    <w:p w14:paraId="1E9FBD4F" w14:textId="19C7971B" w:rsidR="00F360FC" w:rsidRPr="001165AA" w:rsidRDefault="00F360FC" w:rsidP="00F360FC">
      <w:pPr>
        <w:pStyle w:val="Thirdheading"/>
        <w:spacing w:line="240" w:lineRule="auto"/>
      </w:pPr>
      <w:r>
        <w:rPr>
          <w:b/>
        </w:rPr>
        <w:t>Ventas directas</w:t>
      </w:r>
    </w:p>
    <w:p w14:paraId="712E4874" w14:textId="0C8821C7" w:rsidR="00F360FC" w:rsidRPr="001165AA" w:rsidRDefault="000273F6" w:rsidP="00F360FC">
      <w:pPr>
        <w:pStyle w:val="BodyText"/>
        <w:spacing w:after="0"/>
      </w:pPr>
      <w:r>
        <w:t>Ciertos profesionales de ventas de Microsoft tienen autorización para ofrecer Productos a través del MPSA y pueden trabajar con usted para registrar Cuentas de Compra.</w:t>
      </w:r>
    </w:p>
    <w:p w14:paraId="79D98F33" w14:textId="38B7D733" w:rsidR="003B5822" w:rsidRPr="001165AA" w:rsidRDefault="00CE3059" w:rsidP="00CC6A48">
      <w:pPr>
        <w:pStyle w:val="Hdg1noborder"/>
        <w:spacing w:before="240"/>
        <w:rPr>
          <w:rFonts w:eastAsiaTheme="majorEastAsia"/>
        </w:rPr>
      </w:pPr>
      <w:bookmarkStart w:id="10" w:name="_Toc403380297"/>
      <w:bookmarkStart w:id="11" w:name="_Toc403985015"/>
      <w:bookmarkStart w:id="12" w:name="_Toc457924335"/>
      <w:r>
        <w:rPr>
          <w:rFonts w:asciiTheme="majorHAnsi" w:eastAsiaTheme="majorEastAsia" w:hAnsiTheme="majorHAnsi" w:cstheme="majorBidi"/>
          <w:bCs/>
          <w:color w:val="8064A2" w:themeColor="accent4"/>
          <w:sz w:val="28"/>
          <w:szCs w:val="26"/>
        </w:rPr>
        <w:t>Adquisiciones Transaccionales</w:t>
      </w:r>
      <w:bookmarkEnd w:id="10"/>
      <w:bookmarkEnd w:id="11"/>
      <w:bookmarkEnd w:id="12"/>
    </w:p>
    <w:p w14:paraId="2A578B5E" w14:textId="77777777" w:rsidR="009D6481" w:rsidRPr="001165AA" w:rsidRDefault="00FD50F2" w:rsidP="00CC6A48">
      <w:pPr>
        <w:pStyle w:val="Thirdheading"/>
      </w:pPr>
      <w:r>
        <w:rPr>
          <w:b/>
        </w:rPr>
        <w:t>Productos</w:t>
      </w:r>
    </w:p>
    <w:p w14:paraId="7B8A6817" w14:textId="6F09A084" w:rsidR="009D6481" w:rsidRPr="001165AA" w:rsidRDefault="00C72F37" w:rsidP="009D6481">
      <w:pPr>
        <w:pStyle w:val="BodyText"/>
      </w:pPr>
      <w:r>
        <w:t>Puede solicitar la mayor parte de los Productos de Licencia por Volumen a través de su MPSA.</w:t>
      </w:r>
      <w:r w:rsidR="004020AB">
        <w:t xml:space="preserve"> </w:t>
      </w:r>
      <w:r>
        <w:t xml:space="preserve">Para ver la lista completa de Productos disponible a través de MPSA consulte los Términos de Productos en </w:t>
      </w:r>
      <w:hyperlink r:id="rId19" w:history="1">
        <w:r>
          <w:rPr>
            <w:rStyle w:val="Hyperlink"/>
          </w:rPr>
          <w:t>http://www.microsoft.com/licensing/contracts</w:t>
        </w:r>
      </w:hyperlink>
      <w:r>
        <w:t>.</w:t>
      </w:r>
      <w:r w:rsidR="004020AB">
        <w:t xml:space="preserve"> </w:t>
      </w:r>
    </w:p>
    <w:p w14:paraId="07C83D7C" w14:textId="77777777" w:rsidR="009D6481" w:rsidRPr="001165AA" w:rsidRDefault="00FD50F2" w:rsidP="00CC6A48">
      <w:pPr>
        <w:pStyle w:val="Thirdheading"/>
      </w:pPr>
      <w:r>
        <w:rPr>
          <w:b/>
        </w:rPr>
        <w:t>Acceso a descargas e información de la cuenta</w:t>
      </w:r>
    </w:p>
    <w:p w14:paraId="27EB6CBB" w14:textId="7D881635" w:rsidR="009D6481" w:rsidRPr="001165AA" w:rsidRDefault="003732E1" w:rsidP="00994CAB">
      <w:pPr>
        <w:pStyle w:val="BodyText"/>
      </w:pPr>
      <w:r>
        <w:t>Tendrá acceso a Microsoft Business Center para descargar Software, acceder a claves de Productos, ver su cartera de licencias y servicios, así como para el aprovisionamiento de Servicios en Línea.</w:t>
      </w:r>
      <w:r w:rsidR="004020AB">
        <w:t xml:space="preserve"> </w:t>
      </w:r>
      <w:r>
        <w:t xml:space="preserve">Puede acceder a Microsoft Business Center en </w:t>
      </w:r>
      <w:hyperlink r:id="rId20" w:history="1">
        <w:r>
          <w:rPr>
            <w:rStyle w:val="Hyperlink"/>
          </w:rPr>
          <w:t>https://licensing.microsoft.com/customer/</w:t>
        </w:r>
      </w:hyperlink>
      <w:r>
        <w:rPr>
          <w:color w:val="1F497D"/>
        </w:rPr>
        <w:t>.</w:t>
      </w:r>
    </w:p>
    <w:p w14:paraId="0DB6FBA2" w14:textId="0E9DB4C2" w:rsidR="008E77D5" w:rsidRPr="001165AA" w:rsidRDefault="0020545D" w:rsidP="00CC6A48">
      <w:pPr>
        <w:pStyle w:val="Thirdheading"/>
      </w:pPr>
      <w:r>
        <w:rPr>
          <w:b/>
        </w:rPr>
        <w:t>Niveles de precios</w:t>
      </w:r>
    </w:p>
    <w:p w14:paraId="3FE02415" w14:textId="079C1D9D" w:rsidR="00D17BBE" w:rsidRPr="001165AA" w:rsidRDefault="009D5624" w:rsidP="00E30CB7">
      <w:pPr>
        <w:pStyle w:val="BodyText"/>
      </w:pPr>
      <w:r>
        <w:t>Debe lograr un mínimo de 500 puntos por Grupo de Productos anualmente para calificar y realizar pedidos de Productos en ese Grupo de Productos.</w:t>
      </w:r>
      <w:r w:rsidR="004020AB">
        <w:t xml:space="preserve"> </w:t>
      </w:r>
      <w:r>
        <w:t>De forma alternativa, puede calificar mediante la realización de un pedido de al menos 250 puntos para los Servicios en Línea en dicho Grupo de Productos o mediante la asociación de un contrato cualificado activo (Inscripción Enterprise, Inscripción Enterprise Subscription o Contrato Select Plus) con el MPSA.</w:t>
      </w:r>
      <w:r w:rsidR="004020AB">
        <w:t xml:space="preserve"> </w:t>
      </w:r>
      <w:r>
        <w:t>Puede utilizar un contrato cualificado diferente para cada Grupo de Productos.</w:t>
      </w:r>
      <w:r w:rsidR="004020AB">
        <w:t xml:space="preserve"> </w:t>
      </w:r>
      <w:r>
        <w:t>Sin embargo, debe (1) ser una Filial del Cliente que ha celebrado el contrato cualificado y (2) contar con la aprobación de la Filial del Cliente que ha celebrado el contrato cualificado para asociarlo con el MPSA.</w:t>
      </w:r>
      <w:r w:rsidR="004020AB">
        <w:t xml:space="preserve"> </w:t>
      </w:r>
      <w:r>
        <w:t>Puede utilizar los Servicios de Microsoft Azure sin haber alcanzado el mínimo de puntos requerido.</w:t>
      </w:r>
    </w:p>
    <w:p w14:paraId="14D5163E" w14:textId="2D794C1C" w:rsidR="00BC6802" w:rsidRPr="001165AA" w:rsidRDefault="00433D47" w:rsidP="00E30CB7">
      <w:pPr>
        <w:pStyle w:val="BodyText"/>
      </w:pPr>
      <w:r>
        <w:t>Las Cuentas de Compra Comerciales tienen cuatro niveles de precios disponibles por Grupo de Productos, tal como se define a continuación.</w:t>
      </w:r>
      <w:r w:rsidR="004020AB">
        <w:t xml:space="preserve"> </w:t>
      </w:r>
      <w:r>
        <w:t>En el caso de las Cuentas de Compra Commercial, los puntos para cada nivel de precios se enumeran en la tabla siguiente:</w:t>
      </w:r>
      <w:r w:rsidR="004020AB">
        <w:t xml:space="preserve">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41B1F2C3" w:rsidR="00FB2B2F" w:rsidRPr="00B50681" w:rsidRDefault="00FB2B2F" w:rsidP="00A80953">
            <w:pPr>
              <w:pStyle w:val="VLTableHeader"/>
              <w:spacing w:before="0" w:after="0"/>
              <w:jc w:val="center"/>
              <w:rPr>
                <w:b/>
              </w:rPr>
            </w:pPr>
            <w:r>
              <w:rPr>
                <w:b/>
              </w:rPr>
              <w:t>Nivel de precios – Commercial</w:t>
            </w:r>
          </w:p>
        </w:tc>
        <w:tc>
          <w:tcPr>
            <w:tcW w:w="2525" w:type="pct"/>
          </w:tcPr>
          <w:p w14:paraId="4F35BC0C" w14:textId="06531961" w:rsidR="00FB2B2F" w:rsidRPr="00B50681" w:rsidRDefault="00FB2B2F">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Mínimo de puntos anuales por Grupo de Productos</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 250 solo para OLS</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74715FF1" w:rsidR="00FB2B2F" w:rsidRPr="00B50681" w:rsidRDefault="00FB2B2F" w:rsidP="006E42F4">
            <w:pPr>
              <w:pStyle w:val="VLBodyCopy2"/>
              <w:jc w:val="center"/>
              <w:cnfStyle w:val="000000010000" w:firstRow="0" w:lastRow="0" w:firstColumn="0" w:lastColumn="0" w:oddVBand="0" w:evenVBand="0" w:oddHBand="0" w:evenHBand="1" w:firstRowFirstColumn="0" w:firstRowLastColumn="0" w:lastRowFirstColumn="0" w:lastRowLastColumn="0"/>
            </w:pPr>
            <w:r>
              <w:t>4</w:t>
            </w:r>
            <w:r w:rsidR="006E42F4">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46258CEB" w:rsidR="00FB2B2F" w:rsidRPr="00B50681" w:rsidRDefault="00FB2B2F" w:rsidP="006E42F4">
            <w:pPr>
              <w:pStyle w:val="VLBodyCopy2"/>
              <w:jc w:val="center"/>
              <w:cnfStyle w:val="000000100000" w:firstRow="0" w:lastRow="0" w:firstColumn="0" w:lastColumn="0" w:oddVBand="0" w:evenVBand="0" w:oddHBand="1" w:evenHBand="0" w:firstRowFirstColumn="0" w:firstRowLastColumn="0" w:lastRowFirstColumn="0" w:lastRowLastColumn="0"/>
            </w:pPr>
            <w:r>
              <w:t>10</w:t>
            </w:r>
            <w:r w:rsidR="006E42F4">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lastRenderedPageBreak/>
              <w:t>D</w:t>
            </w:r>
          </w:p>
        </w:tc>
        <w:tc>
          <w:tcPr>
            <w:tcW w:w="2525" w:type="pct"/>
          </w:tcPr>
          <w:p w14:paraId="47A8753D" w14:textId="5B5B7FA5" w:rsidR="00FB2B2F" w:rsidRPr="00B50681" w:rsidRDefault="00FB2B2F" w:rsidP="006E42F4">
            <w:pPr>
              <w:pStyle w:val="VLBodyCopy2"/>
              <w:jc w:val="center"/>
              <w:cnfStyle w:val="000000010000" w:firstRow="0" w:lastRow="0" w:firstColumn="0" w:lastColumn="0" w:oddVBand="0" w:evenVBand="0" w:oddHBand="0" w:evenHBand="1" w:firstRowFirstColumn="0" w:firstRowLastColumn="0" w:lastRowFirstColumn="0" w:lastRowLastColumn="0"/>
            </w:pPr>
            <w:r>
              <w:t>25</w:t>
            </w:r>
            <w:r w:rsidR="006E42F4">
              <w:t>.</w:t>
            </w:r>
            <w:r>
              <w:t>000</w:t>
            </w:r>
          </w:p>
        </w:tc>
      </w:tr>
    </w:tbl>
    <w:p w14:paraId="24A79A8D" w14:textId="3D014F9E" w:rsidR="008E77D5" w:rsidRPr="001165AA" w:rsidRDefault="008E77D5" w:rsidP="008073E9">
      <w:pPr>
        <w:pStyle w:val="BodyText"/>
        <w:spacing w:before="120"/>
      </w:pPr>
      <w:bookmarkStart w:id="13" w:name="_Toc364455186"/>
      <w:r>
        <w:t>De forma predeterminada, el nivel de precios inicial tras la firma es el nivel A. La organización se moverá automáticamente a un nivel de precios más favorable si se produce uno de estos eventos:</w:t>
      </w:r>
    </w:p>
    <w:p w14:paraId="4CE0D1CA" w14:textId="20870693" w:rsidR="00A80953" w:rsidRPr="001165AA" w:rsidRDefault="008E77D5" w:rsidP="00A80953">
      <w:pPr>
        <w:pStyle w:val="BodyText"/>
        <w:numPr>
          <w:ilvl w:val="0"/>
          <w:numId w:val="16"/>
        </w:numPr>
        <w:spacing w:after="0"/>
      </w:pPr>
      <w:r>
        <w:t>Realiza un pedido que tenga suficientes puntos como para hacerlo calificar para e siguiente nivel de precios de un Grupo de Productos.</w:t>
      </w:r>
    </w:p>
    <w:p w14:paraId="67DCFF8F" w14:textId="48660B9F" w:rsidR="00A80953" w:rsidRPr="001165AA" w:rsidRDefault="00A80953" w:rsidP="00A80953">
      <w:pPr>
        <w:pStyle w:val="BodyText"/>
        <w:numPr>
          <w:ilvl w:val="0"/>
          <w:numId w:val="16"/>
        </w:numPr>
        <w:spacing w:after="0"/>
      </w:pPr>
      <w:r>
        <w:t xml:space="preserve">Asocia un contrato cualificado activo que tiene un nivel de precios de un Grupo de Productos más favorable que el Grupo de Productos correspondiente en el MPSA, en cuyo caso se aplicará el nivel de precios más favorable a los pedidos futuros. </w:t>
      </w:r>
    </w:p>
    <w:p w14:paraId="0374531C" w14:textId="6BF7FCED" w:rsidR="00D17BBE" w:rsidRPr="001165AA" w:rsidRDefault="00D17BBE" w:rsidP="008073E9">
      <w:pPr>
        <w:pStyle w:val="BodyText"/>
        <w:spacing w:before="120"/>
      </w:pPr>
      <w:r>
        <w:t>Las Cuentas de Compra Government y Academic tienen un único nivel de precios que refleja el precio más beneficioso que Microsoft puede ofrecer a esos tipos de Clientes a través del MPSA.</w:t>
      </w:r>
      <w:r w:rsidR="004020AB">
        <w:t xml:space="preserve"> </w:t>
      </w:r>
      <w:r>
        <w:t>Para Government, esto es equivalente al nivel D de precios comerciales.</w:t>
      </w:r>
    </w:p>
    <w:p w14:paraId="20A50E73" w14:textId="77777777" w:rsidR="00CE4C53" w:rsidRPr="001165AA" w:rsidRDefault="0020545D" w:rsidP="00A80953">
      <w:pPr>
        <w:pStyle w:val="Thirdheading"/>
      </w:pPr>
      <w:r>
        <w:rPr>
          <w:b/>
        </w:rPr>
        <w:t>Puntos</w:t>
      </w:r>
    </w:p>
    <w:p w14:paraId="77280ADF" w14:textId="7EAA0879" w:rsidR="00CE4C53" w:rsidRPr="001165AA" w:rsidRDefault="0020545D" w:rsidP="00CE4C53">
      <w:pPr>
        <w:pStyle w:val="BodyText"/>
      </w:pPr>
      <w:r>
        <w:t>Microsoft categoriza los Productos en tres Grupos de Productos diferentes</w:t>
      </w:r>
      <w:r>
        <w:rPr>
          <w:szCs w:val="22"/>
        </w:rPr>
        <w:t xml:space="preserve"> con niveles de precios escalonados</w:t>
      </w:r>
      <w:r>
        <w:t>: aplicaciones, sistemas y servidores.</w:t>
      </w:r>
      <w:r w:rsidR="004020AB">
        <w:t xml:space="preserve"> </w:t>
      </w:r>
      <w:r>
        <w:t>El nivel de precios para cada Grupo de Productos se basa en los puntos que adquiere al realizar compras en estos Grupos de Productos.</w:t>
      </w:r>
      <w:r w:rsidR="004020AB">
        <w:t xml:space="preserve"> </w:t>
      </w:r>
      <w:r>
        <w:t>Los puntos se cuentan en todas sus Cuentas de la Compra del mismo tipo (</w:t>
      </w:r>
      <w:r>
        <w:rPr>
          <w:i/>
        </w:rPr>
        <w:t>por ejemplo</w:t>
      </w:r>
      <w:r>
        <w:t xml:space="preserve">, Commercial). </w:t>
      </w:r>
    </w:p>
    <w:p w14:paraId="5635F696" w14:textId="084F5337" w:rsidR="00CE4C53" w:rsidRPr="001165AA" w:rsidRDefault="00CE4C53" w:rsidP="00A80953">
      <w:pPr>
        <w:pStyle w:val="BodyText"/>
        <w:numPr>
          <w:ilvl w:val="0"/>
          <w:numId w:val="16"/>
        </w:numPr>
        <w:spacing w:after="0"/>
      </w:pPr>
      <w:r>
        <w:t>Aplicaciones.</w:t>
      </w:r>
      <w:r w:rsidR="004020AB">
        <w:t xml:space="preserve"> </w:t>
      </w:r>
      <w:r>
        <w:t xml:space="preserve">Algunos ejemplos de Productos de aplicación son Microsoft Office Professional, cliente de Microsoft Lync y Office 365. </w:t>
      </w:r>
    </w:p>
    <w:p w14:paraId="6F41AFC8" w14:textId="0F1808D0" w:rsidR="00372F76" w:rsidRPr="001165AA" w:rsidRDefault="00CE4C53" w:rsidP="00A80953">
      <w:pPr>
        <w:pStyle w:val="BodyText"/>
        <w:numPr>
          <w:ilvl w:val="0"/>
          <w:numId w:val="16"/>
        </w:numPr>
        <w:spacing w:after="0"/>
      </w:pPr>
      <w:r>
        <w:t>Sistemas.</w:t>
      </w:r>
      <w:r w:rsidR="004020AB">
        <w:t xml:space="preserve"> </w:t>
      </w:r>
      <w:r>
        <w:t>Un ejemplo de un Producto de sistema es una actualización del sistema operativo Windows como Windows Enterprise.</w:t>
      </w:r>
    </w:p>
    <w:p w14:paraId="46017CF3" w14:textId="0BA54A68" w:rsidR="00461D21" w:rsidRPr="001165AA" w:rsidRDefault="00CE4C53" w:rsidP="00A80953">
      <w:pPr>
        <w:pStyle w:val="BodyText"/>
        <w:numPr>
          <w:ilvl w:val="0"/>
          <w:numId w:val="16"/>
        </w:numPr>
        <w:spacing w:after="0"/>
      </w:pPr>
      <w:r>
        <w:t>Servidores.</w:t>
      </w:r>
      <w:r w:rsidR="004020AB">
        <w:t xml:space="preserve"> </w:t>
      </w:r>
      <w:r>
        <w:t>Algunos ejemplos de Productos de servidor son Windows Server, Microsoft Exchange Server, Software de la base de datos de Microsoft SQL Server, Intune y Licencias de Acceso Cliente (</w:t>
      </w:r>
      <w:r w:rsidR="006B099D">
        <w:t>“</w:t>
      </w:r>
      <w:r>
        <w:t>Licencias CAL</w:t>
      </w:r>
      <w:r w:rsidR="006B099D">
        <w:t>”</w:t>
      </w:r>
      <w:r>
        <w:t>) asociadas.</w:t>
      </w:r>
    </w:p>
    <w:p w14:paraId="42234254" w14:textId="77777777" w:rsidR="00A80953" w:rsidRPr="001165AA" w:rsidRDefault="00A80953" w:rsidP="00A80953">
      <w:pPr>
        <w:pStyle w:val="BodyText"/>
        <w:spacing w:after="0"/>
      </w:pPr>
    </w:p>
    <w:p w14:paraId="5DB4785D" w14:textId="7603B7D9" w:rsidR="00CE4C53" w:rsidRPr="001165AA" w:rsidRDefault="005B47F8" w:rsidP="0020545D">
      <w:pPr>
        <w:pStyle w:val="BodyText"/>
        <w:spacing w:after="0" w:line="240" w:lineRule="auto"/>
      </w:pPr>
      <w:r>
        <w:t>Ejemplos:</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22C7C23F" w:rsidR="0020545D" w:rsidRPr="0020545D" w:rsidRDefault="0020545D">
            <w:pPr>
              <w:pStyle w:val="BodyText"/>
              <w:spacing w:after="0" w:line="240" w:lineRule="auto"/>
              <w:rPr>
                <w:color w:val="FFFFFF" w:themeColor="background1"/>
              </w:rPr>
            </w:pPr>
            <w:r>
              <w:rPr>
                <w:color w:val="FFFFFF" w:themeColor="background1"/>
              </w:rPr>
              <w:t xml:space="preserve">Aplicaciones </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c>
          <w:tcPr>
            <w:tcW w:w="2993" w:type="dxa"/>
          </w:tcPr>
          <w:p w14:paraId="7389FD4B" w14:textId="6473B091"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Sistemas </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c>
          <w:tcPr>
            <w:tcW w:w="2610" w:type="dxa"/>
          </w:tcPr>
          <w:p w14:paraId="630A1EE7" w14:textId="4549A808" w:rsidR="0020545D" w:rsidRPr="0020545D" w:rsidRDefault="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 xml:space="preserve">Servidores </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Puntos</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243F1CB1" w:rsidR="00D302A8" w:rsidRDefault="00D302A8" w:rsidP="00406496">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Actualización de Windows Enterprise LTSB </w:t>
            </w:r>
          </w:p>
        </w:tc>
        <w:tc>
          <w:tcPr>
            <w:tcW w:w="810" w:type="dxa"/>
            <w:vAlign w:val="center"/>
          </w:tcPr>
          <w:p w14:paraId="2915EA25" w14:textId="243C724B" w:rsidR="00D302A8" w:rsidRDefault="00406496"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14:paraId="48C445DD" w14:textId="3DF95F5E" w:rsidR="00D302A8" w:rsidRDefault="00D302A8" w:rsidP="00C92A69">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Server Standard </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2CC74DD" w:rsidR="00A80953" w:rsidRPr="0020545D" w:rsidRDefault="00A80953" w:rsidP="00C92A69">
            <w:pPr>
              <w:pStyle w:val="BodyText"/>
              <w:spacing w:after="0" w:line="240" w:lineRule="auto"/>
              <w:rPr>
                <w:b w:val="0"/>
                <w:color w:val="58595B" w:themeColor="text1"/>
                <w:sz w:val="16"/>
              </w:rPr>
            </w:pPr>
            <w:r>
              <w:rPr>
                <w:b w:val="0"/>
                <w:color w:val="58595B" w:themeColor="text1"/>
                <w:sz w:val="16"/>
              </w:rPr>
              <w:t>O365 K1/E1/E3/E5</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18AC025A"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4FABFE7C" w:rsidR="0020545D" w:rsidRPr="001165AA" w:rsidRDefault="0020545D" w:rsidP="00372F76">
      <w:pPr>
        <w:pStyle w:val="BodyText"/>
        <w:spacing w:before="120"/>
      </w:pPr>
      <w:r>
        <w:rPr>
          <w:bCs/>
        </w:rPr>
        <w:t xml:space="preserve">Para obtener más información, consulte los Términos de Productos en </w:t>
      </w:r>
      <w:hyperlink r:id="rId21" w:history="1">
        <w:r>
          <w:rPr>
            <w:rStyle w:val="Hyperlink"/>
          </w:rPr>
          <w:t>http://www.microsoft.com/licensing/contracts</w:t>
        </w:r>
      </w:hyperlink>
      <w:r>
        <w:rPr>
          <w:bCs/>
        </w:rPr>
        <w:t xml:space="preserve"> o póngase en contacto con su Partner o profesional de ventas de Microsoft.</w:t>
      </w:r>
    </w:p>
    <w:bookmarkEnd w:id="13"/>
    <w:p w14:paraId="05817D9E" w14:textId="35BEB6B1" w:rsidR="008E77D5" w:rsidRPr="001165AA" w:rsidRDefault="008E77D5" w:rsidP="00CC6A48">
      <w:pPr>
        <w:pStyle w:val="Thirdheading"/>
      </w:pPr>
      <w:r>
        <w:rPr>
          <w:b/>
        </w:rPr>
        <w:t>Ajustes en el nivel de precios</w:t>
      </w:r>
    </w:p>
    <w:p w14:paraId="53BCC1C8" w14:textId="548DF69B" w:rsidR="00E30CB7" w:rsidRPr="001165AA" w:rsidRDefault="00E30CB7" w:rsidP="00E30CB7">
      <w:pPr>
        <w:pStyle w:val="BodyText"/>
      </w:pPr>
      <w:r>
        <w:t>Alcanzará el siguiente nivel de precios para un Grupo de Productos cuando la organización alcance el número de puntos mínimo anual correspondiente.</w:t>
      </w:r>
      <w:r w:rsidR="004020AB">
        <w:t xml:space="preserve"> </w:t>
      </w:r>
      <w:r>
        <w:t>El pedido que lo califique para acceder al siguiente nivel de precios (por ejemplo, de nivel A a nivel B) tendrá el precio de ese nivel.</w:t>
      </w:r>
      <w:r w:rsidR="004020AB">
        <w:t xml:space="preserve"> </w:t>
      </w:r>
      <w:r>
        <w:t>Los niveles de precios de cada Grupo de Productos se revisarán anualmente en el mes aniversario del cumplimiento del contrato que se establece en el mismo mes en el que se activa el MPSA.</w:t>
      </w:r>
      <w:r w:rsidR="004020AB">
        <w:t xml:space="preserve"> </w:t>
      </w:r>
      <w:r>
        <w:t>Todos los puntos que gane en un determinado año que estén sobre el nivel de precios actual, pero por debajo del nivel de precios siguiente se traspasarán al año siguiente para que se incluyan en el cumplimiento de ese año.</w:t>
      </w:r>
    </w:p>
    <w:p w14:paraId="0B62F604" w14:textId="65B7D636" w:rsidR="000720F7" w:rsidRPr="001165AA" w:rsidRDefault="00BB2634" w:rsidP="000720F7">
      <w:pPr>
        <w:pStyle w:val="BodyText"/>
      </w:pPr>
      <w:r>
        <w:t>Si en el mes aniversario del cumplimiento del contrato sus puntos acumulados se encuentran bajo el número de puntos mínimo anual en un Grupo de Productos, el nivel de precios de la organización se reducirá un nivel (</w:t>
      </w:r>
      <w:r>
        <w:rPr>
          <w:i/>
        </w:rPr>
        <w:t>por ejemplo</w:t>
      </w:r>
      <w:r>
        <w:t>, de nivel C a nivel B) para ese Grupo de Productos el año siguiente y no se traspasarán puntos al año siguiente.</w:t>
      </w:r>
      <w:r w:rsidR="004020AB">
        <w:t xml:space="preserve"> </w:t>
      </w:r>
      <w:r>
        <w:t>Su nivel de precios solo puede reducirse un máximo de un nivel cada año.</w:t>
      </w:r>
      <w:r w:rsidR="004020AB">
        <w:t xml:space="preserve"> </w:t>
      </w:r>
      <w:r>
        <w:t xml:space="preserve">Si no puede cumplir el requisito mínimo que le permite calificar para realizar pedidos de Productos de un Grupo de Productos, podrá realizar pedidos de los Productos de ese Grupo de Productos hasta que se realice un pedido único que cumpla con la calificación mínima. </w:t>
      </w:r>
    </w:p>
    <w:p w14:paraId="6E84C18E" w14:textId="56AF92E6" w:rsidR="005E1FDC" w:rsidRPr="001165AA" w:rsidRDefault="00A708FB" w:rsidP="000720F7">
      <w:pPr>
        <w:pStyle w:val="BodyText"/>
      </w:pPr>
      <w:r>
        <w:t>Si tiene un contrato cualificado asociado a su MPSA que tenga un nivel de precios del Grupo de Productos más favorable que el Grupo de Productos correspondiente en el MPSA, se utilizará ese nivel de precios más favorable del Grupo de Productos para los pedidos en el MPSA.</w:t>
      </w:r>
    </w:p>
    <w:p w14:paraId="76025713" w14:textId="77777777" w:rsidR="00245EA6" w:rsidRPr="001165AA" w:rsidRDefault="000323FD" w:rsidP="00CC6A48">
      <w:pPr>
        <w:pStyle w:val="Thirdheading"/>
      </w:pPr>
      <w:r>
        <w:rPr>
          <w:b/>
        </w:rPr>
        <w:t>Mecánica del Pedido.</w:t>
      </w:r>
    </w:p>
    <w:p w14:paraId="1AC9F3E3" w14:textId="363F0B4D" w:rsidR="009D1152" w:rsidRPr="001165AA" w:rsidRDefault="00203D81" w:rsidP="00E10622">
      <w:pPr>
        <w:pStyle w:val="BodyText"/>
      </w:pPr>
      <w:r>
        <w:t>Puede realizar pedidos de los Productos a través del MPSA con los Partners de Soluciones de Licencia o el profesional de ventas de Microsoft que haya elegido.</w:t>
      </w:r>
      <w:r w:rsidR="004020AB">
        <w:t xml:space="preserve"> </w:t>
      </w:r>
      <w:r>
        <w:t>Los precios y las condiciones de pago de todos los pedidos realizados a través de un Partner se determinarán según el contrato celebrado entre usted y su Partner.</w:t>
      </w:r>
      <w:r w:rsidR="004020AB">
        <w:t xml:space="preserve"> </w:t>
      </w:r>
      <w:r>
        <w:t>Cuando realice pedidos, deberá especificar todos los países en los que la organización usará los Productos.</w:t>
      </w:r>
    </w:p>
    <w:p w14:paraId="1696708D" w14:textId="69053AFC" w:rsidR="004840AE" w:rsidRPr="001165AA" w:rsidRDefault="008E740A" w:rsidP="00E10622">
      <w:pPr>
        <w:pStyle w:val="BodyText"/>
      </w:pPr>
      <w:r>
        <w:lastRenderedPageBreak/>
        <w:t>En el momento de cada pedido de licencias de suscripción de Software Assurance o Software, puede elegir el periodo de vigencia de estas suscripciones: estas pueden expirar el día anterior del tercer aniversario de su Cuenta de Compra o el último día de un periodo de treinta y seis (36) meses naturales completos.</w:t>
      </w:r>
      <w:r w:rsidR="004020AB">
        <w:t xml:space="preserve"> </w:t>
      </w:r>
      <w:r>
        <w:t>El pago de estas suscripciones se puede (1) realizar completamente en el momento del pedido, o (2) realizar antes de los plazos anuales, o bien facturarse en el aniversario de la Cuenta de la Compra o en el aniversario del pedido.</w:t>
      </w:r>
    </w:p>
    <w:p w14:paraId="06E80410" w14:textId="0C1F9B49" w:rsidR="00E04AD6" w:rsidRPr="001165AA" w:rsidRDefault="001A4514" w:rsidP="00E10622">
      <w:pPr>
        <w:pStyle w:val="BodyText"/>
      </w:pPr>
      <w:r>
        <w:t>Un pedido de Servicios en Línea o suscripciones de Paquetes por un periodo inicial o de renovación, puede expirar (1) el día anterior del siguiente aniversario, del segundo aniversario o del tercer aniversario de la Cuenta de la Compra, o (2) el último día después del periodo de doce (12), veinticuatro (24) o treinta y seis (36) meses seleccionado durante el pedido.</w:t>
      </w:r>
      <w:r w:rsidR="004020AB">
        <w:t xml:space="preserve"> </w:t>
      </w:r>
      <w:r>
        <w:t>Los pedidos adicionales de una suscripción de ese Producto durante este periodo de vigencia, en la misma Cuenta de Compra, se alinearán automáticamente con la misma fecha final.</w:t>
      </w:r>
      <w:r w:rsidR="004020AB">
        <w:t xml:space="preserve"> </w:t>
      </w:r>
      <w:r>
        <w:t>Microsoft solo puede poner a disposición algunas opciones para la duración inicial o la renovación de un periodo de suscripción, lo que dependerá del Producto seleccionado.</w:t>
      </w:r>
    </w:p>
    <w:p w14:paraId="31EA8E50" w14:textId="417D1536" w:rsidR="00E10622" w:rsidRPr="001165AA" w:rsidRDefault="001A4514" w:rsidP="00E10622">
      <w:pPr>
        <w:pStyle w:val="BodyText"/>
      </w:pPr>
      <w:r>
        <w:t>La facturación de los Servicios en Línea o suscripciones de Paquetes se puede (1) realizar completamente en el momento del pedido, o (2) realizar antes de los plazos anuales, o bien facturarse en el aniversario de la Cuenta de la Compra o en el aniversario del pedido.</w:t>
      </w:r>
      <w:r w:rsidR="004020AB">
        <w:t xml:space="preserve"> </w:t>
      </w:r>
      <w:r>
        <w:t>Los precios para los pedidos adicionales de una suscripción serán los mismos que el pedido inicial de la suscripción, a menos que haya una promoción disponible en el momento del pedido que sea más favorable.</w:t>
      </w:r>
      <w:r w:rsidR="004020AB">
        <w:t xml:space="preserve"> </w:t>
      </w:r>
      <w:r>
        <w:t>Si el periodo de suscripción es mayor que un año, los pedidos adicionales recibirán el mejor de los precios actuales en el momento del pedido adicional o el precio del pedido inicial, lo que sea más favorable.</w:t>
      </w:r>
      <w:r w:rsidR="004020AB">
        <w:t xml:space="preserve"> </w:t>
      </w:r>
      <w:r>
        <w:t xml:space="preserve">Los precios se restablecen cuando se renueva el periodo de suscripción. </w:t>
      </w:r>
    </w:p>
    <w:p w14:paraId="46DEAF93" w14:textId="1A2C3690" w:rsidR="00770503" w:rsidRPr="001165AA" w:rsidRDefault="00FA2ABF" w:rsidP="00E10622">
      <w:pPr>
        <w:pStyle w:val="BodyText"/>
      </w:pPr>
      <w:r>
        <w:t>Además de las opciones anteriores, puede solicitar algunos Servicios en Línea, como una suscripción a corto plazo.</w:t>
      </w:r>
      <w:r w:rsidR="004020AB">
        <w:t xml:space="preserve"> </w:t>
      </w:r>
      <w:r>
        <w:t>Las suscripciones a corto plazo pueden tener una duración de uno (1) a once (11) meses sin alineación automática a las suscripciones existentes para el mismo Producto.</w:t>
      </w:r>
      <w:r w:rsidR="004020AB">
        <w:t xml:space="preserve"> </w:t>
      </w:r>
      <w:r>
        <w:t>Los precios de los pedidos de las suscripciones a corto plazo son diferentes de los precios de otras opciones de periodos de vigencia y se fijan en el momento de realizar el pedido.</w:t>
      </w:r>
    </w:p>
    <w:p w14:paraId="6C746BD2" w14:textId="08BD1C8C" w:rsidR="00E64636" w:rsidRPr="001165AA" w:rsidRDefault="00E64636" w:rsidP="00E64636">
      <w:pPr>
        <w:pStyle w:val="BodyText"/>
      </w:pPr>
      <w:r>
        <w:t>Si adquiere Servicios de Microsoft Azure a través del MPSA, se le facturará de forma periódica basándose en el uso de los servicios durante ese periodo de facturación.</w:t>
      </w:r>
      <w:r w:rsidR="004020AB">
        <w:t xml:space="preserve"> </w:t>
      </w:r>
      <w:r>
        <w:t>El periodo de facturación de los Servicios de Microsoft Azure es trimestral y se alinea con el aniversario de la Cuenta de la Compra cuando comenzó la suscripción a los Servicios de Microsoft Azure.</w:t>
      </w:r>
    </w:p>
    <w:p w14:paraId="598812A0" w14:textId="71DB4BAF" w:rsidR="00E770FC" w:rsidRPr="001165AA" w:rsidRDefault="00E770FC" w:rsidP="00D11874">
      <w:pPr>
        <w:pStyle w:val="BodyText"/>
      </w:pPr>
      <w:r>
        <w:t>También puede realizar una transición entre los tipos de licencia cubiertos por Software Assurance o los tipos de licencia de suscripción en el MPSA al solicitar Migraciones a Ediciones Superiores o cambiar de una licencia basada en dispositivos a una licencia basada en usuarios o viceversa.</w:t>
      </w:r>
      <w:r w:rsidR="004020AB">
        <w:t xml:space="preserve"> </w:t>
      </w:r>
      <w:r>
        <w:t>Algunas de estas transiciones se pueden realizar en la renovación, durante el periodo de vigencia de la suscripción o durante el periodo de cobertura de Software Assurance, como las Migraciones a Ediciones Superiores, mientras que otras solo se pueden realizar en el marco de una renovación, como los cambios en el modelo de licencia de dispositivo a usuario.</w:t>
      </w:r>
      <w:r w:rsidR="004020AB">
        <w:t xml:space="preserve"> </w:t>
      </w:r>
      <w:r>
        <w:t>Para obtener más información acerca de las opciones de transición, póngase en contacto con su Partner o profesional de ventas de Microsoft.</w:t>
      </w:r>
    </w:p>
    <w:p w14:paraId="0E6252FB" w14:textId="501BF112" w:rsidR="00D11874" w:rsidRPr="001165AA" w:rsidRDefault="00EF3BBE" w:rsidP="00D11874">
      <w:pPr>
        <w:pStyle w:val="BodyText"/>
      </w:pPr>
      <w:r>
        <w:t xml:space="preserve">Es posible que haya otras opciones de facturación y de alineación para los pedidos realizados a través de su MPSA disponibles en el futuro. </w:t>
      </w:r>
    </w:p>
    <w:p w14:paraId="6D161856" w14:textId="3571ECC9" w:rsidR="00A90CD0" w:rsidRPr="001165AA" w:rsidRDefault="00A90CD0" w:rsidP="00D11874">
      <w:pPr>
        <w:pStyle w:val="BodyText"/>
      </w:pPr>
      <w:r>
        <w:t>En cuanto Microsoft haya aceptado el registro de su Cuenta de Compra, podrá utilizar cualquier Producto como si estuviera licenciado en virtud de los términos del MPSA, siempre que envíe un pedido en el mismo mes natural en que el Producto se usó por primera vez, para un número suficiente de licencias para cubrir su uso del Producto.</w:t>
      </w:r>
      <w:r w:rsidR="004020AB">
        <w:t xml:space="preserve"> </w:t>
      </w:r>
      <w:r>
        <w:t>Para obtener cantidades adicionales de un Producto licenciado, debe realizar un pedido en el mes en que esas cantidades se utilizaron por primera vez.</w:t>
      </w:r>
      <w:r w:rsidR="004020AB">
        <w:t xml:space="preserve"> </w:t>
      </w:r>
      <w:r>
        <w:t>Para las suscripciones a los Servicios en Línea que requieran un pedido de reconciliación, puede encontrar informes sobre dichas cantidades en Microsoft Business Center o con la ayuda de su Partner o del profesional de ventas de Microsoft.</w:t>
      </w:r>
      <w:r w:rsidR="004020AB">
        <w:t xml:space="preserve"> </w:t>
      </w:r>
    </w:p>
    <w:p w14:paraId="03B07B14" w14:textId="0C20A168" w:rsidR="0037779D" w:rsidRPr="001165AA" w:rsidRDefault="00D84DF6" w:rsidP="00D11874">
      <w:pPr>
        <w:pStyle w:val="BodyText"/>
      </w:pPr>
      <w:r>
        <w:t>Microsoft podrá cambiar los Productos disponibles a través del MPSA y podrá negarse a aceptar un pedido si tiene una razón comercial para hacerlo.</w:t>
      </w:r>
    </w:p>
    <w:p w14:paraId="246E6E08" w14:textId="7CECB442" w:rsidR="0037779D" w:rsidRPr="001165AA" w:rsidRDefault="00D84DF6" w:rsidP="002123CF">
      <w:pPr>
        <w:pStyle w:val="BodyText"/>
      </w:pPr>
      <w:r>
        <w:t xml:space="preserve">Puede solicitar la información sobre los pedidos recibidos y procesados por Microsoft a su Partner o consultarla en Microsoft Business Center, en </w:t>
      </w:r>
      <w:hyperlink r:id="rId22" w:history="1">
        <w:r>
          <w:rPr>
            <w:rStyle w:val="Hyperlink"/>
          </w:rPr>
          <w:t>https://licensing.microsoft.com/customer</w:t>
        </w:r>
      </w:hyperlink>
      <w:r>
        <w:t>.</w:t>
      </w:r>
      <w:r w:rsidR="004020AB">
        <w:t xml:space="preserve"> </w:t>
      </w:r>
      <w:r>
        <w:t>Una vez registrado, el contacto de la Cuenta de la Compra le proporcionará acceso a Microsoft Business Center, y la cuenta del Administrador del Contrato designada tendrá acceso a la información de todas las Cuentas de la Compra.</w:t>
      </w:r>
    </w:p>
    <w:p w14:paraId="5E4C2844" w14:textId="3B4E46A2" w:rsidR="007B134C" w:rsidRPr="001165AA" w:rsidRDefault="007B134C" w:rsidP="00CC6A48">
      <w:pPr>
        <w:pStyle w:val="Hdg1noborder"/>
      </w:pPr>
      <w:bookmarkStart w:id="14" w:name="_New_Version_Rights"/>
      <w:bookmarkStart w:id="15" w:name="_Office_Multi_Language"/>
      <w:bookmarkStart w:id="16" w:name="_Office_Online"/>
      <w:bookmarkStart w:id="17" w:name="_Planning_Services"/>
      <w:bookmarkStart w:id="18" w:name="_Enhanced_Edition_Benefits"/>
      <w:bookmarkStart w:id="19" w:name="_24x7_Problem_Resolution_1"/>
      <w:bookmarkStart w:id="20" w:name="_New_Version_Rights_1"/>
      <w:bookmarkStart w:id="21" w:name="_Office_Multi_Language_1"/>
      <w:bookmarkStart w:id="22" w:name="_Office_Online_1"/>
      <w:bookmarkStart w:id="23" w:name="_Enhanced_Edition_Benefits_1"/>
      <w:bookmarkStart w:id="24" w:name="_Windows_Companion_Subscription"/>
      <w:bookmarkStart w:id="25" w:name="_Training_Vouchers"/>
      <w:bookmarkStart w:id="26" w:name="_E-Learning"/>
      <w:bookmarkStart w:id="27" w:name="_Home_Use_Program"/>
      <w:bookmarkStart w:id="28" w:name="_Enterprise_Source_Licensing"/>
      <w:bookmarkStart w:id="29" w:name="_24x7_Problem_Resolution"/>
      <w:bookmarkStart w:id="30" w:name="__System_Center"/>
      <w:bookmarkStart w:id="31" w:name="__System_Center_1"/>
      <w:bookmarkStart w:id="32" w:name="_Back-up_for_Disaster"/>
      <w:bookmarkStart w:id="33" w:name="_License_Mobility_through"/>
      <w:bookmarkStart w:id="34" w:name="_Windows_Thin_PC"/>
      <w:bookmarkStart w:id="35" w:name="_Extended_Hotfix_Support"/>
      <w:bookmarkStart w:id="36" w:name="_Microsoft_Desktop_Optimization"/>
      <w:bookmarkStart w:id="37" w:name="_Microsoft_Dynamics_CustomerSource"/>
      <w:bookmarkStart w:id="38" w:name="_Virtualization_Rights_for"/>
      <w:bookmarkStart w:id="39" w:name="_Windows_Virtual_Desktop"/>
      <w:bookmarkStart w:id="40" w:name="_Dynamics_CustomerSource"/>
      <w:bookmarkStart w:id="41" w:name="_Toc207701228"/>
      <w:bookmarkStart w:id="42" w:name="_Toc295673421"/>
      <w:bookmarkStart w:id="43" w:name="_Toc336949456"/>
      <w:bookmarkStart w:id="44" w:name="_Toc359876008"/>
      <w:bookmarkStart w:id="45" w:name="_Toc370837298"/>
      <w:bookmarkStart w:id="46" w:name="_Toc403380322"/>
      <w:bookmarkStart w:id="47" w:name="_Toc403985040"/>
      <w:bookmarkStart w:id="48" w:name="_Toc457924336"/>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r>
        <w:lastRenderedPageBreak/>
        <w:t xml:space="preserve">Sección </w:t>
      </w:r>
      <w:bookmarkEnd w:id="46"/>
      <w:bookmarkEnd w:id="47"/>
      <w:r>
        <w:t>2</w:t>
      </w:r>
      <w:bookmarkEnd w:id="48"/>
      <w:r>
        <w:t xml:space="preserve"> </w:t>
      </w:r>
    </w:p>
    <w:p w14:paraId="2AB192C5" w14:textId="593BC8EF" w:rsidR="00D23B42" w:rsidRPr="001165AA" w:rsidRDefault="00D23B42" w:rsidP="00D23B42">
      <w:pPr>
        <w:pStyle w:val="Hdg1noborder"/>
        <w:spacing w:before="120" w:after="120" w:line="240" w:lineRule="auto"/>
        <w:rPr>
          <w:rFonts w:eastAsiaTheme="majorEastAsia"/>
        </w:rPr>
      </w:pPr>
      <w:bookmarkStart w:id="49" w:name="_Toc403380323"/>
      <w:bookmarkStart w:id="50" w:name="_Toc403985041"/>
      <w:bookmarkStart w:id="51" w:name="_Toc457924337"/>
      <w:r>
        <w:rPr>
          <w:rFonts w:asciiTheme="majorHAnsi" w:eastAsiaTheme="majorEastAsia" w:hAnsiTheme="majorHAnsi" w:cstheme="majorBidi"/>
          <w:bCs/>
          <w:color w:val="8064A2" w:themeColor="accent4"/>
          <w:sz w:val="28"/>
          <w:szCs w:val="26"/>
        </w:rPr>
        <w:t>Copias de los Productos y derechos a reemplazar copias</w:t>
      </w:r>
      <w:bookmarkEnd w:id="49"/>
      <w:bookmarkEnd w:id="50"/>
      <w:bookmarkEnd w:id="51"/>
    </w:p>
    <w:p w14:paraId="79584FC7" w14:textId="6CC2E997" w:rsidR="00D23B42" w:rsidRPr="001165AA" w:rsidRDefault="00D23B42" w:rsidP="00D23B42">
      <w:pPr>
        <w:spacing w:before="120" w:line="240" w:lineRule="auto"/>
      </w:pPr>
      <w:r>
        <w:rPr>
          <w:rFonts w:eastAsia="Times New Roman" w:cs="Times New Roman"/>
          <w:color w:val="505050"/>
          <w:szCs w:val="20"/>
        </w:rPr>
        <w:t>Las</w:t>
      </w:r>
      <w:r>
        <w:t xml:space="preserve"> </w:t>
      </w:r>
      <w:r>
        <w:rPr>
          <w:rFonts w:eastAsia="Times New Roman" w:cs="Times New Roman"/>
          <w:color w:val="505050"/>
          <w:szCs w:val="20"/>
        </w:rPr>
        <w:t>Cuentas de Compra registradas podrán realizar tantas copias de los Productos como necesite para distribuirlas dentro de la organización.</w:t>
      </w:r>
      <w:r w:rsidR="004020AB">
        <w:rPr>
          <w:rFonts w:eastAsia="Times New Roman" w:cs="Times New Roman"/>
          <w:color w:val="505050"/>
          <w:szCs w:val="20"/>
        </w:rPr>
        <w:t xml:space="preserve"> </w:t>
      </w:r>
      <w:r>
        <w:rPr>
          <w:rFonts w:eastAsia="Times New Roman" w:cs="Times New Roman"/>
          <w:color w:val="505050"/>
          <w:szCs w:val="20"/>
        </w:rPr>
        <w:t>Las copias deben ser exactas y completas (incluidos los avisos de propiedad intelectual y de marca) y se deben realizar a partir de copias maestras obtenidas de una fuente de suministro aprobada por Microsoft.</w:t>
      </w:r>
      <w:r w:rsidR="004020AB">
        <w:rPr>
          <w:rFonts w:eastAsia="Times New Roman" w:cs="Times New Roman"/>
          <w:color w:val="505050"/>
          <w:szCs w:val="20"/>
        </w:rPr>
        <w:t xml:space="preserve"> </w:t>
      </w:r>
      <w:r>
        <w:rPr>
          <w:rFonts w:eastAsia="Times New Roman" w:cs="Times New Roman"/>
          <w:color w:val="505050"/>
          <w:szCs w:val="20"/>
        </w:rPr>
        <w:t>Las Cuentas de Compra pueden utilizar a un tercero para hacer estas copias, pero usted y sus cuentas seguirán siendo responsables de las acciones de ese tercero.</w:t>
      </w:r>
      <w:r w:rsidR="004020AB">
        <w:t xml:space="preserve"> </w:t>
      </w:r>
    </w:p>
    <w:p w14:paraId="4BF978AF" w14:textId="2151305B" w:rsidR="00D23B42" w:rsidRPr="001165AA" w:rsidRDefault="00D23B42" w:rsidP="00D23B42">
      <w:pPr>
        <w:spacing w:before="120" w:line="240" w:lineRule="auto"/>
      </w:pPr>
      <w:r>
        <w:rPr>
          <w:rFonts w:eastAsia="Times New Roman" w:cs="Times New Roman"/>
          <w:color w:val="505050"/>
          <w:szCs w:val="20"/>
        </w:rPr>
        <w:t>En algunos casos, se permite reemplazar copias mediante el uso del soporte físico del Producto.</w:t>
      </w:r>
      <w:r w:rsidR="004020AB">
        <w:rPr>
          <w:rFonts w:eastAsia="Times New Roman" w:cs="Times New Roman"/>
          <w:color w:val="505050"/>
          <w:szCs w:val="20"/>
        </w:rPr>
        <w:t xml:space="preserve"> </w:t>
      </w:r>
      <w:r>
        <w:rPr>
          <w:rFonts w:eastAsia="Times New Roman" w:cs="Times New Roman"/>
          <w:color w:val="505050"/>
          <w:szCs w:val="20"/>
        </w:rPr>
        <w:t>Si el Producto se ha licenciado (1) a través de un fabricante de equipos originales (OEM), (2) como un Producto empaquetado completo a través de un minorista o (3) en virtud de otro programa de Microsoft, entonces los soportes físicos entregados a través del MPSA generalmente pueden utilizarse para crear copias para su uso en lugar de las copias proporcionadas a través de esa otra fuente.</w:t>
      </w:r>
      <w:r w:rsidR="004020AB">
        <w:rPr>
          <w:rFonts w:eastAsia="Times New Roman" w:cs="Times New Roman"/>
          <w:color w:val="505050"/>
          <w:szCs w:val="20"/>
        </w:rPr>
        <w:t xml:space="preserve"> </w:t>
      </w:r>
      <w:r>
        <w:rPr>
          <w:rFonts w:eastAsia="Times New Roman" w:cs="Times New Roman"/>
          <w:color w:val="505050"/>
          <w:szCs w:val="20"/>
        </w:rPr>
        <w:t>Este derecho depende de lo siguiente:</w:t>
      </w:r>
    </w:p>
    <w:p w14:paraId="3C97A0EC" w14:textId="77777777" w:rsidR="00D23B42" w:rsidRPr="001165AA" w:rsidRDefault="00D23B42" w:rsidP="00D23B42">
      <w:pPr>
        <w:pStyle w:val="BodyText"/>
        <w:numPr>
          <w:ilvl w:val="0"/>
          <w:numId w:val="16"/>
        </w:numPr>
        <w:spacing w:after="0"/>
      </w:pPr>
      <w:r>
        <w:t>Para cada Producto cuya copia se desee reemplazar, se deben adquirir licencias separadas a través de la otra fuente.</w:t>
      </w:r>
    </w:p>
    <w:p w14:paraId="2005654A" w14:textId="77777777" w:rsidR="00D23B42" w:rsidRPr="001165AA" w:rsidRDefault="00D23B42" w:rsidP="00D23B42">
      <w:pPr>
        <w:pStyle w:val="BodyText"/>
        <w:numPr>
          <w:ilvl w:val="0"/>
          <w:numId w:val="16"/>
        </w:numPr>
        <w:spacing w:after="0"/>
      </w:pPr>
      <w:r>
        <w:t>El Producto, el idioma, la versión y los componentes de las copias realizadas deben ser idénticos al Producto, al idioma, a la versión y a todos los componentes de las copias que sustituyan, y el número permitido de copias o instancias del Producto cuya copia se haya reemplazado no varía.</w:t>
      </w:r>
    </w:p>
    <w:p w14:paraId="0A0B7C69" w14:textId="3ED72F45" w:rsidR="00D23B42" w:rsidRPr="001165AA" w:rsidRDefault="00D23B42" w:rsidP="00D23B42">
      <w:pPr>
        <w:pStyle w:val="BodyText"/>
        <w:numPr>
          <w:ilvl w:val="0"/>
          <w:numId w:val="16"/>
        </w:numPr>
        <w:spacing w:after="0"/>
      </w:pPr>
      <w:r>
        <w:t>Con excepción de las copias de un sistema operativo y las copias de Productos licenciados en virtud de otro programa de Microsoft, las copias de reemplazo del tipo de Producto (</w:t>
      </w:r>
      <w:r>
        <w:rPr>
          <w:i/>
        </w:rPr>
        <w:t>por ejemplo</w:t>
      </w:r>
      <w:r>
        <w:t>, licencia de actualización o licencia completa) deben ser idénticas al tipo de Producto licenciado a través de la otra fuente.</w:t>
      </w:r>
    </w:p>
    <w:p w14:paraId="75B08848" w14:textId="2276119B" w:rsidR="00D23B42" w:rsidRPr="001165AA" w:rsidRDefault="00D23B42" w:rsidP="00D23B42">
      <w:pPr>
        <w:pStyle w:val="BodyText"/>
        <w:numPr>
          <w:ilvl w:val="0"/>
          <w:numId w:val="16"/>
        </w:numPr>
        <w:spacing w:after="0"/>
      </w:pPr>
      <w:r>
        <w:t>La Cuenta de compra debe adherirse a los procesos o requisitos específicos de cualquier Producto para reemplazar copias que se identifican en los Términos de Productos.</w:t>
      </w:r>
    </w:p>
    <w:p w14:paraId="10691E95" w14:textId="4A317310" w:rsidR="00D23B42" w:rsidRPr="001165AA" w:rsidRDefault="00D23B42" w:rsidP="00D23B42">
      <w:pPr>
        <w:pStyle w:val="BodyText"/>
        <w:numPr>
          <w:ilvl w:val="0"/>
          <w:numId w:val="16"/>
        </w:numPr>
        <w:spacing w:after="0"/>
      </w:pPr>
      <w:r>
        <w:t>Las copias de reemplazo de Productos siguen estando sujetas a los términos y derechos de uso de la licencia adquirida de la fuente separada.</w:t>
      </w:r>
      <w:r w:rsidR="004020AB">
        <w:t xml:space="preserve"> </w:t>
      </w:r>
    </w:p>
    <w:p w14:paraId="2BC6E750" w14:textId="77777777" w:rsidR="00D23B42" w:rsidRPr="001165AA" w:rsidRDefault="00D23B42" w:rsidP="00D23B42">
      <w:pPr>
        <w:pStyle w:val="Thirdheading"/>
      </w:pPr>
      <w:r>
        <w:rPr>
          <w:b/>
        </w:rPr>
        <w:t xml:space="preserve">Copias para formación, evaluación y seguridad </w:t>
      </w:r>
    </w:p>
    <w:p w14:paraId="08A4AFD9" w14:textId="6CC47AC6" w:rsidR="00D23B42" w:rsidRPr="001165AA" w:rsidRDefault="00D23B42" w:rsidP="00D23B42">
      <w:pPr>
        <w:spacing w:before="120" w:line="240" w:lineRule="auto"/>
      </w:pPr>
      <w:r>
        <w:rPr>
          <w:rFonts w:eastAsia="Times New Roman" w:cs="Times New Roman"/>
          <w:color w:val="505050"/>
          <w:szCs w:val="20"/>
        </w:rPr>
        <w:t xml:space="preserve">Para todos los Productos, excepto los Servicios en Línea, cada Cuenta de Compra puede (1) utilizar hasta veinte (20) copias gratuitas de cualquier Producto licenciado en una instalación de sus dependencias destinada a la formación sobre ese Producto específico, (2) utilizar hasta diez (10) copias gratuitas de cualquier Producto durante un periodo de evaluación de sesenta (60) días y (3) utilizar una copia gratuita de cualquier Producto licenciado como copia de seguridad o de archivo para cada una de sus ubicaciones geográficas. </w:t>
      </w:r>
    </w:p>
    <w:p w14:paraId="30FACBC2" w14:textId="5DC94825" w:rsidR="00D23B42" w:rsidRPr="001165AA" w:rsidRDefault="00D23B42" w:rsidP="00D23B42">
      <w:pPr>
        <w:pStyle w:val="Hdg1noborder"/>
        <w:spacing w:before="120" w:after="120" w:line="240" w:lineRule="auto"/>
        <w:rPr>
          <w:rFonts w:eastAsiaTheme="majorEastAsia"/>
        </w:rPr>
      </w:pPr>
      <w:bookmarkStart w:id="52" w:name="_Toc403380324"/>
      <w:bookmarkStart w:id="53" w:name="_Toc403985042"/>
      <w:bookmarkStart w:id="54" w:name="_Toc457924338"/>
      <w:r>
        <w:rPr>
          <w:rFonts w:asciiTheme="majorHAnsi" w:eastAsiaTheme="majorEastAsia" w:hAnsiTheme="majorHAnsi" w:cstheme="majorBidi"/>
          <w:bCs/>
          <w:color w:val="8064A2" w:themeColor="accent4"/>
          <w:sz w:val="28"/>
          <w:szCs w:val="26"/>
        </w:rPr>
        <w:t>Proceso de Transferencia de Licencia</w:t>
      </w:r>
      <w:bookmarkEnd w:id="52"/>
      <w:bookmarkEnd w:id="53"/>
      <w:bookmarkEnd w:id="54"/>
    </w:p>
    <w:p w14:paraId="2067A699" w14:textId="458A0665" w:rsidR="0053246B" w:rsidRPr="001165AA" w:rsidRDefault="00D23B42" w:rsidP="00D23B42">
      <w:pPr>
        <w:pStyle w:val="BodyText"/>
      </w:pPr>
      <w:r>
        <w:t xml:space="preserve">Debe notificar a Microsoft de una transmisión de Licencias completando un formulario de notificación de la transmisión de licencias, disponible en </w:t>
      </w:r>
      <w:hyperlink r:id="rId23" w:history="1">
        <w:r>
          <w:rPr>
            <w:rStyle w:val="Hyperlink"/>
          </w:rPr>
          <w:t>http://www.microsoft.com/licensing/contracts</w:t>
        </w:r>
      </w:hyperlink>
      <w:r>
        <w:t xml:space="preserve"> y enviando el formulario completado a Microsoft antes de la transmisión de las licencias.</w:t>
      </w:r>
      <w:r w:rsidR="004020AB">
        <w:t xml:space="preserve"> </w:t>
      </w:r>
      <w:r>
        <w:t>Ninguna transmisión de licencias será válida a no ser que proporcione al adquirente, y este acepte por escrito los Derechos de Uso de los Productos, las restricciones de uso, las limitaciones de responsabilidad (incluidas las cláusulas de exclusiones y garantía) y las restricciones a la transmisión que se describen en este apartado.</w:t>
      </w:r>
    </w:p>
    <w:p w14:paraId="436EFC3F" w14:textId="4895D10D" w:rsidR="00A85D72" w:rsidRPr="001165AA" w:rsidRDefault="00A85D72" w:rsidP="00754E04">
      <w:pPr>
        <w:pStyle w:val="Hdg1noborder"/>
        <w:spacing w:before="120" w:after="120" w:line="240" w:lineRule="auto"/>
        <w:rPr>
          <w:rFonts w:eastAsiaTheme="majorEastAsia"/>
        </w:rPr>
      </w:pPr>
      <w:bookmarkStart w:id="55" w:name="_Toc457924339"/>
      <w:r>
        <w:rPr>
          <w:rFonts w:asciiTheme="majorHAnsi" w:eastAsiaTheme="majorEastAsia" w:hAnsiTheme="majorHAnsi" w:cstheme="majorBidi"/>
          <w:bCs/>
          <w:color w:val="8064A2" w:themeColor="accent4"/>
          <w:sz w:val="28"/>
          <w:szCs w:val="26"/>
        </w:rPr>
        <w:t xml:space="preserve">Proceso de Verificación del Cumplimiento y </w:t>
      </w:r>
      <w:r>
        <w:rPr>
          <w:rFonts w:asciiTheme="majorHAnsi" w:eastAsiaTheme="majorEastAsia" w:hAnsiTheme="majorHAnsi"/>
          <w:color w:val="8064A2" w:themeColor="accent4"/>
          <w:sz w:val="28"/>
        </w:rPr>
        <w:t>Limitaciones</w:t>
      </w:r>
      <w:bookmarkEnd w:id="55"/>
      <w:r>
        <w:rPr>
          <w:rFonts w:asciiTheme="majorHAnsi" w:eastAsiaTheme="majorEastAsia" w:hAnsiTheme="majorHAnsi"/>
          <w:color w:val="8064A2" w:themeColor="accent4"/>
          <w:sz w:val="28"/>
        </w:rPr>
        <w:t xml:space="preserve"> </w:t>
      </w:r>
    </w:p>
    <w:p w14:paraId="26061F69" w14:textId="22961A1D" w:rsidR="00D23B42" w:rsidRPr="001165AA" w:rsidRDefault="00577E2B" w:rsidP="00754E04">
      <w:pPr>
        <w:pStyle w:val="BodyText"/>
      </w:pPr>
      <w:r>
        <w:t>Microsoft le notificará con un mínimo de 30 días de antelación sobre su intencionalidad de comprobar el cumplimiento de los términos de la licencia de los Productos que usted y sus Filiales usan o distribuyen.</w:t>
      </w:r>
      <w:r w:rsidR="004020AB">
        <w:t xml:space="preserve"> </w:t>
      </w:r>
      <w:r>
        <w:t>Microsoft contratará a un auditor independiente, que estará sujeto a una obligación de confidencialidad.</w:t>
      </w:r>
      <w:r w:rsidR="004020AB">
        <w:t xml:space="preserve"> </w:t>
      </w:r>
      <w:r>
        <w:t>Cualquier información recopilada durante la autoauditoría se utilizará únicamente para determinar el cumplimiento.</w:t>
      </w:r>
      <w:r w:rsidR="004020AB">
        <w:t xml:space="preserve"> </w:t>
      </w:r>
      <w:r>
        <w:t xml:space="preserve">La comprobación tendrá lugar durante horario laboral normal y de manera que no interfiera irrazonablemente en sus actividades. </w:t>
      </w:r>
    </w:p>
    <w:p w14:paraId="1B45229C" w14:textId="7E47C78A" w:rsidR="003C0DC6" w:rsidRPr="001165AA" w:rsidRDefault="003C0DC6" w:rsidP="00D7507A">
      <w:pPr>
        <w:pStyle w:val="Hdg1noborder"/>
        <w:spacing w:before="120" w:after="120" w:line="240" w:lineRule="auto"/>
        <w:rPr>
          <w:rFonts w:eastAsiaTheme="majorEastAsia"/>
        </w:rPr>
      </w:pPr>
      <w:bookmarkStart w:id="56" w:name="_Toc457924340"/>
      <w:bookmarkStart w:id="57" w:name="_Toc403380325"/>
      <w:bookmarkStart w:id="58" w:name="_Toc403985043"/>
      <w:r>
        <w:rPr>
          <w:rFonts w:asciiTheme="majorHAnsi" w:eastAsiaTheme="majorEastAsia" w:hAnsiTheme="majorHAnsi" w:cstheme="majorBidi"/>
          <w:bCs/>
          <w:color w:val="8064A2" w:themeColor="accent4"/>
          <w:sz w:val="28"/>
          <w:szCs w:val="26"/>
        </w:rPr>
        <w:t>Desinversiones</w:t>
      </w:r>
      <w:bookmarkEnd w:id="56"/>
    </w:p>
    <w:p w14:paraId="49773C0E" w14:textId="45A30E47" w:rsidR="003C0DC6" w:rsidRPr="001165AA" w:rsidRDefault="003C0DC6" w:rsidP="00754E04">
      <w:pPr>
        <w:pStyle w:val="BodyText"/>
      </w:pPr>
      <w:r>
        <w:t>Si tiene la intención de transmitir más de un diez por ciento de sus licencias relacionadas con la desinversión de una Filial, una división de actividad o cualquier división de actividad de su Filial, Microsoft trabajará con usted de buena fe para habilitar la transmisión.</w:t>
      </w:r>
    </w:p>
    <w:p w14:paraId="53EFC294" w14:textId="671FBE23" w:rsidR="00D23B42" w:rsidRPr="007F22D9"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59" w:name="_Toc457924341"/>
      <w:r w:rsidRPr="007F22D9">
        <w:rPr>
          <w:rFonts w:asciiTheme="majorHAnsi" w:eastAsiaTheme="majorEastAsia" w:hAnsiTheme="majorHAnsi" w:cstheme="majorBidi"/>
          <w:bCs/>
          <w:color w:val="8064A2" w:themeColor="accent4"/>
          <w:sz w:val="28"/>
          <w:szCs w:val="26"/>
        </w:rPr>
        <w:lastRenderedPageBreak/>
        <w:t>Desastre natural</w:t>
      </w:r>
      <w:bookmarkEnd w:id="57"/>
      <w:bookmarkEnd w:id="58"/>
      <w:bookmarkEnd w:id="59"/>
      <w:r>
        <w:rPr>
          <w:rFonts w:asciiTheme="majorHAnsi" w:eastAsiaTheme="majorEastAsia" w:hAnsiTheme="majorHAnsi" w:cstheme="majorBidi"/>
          <w:bCs/>
          <w:color w:val="8064A2" w:themeColor="accent4"/>
          <w:sz w:val="28"/>
          <w:szCs w:val="26"/>
        </w:rPr>
        <w:t xml:space="preserve"> </w:t>
      </w:r>
    </w:p>
    <w:p w14:paraId="300893E3" w14:textId="48829BBE" w:rsidR="00D23B42" w:rsidRPr="001165AA" w:rsidRDefault="00D23B42" w:rsidP="00D7507A">
      <w:pPr>
        <w:pStyle w:val="BodyText"/>
      </w:pPr>
      <w:r>
        <w:t xml:space="preserve">En caso de desastre natural, Microsoft puede proporcionar asistencia o derechos adicionales publicándolos en </w:t>
      </w:r>
      <w:hyperlink r:id="rId24" w:history="1">
        <w:r>
          <w:rPr>
            <w:rStyle w:val="Hyperlink"/>
          </w:rPr>
          <w:t>http://www.microsoft.com</w:t>
        </w:r>
      </w:hyperlink>
      <w:r>
        <w:t xml:space="preserve"> en ese momento.</w:t>
      </w:r>
    </w:p>
    <w:p w14:paraId="541E496D" w14:textId="559D9BCB" w:rsidR="00D23B42" w:rsidRPr="001165AA" w:rsidRDefault="00D23B42" w:rsidP="00CC6A48">
      <w:pPr>
        <w:pStyle w:val="Hdg1noborder"/>
      </w:pPr>
      <w:bookmarkStart w:id="60" w:name="_Toc403380326"/>
      <w:bookmarkStart w:id="61" w:name="_Toc403985044"/>
      <w:bookmarkStart w:id="62" w:name="_Toc457924342"/>
      <w:r>
        <w:t xml:space="preserve">Sección </w:t>
      </w:r>
      <w:bookmarkEnd w:id="60"/>
      <w:bookmarkEnd w:id="61"/>
      <w:r>
        <w:t>3</w:t>
      </w:r>
      <w:bookmarkEnd w:id="62"/>
    </w:p>
    <w:p w14:paraId="28F3ABE6" w14:textId="5055B321" w:rsidR="00D23B42" w:rsidRPr="001165AA" w:rsidRDefault="00D23B42" w:rsidP="00D7507A">
      <w:pPr>
        <w:pStyle w:val="Hdg1noborder"/>
        <w:spacing w:before="120" w:after="120" w:line="240" w:lineRule="auto"/>
        <w:rPr>
          <w:rFonts w:eastAsiaTheme="majorEastAsia"/>
        </w:rPr>
      </w:pPr>
      <w:bookmarkStart w:id="63" w:name="_Toc403380327"/>
      <w:bookmarkStart w:id="64" w:name="_Toc403985045"/>
      <w:bookmarkStart w:id="65" w:name="_Toc457924343"/>
      <w:r>
        <w:rPr>
          <w:rFonts w:asciiTheme="majorHAnsi" w:eastAsiaTheme="majorEastAsia" w:hAnsiTheme="majorHAnsi" w:cstheme="majorBidi"/>
          <w:color w:val="8064A2" w:themeColor="accent4"/>
          <w:sz w:val="28"/>
          <w:szCs w:val="26"/>
        </w:rPr>
        <w:t>Cambios en el Manual de Licencia durante los últimos 12 meses</w:t>
      </w:r>
      <w:bookmarkEnd w:id="63"/>
      <w:bookmarkEnd w:id="64"/>
      <w:bookmarkEnd w:id="65"/>
    </w:p>
    <w:p w14:paraId="001EC066" w14:textId="5A4EE584" w:rsidR="00884731" w:rsidRPr="001165AA" w:rsidRDefault="008B5155" w:rsidP="00884731">
      <w:pPr>
        <w:pStyle w:val="BodyText"/>
        <w:numPr>
          <w:ilvl w:val="0"/>
          <w:numId w:val="16"/>
        </w:numPr>
        <w:spacing w:after="0"/>
      </w:pPr>
      <w:r>
        <w:t>En agosto de 2016 se realizó una actualización para reflejar la eliminación del contenido de Software Assurance del Manual de Licencia, la disponibilidad de Microsoft Business Center (conocido antiguamente como Centro de Licencias por Volumen) para todos los clientes, la posibilidad de adquirir Migraciones a Ediciones Superiores y de realizar otras transiciones en virtud del MPSA, y aclaraciones del lenguaje basadas en los comentarios de clientes.</w:t>
      </w:r>
      <w:r w:rsidR="004020AB">
        <w:t xml:space="preserve"> </w:t>
      </w:r>
      <w:r>
        <w:t>Los términos que rigen Software Assurance adquirido en virtud del MPSA se encuentran en los Términos de Productos.</w:t>
      </w:r>
    </w:p>
    <w:p w14:paraId="39F904CA" w14:textId="08821829" w:rsidR="00D6443C" w:rsidRPr="001165AA" w:rsidRDefault="00D6443C" w:rsidP="00F83C1F">
      <w:pPr>
        <w:pStyle w:val="BodyText"/>
        <w:numPr>
          <w:ilvl w:val="0"/>
          <w:numId w:val="16"/>
        </w:numPr>
        <w:spacing w:after="0"/>
      </w:pPr>
      <w:r>
        <w:t>En marzo de 2016 se realizó una actualización para reflejar el portal del cliente nuevo en algunas ubicaciones (</w:t>
      </w:r>
      <w:r w:rsidR="007F22D9">
        <w:t>“</w:t>
      </w:r>
      <w:r>
        <w:t>Microsoft Business Center</w:t>
      </w:r>
      <w:r w:rsidR="007F22D9">
        <w:t>”</w:t>
      </w:r>
      <w:r>
        <w:t>), el soporte técnico de un año completo para las suscripciones, la incorporación de la opción de suscripción a corto plazo de algunos Productos, y un lenguaje claro basado en los comentarios de clientes.</w:t>
      </w:r>
    </w:p>
    <w:p w14:paraId="402A1F99" w14:textId="5039440E" w:rsidR="00686E90" w:rsidRPr="001165AA" w:rsidRDefault="00686E90" w:rsidP="00F83C1F">
      <w:pPr>
        <w:pStyle w:val="BodyText"/>
        <w:numPr>
          <w:ilvl w:val="0"/>
          <w:numId w:val="16"/>
        </w:numPr>
        <w:spacing w:after="0"/>
      </w:pPr>
      <w:r>
        <w:t>Actualizado en agosto de 2015 para reflejar los servicios de Azure adicionales, los Servicios Online y las opciones de adquisición de Paquetes, además de hacer referencia y alinearse al documento Términos de Productos.</w:t>
      </w:r>
      <w:r w:rsidR="004020AB">
        <w:t xml:space="preserve"> </w:t>
      </w:r>
      <w:r>
        <w:t xml:space="preserve">A partir del 1 de julio de 2015, los Términos de Productos sustituyeron a los documentos Lista de Productos y Derechos de Uso de los productos (PUR, del inglés </w:t>
      </w:r>
      <w:r w:rsidR="00E129BB">
        <w:t>“</w:t>
      </w:r>
      <w:r>
        <w:t>Product Use Rights</w:t>
      </w:r>
      <w:r w:rsidR="00E129BB">
        <w:t>”</w:t>
      </w:r>
      <w:r>
        <w:t xml:space="preserve">). </w:t>
      </w:r>
    </w:p>
    <w:p w14:paraId="583A9945" w14:textId="77777777" w:rsidR="004807F4" w:rsidRPr="001165AA" w:rsidRDefault="004807F4">
      <w:pPr>
        <w:spacing w:line="240" w:lineRule="auto"/>
      </w:pPr>
      <w:bookmarkStart w:id="66" w:name="_Toc403380328"/>
      <w:bookmarkStart w:id="67" w:name="_Toc403985046"/>
      <w:r>
        <w:br w:type="page"/>
      </w:r>
    </w:p>
    <w:p w14:paraId="5D2D1593" w14:textId="190E64B8" w:rsidR="00D23B42" w:rsidRPr="001165AA" w:rsidRDefault="00D23B42" w:rsidP="00D23B42">
      <w:pPr>
        <w:pStyle w:val="Hdg1noborder"/>
      </w:pPr>
      <w:bookmarkStart w:id="68" w:name="_Toc457924344"/>
      <w:r>
        <w:lastRenderedPageBreak/>
        <w:t>Apéndice</w:t>
      </w:r>
      <w:bookmarkEnd w:id="66"/>
      <w:bookmarkEnd w:id="67"/>
      <w:bookmarkEnd w:id="68"/>
    </w:p>
    <w:p w14:paraId="25A1895D" w14:textId="2283E001" w:rsidR="00BE480E" w:rsidRPr="001165AA" w:rsidRDefault="007279C8" w:rsidP="00D7507A">
      <w:pPr>
        <w:pStyle w:val="Hdg1noborder"/>
        <w:spacing w:before="120" w:after="120" w:line="240" w:lineRule="auto"/>
        <w:rPr>
          <w:rFonts w:eastAsiaTheme="majorEastAsia"/>
        </w:rPr>
      </w:pPr>
      <w:bookmarkStart w:id="69" w:name="_Toc403985047"/>
      <w:bookmarkStart w:id="70" w:name="_Toc457924345"/>
      <w:bookmarkStart w:id="71" w:name="_Toc403380329"/>
      <w:r>
        <w:rPr>
          <w:rFonts w:asciiTheme="majorHAnsi" w:eastAsiaTheme="majorEastAsia" w:hAnsiTheme="majorHAnsi" w:cstheme="majorBidi"/>
          <w:bCs/>
          <w:color w:val="8064A2" w:themeColor="accent4"/>
          <w:sz w:val="28"/>
          <w:szCs w:val="26"/>
        </w:rPr>
        <w:t>Definición de R</w:t>
      </w:r>
      <w:r>
        <w:rPr>
          <w:rFonts w:asciiTheme="majorHAnsi" w:eastAsiaTheme="majorEastAsia" w:hAnsiTheme="majorHAnsi" w:cstheme="majorBidi"/>
          <w:color w:val="8064A2" w:themeColor="accent4"/>
          <w:sz w:val="28"/>
          <w:szCs w:val="26"/>
        </w:rPr>
        <w:t>egiones</w:t>
      </w:r>
      <w:bookmarkEnd w:id="69"/>
      <w:bookmarkEnd w:id="70"/>
      <w:r>
        <w:rPr>
          <w:rFonts w:asciiTheme="majorHAnsi" w:eastAsiaTheme="majorEastAsia" w:hAnsiTheme="majorHAnsi" w:cstheme="majorBidi"/>
          <w:color w:val="8064A2" w:themeColor="accent4"/>
          <w:sz w:val="28"/>
          <w:szCs w:val="26"/>
        </w:rPr>
        <w:t xml:space="preserve"> </w:t>
      </w:r>
      <w:bookmarkEnd w:id="71"/>
    </w:p>
    <w:p w14:paraId="411F69E9" w14:textId="28D416D7" w:rsidR="0074401C" w:rsidRPr="001165AA" w:rsidRDefault="0074401C" w:rsidP="00D7507A">
      <w:pPr>
        <w:pStyle w:val="BodyText"/>
      </w:pPr>
      <w:r>
        <w:t>En la lista siguiente se presentan los países</w:t>
      </w:r>
      <w:r>
        <w:rPr>
          <w:color w:val="1F497D"/>
        </w:rPr>
        <w:t xml:space="preserve">, </w:t>
      </w:r>
      <w:r>
        <w:t>regiones o territorios</w:t>
      </w:r>
      <w:r>
        <w:rPr>
          <w:color w:val="FF0000"/>
        </w:rPr>
        <w:t xml:space="preserve"> </w:t>
      </w:r>
      <w:r>
        <w:t>que forman parte de la definición de Microsoft de la región de EMEA (Europa, Oriente Medio y África), que pueden mencionarse en algunos Términos Nacionales del Tipo de Cuenta de Compra.</w:t>
      </w:r>
      <w:r w:rsidR="004020AB">
        <w:t xml:space="preserve"> </w:t>
      </w:r>
      <w:r>
        <w:t>Tenga en cuenta que es posible que el MPSA no esté disponible en todos los países.</w:t>
      </w:r>
    </w:p>
    <w:p w14:paraId="3A80FA13" w14:textId="37A99DEB" w:rsidR="003B5822" w:rsidRPr="001165AA" w:rsidRDefault="00632BEC" w:rsidP="003B5822">
      <w:pPr>
        <w:pStyle w:val="BodyText"/>
      </w:pPr>
      <w:r>
        <w:rPr>
          <w:sz w:val="14"/>
        </w:rPr>
        <w:t>Afganistán, Albania, Alemania, Andorra, Angola, Arabia Saudí, Argelia, Armenia, Austria, Azerbaiyán, Baréin, Belarús, Bélgica, Benín, Bosnia y Herzegovina, Botsuana, Bulgaria, Burkina Faso, Burundi, Cabo Verde, Camerún, Chad, Chipre, Comoras, Congo (RDC), Congo, Costa de Marfil, Croacia, Dinamarca, Egipto, Emiratos Árabes Unidos, Eritrea, Eslovaquia, Eslovenia, España, Estonia, Etiopía, Finlandia, Francia, Gabón, Gambia, Georgia, Ghana, Grecia, Guinea Ecuatorial, Guinea, Guinea-Bisáu, Hungría, Irak, Irlanda, Islandia, Israel, Italia, Jordania, Kazajistán, Kenia, Kirguistán, Kuwait, Letonia, Líbano, Libia, Liechtenstein, Lituania, Luxemburgo, Macedonia, Madagascar, Malawi, Malí, Malta, Marruecos, Mauricio, Mauritania, Moldova, Mónaco, Mongolia, Montenegro, Mozambique, Namibia, Níger, Nigeria, Noruega, Nueva Caledonia, Omán, Países Bajos, Pakistán, Polinesia Francesa, Polonia, Portugal, Qatar, Reino Unido, República Centroafricana, República Checa, Ruanda, Rumanía, Rusia, San Marino, Santa Sede (Ciudad del Vaticano), Senegal, Serbia, Seychelles, Sierra Leona, Siria, Somalia, Sudáfrica, Sudán del Sur, Suecia, Suiza, Tanzania, Tayikistán, Togo, Túnez, Turkmenistán, Turquía, Ucrania, Uganda, Uzbekistán, Yemen, Yibuti, Zambia, Zimbabue</w:t>
      </w:r>
      <w:r>
        <w:rPr>
          <w:rFonts w:cs="Segoe UI"/>
          <w:color w:val="1C4269"/>
          <w:sz w:val="20"/>
        </w:rPr>
        <w:t>.</w:t>
      </w:r>
    </w:p>
    <w:sectPr w:rsidR="003B5822" w:rsidRPr="001165AA" w:rsidSect="00BC431D">
      <w:headerReference w:type="default" r:id="rId25"/>
      <w:footerReference w:type="default" r:id="rId26"/>
      <w:headerReference w:type="first" r:id="rId27"/>
      <w:footerReference w:type="first" r:id="rId28"/>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FC8406" w14:textId="77777777" w:rsidR="00BD7AC6" w:rsidRDefault="00BD7AC6" w:rsidP="00B85670">
      <w:pPr>
        <w:spacing w:line="240" w:lineRule="auto"/>
      </w:pPr>
      <w:r>
        <w:separator/>
      </w:r>
    </w:p>
  </w:endnote>
  <w:endnote w:type="continuationSeparator" w:id="0">
    <w:p w14:paraId="445534B6" w14:textId="77777777" w:rsidR="00BD7AC6" w:rsidRDefault="00BD7AC6" w:rsidP="00B85670">
      <w:pPr>
        <w:spacing w:line="240" w:lineRule="auto"/>
      </w:pPr>
      <w:r>
        <w:continuationSeparator/>
      </w:r>
    </w:p>
  </w:endnote>
  <w:endnote w:type="continuationNotice" w:id="1">
    <w:p w14:paraId="49A288EA" w14:textId="77777777" w:rsidR="00BD7AC6" w:rsidRDefault="00BD7AC6">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Light">
    <w:charset w:val="00"/>
    <w:family w:val="auto"/>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7F16DF" w14:textId="77777777" w:rsidR="00065A73" w:rsidRDefault="00065A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92123D" w:rsidRPr="00175A86" w:rsidRDefault="0092123D"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ACE4C4" w14:textId="77777777" w:rsidR="00065A73" w:rsidRDefault="00065A7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56248E28" w:rsidR="0092123D" w:rsidRPr="008E655D" w:rsidRDefault="0092123D" w:rsidP="00BD5A0B">
    <w:pPr>
      <w:pStyle w:val="Footer"/>
      <w:tabs>
        <w:tab w:val="clear" w:pos="4680"/>
        <w:tab w:val="clear" w:pos="9360"/>
        <w:tab w:val="right" w:pos="10800"/>
      </w:tabs>
      <w:rPr>
        <w:rStyle w:val="LogoportDoNotTranslate"/>
        <w:rFonts w:asciiTheme="minorHAnsi" w:hAnsiTheme="minorHAnsi" w:cstheme="minorHAnsi"/>
        <w:sz w:val="16"/>
        <w:szCs w:val="16"/>
      </w:rPr>
    </w:pPr>
    <w:r w:rsidRPr="008E655D">
      <w:rPr>
        <w:rStyle w:val="LogoportDoNotTranslate"/>
        <w:rFonts w:asciiTheme="minorHAnsi" w:hAnsiTheme="minorHAnsi" w:cstheme="minorHAnsi"/>
        <w:sz w:val="16"/>
        <w:szCs w:val="16"/>
      </w:rPr>
      <w:t>© 2016 Microsoft Corporation.</w:t>
    </w:r>
    <w:r w:rsidR="004020AB">
      <w:rPr>
        <w:rStyle w:val="LogoportDoNotTranslate"/>
        <w:rFonts w:asciiTheme="minorHAnsi" w:hAnsiTheme="minorHAnsi" w:cstheme="minorHAnsi"/>
        <w:sz w:val="16"/>
        <w:szCs w:val="16"/>
      </w:rPr>
      <w:t xml:space="preserve"> </w:t>
    </w:r>
    <w:r w:rsidRPr="008E655D">
      <w:rPr>
        <w:rStyle w:val="LogoportDoNotTranslate"/>
        <w:rFonts w:asciiTheme="minorHAnsi" w:hAnsiTheme="minorHAnsi" w:cstheme="minorHAnsi"/>
        <w:sz w:val="16"/>
        <w:szCs w:val="16"/>
      </w:rPr>
      <w:t>All rights reserved.</w:t>
    </w:r>
  </w:p>
  <w:p w14:paraId="3AE7A789" w14:textId="1CCFA9FE" w:rsidR="0092123D" w:rsidRPr="00443E72" w:rsidRDefault="0092123D" w:rsidP="00BD5A0B">
    <w:pPr>
      <w:pStyle w:val="Footer"/>
      <w:tabs>
        <w:tab w:val="clear" w:pos="4680"/>
        <w:tab w:val="clear" w:pos="9360"/>
        <w:tab w:val="right" w:pos="10800"/>
      </w:tabs>
      <w:rPr>
        <w:rStyle w:val="LogoportDoNotTranslate"/>
        <w:rFonts w:asciiTheme="minorHAnsi" w:hAnsiTheme="minorHAnsi" w:cstheme="minorHAnsi"/>
        <w:szCs w:val="18"/>
      </w:rPr>
    </w:pPr>
    <w:r w:rsidRPr="008E655D">
      <w:rPr>
        <w:rStyle w:val="LogoportDoNotTranslate"/>
        <w:rFonts w:asciiTheme="minorHAnsi" w:hAnsiTheme="minorHAnsi" w:cstheme="minorHAnsi"/>
        <w:sz w:val="16"/>
        <w:szCs w:val="16"/>
      </w:rPr>
      <w:t>Microsoft is a registered trademark of Microsoft Corporation in the United States and/or other countries</w:t>
    </w:r>
    <w:r w:rsidRPr="008E655D">
      <w:rPr>
        <w:rStyle w:val="LogoportDoNotTranslate"/>
        <w:rFonts w:asciiTheme="minorHAnsi" w:hAnsiTheme="minorHAnsi" w:cstheme="minorHAnsi"/>
        <w:sz w:val="16"/>
        <w:szCs w:val="16"/>
      </w:rPr>
      <w:tab/>
    </w:r>
    <w:r w:rsidRPr="00443E72">
      <w:rPr>
        <w:rStyle w:val="LogoportDoNotTranslate"/>
        <w:rFonts w:asciiTheme="minorHAnsi" w:hAnsiTheme="minorHAnsi" w:cstheme="minorHAnsi"/>
      </w:rPr>
      <w:fldChar w:fldCharType="begin"/>
    </w:r>
    <w:r w:rsidRPr="00443E72">
      <w:rPr>
        <w:rStyle w:val="LogoportDoNotTranslate"/>
        <w:rFonts w:asciiTheme="minorHAnsi" w:hAnsiTheme="minorHAnsi" w:cstheme="minorHAnsi"/>
        <w:szCs w:val="18"/>
      </w:rPr>
      <w:instrText xml:space="preserve"> PAGE   \* MERGEFORMAT </w:instrText>
    </w:r>
    <w:r w:rsidRPr="00443E72">
      <w:rPr>
        <w:rStyle w:val="LogoportDoNotTranslate"/>
        <w:rFonts w:asciiTheme="minorHAnsi" w:hAnsiTheme="minorHAnsi" w:cstheme="minorHAnsi"/>
      </w:rPr>
      <w:fldChar w:fldCharType="separate"/>
    </w:r>
    <w:r w:rsidR="00065A73">
      <w:rPr>
        <w:rStyle w:val="LogoportDoNotTranslate"/>
        <w:rFonts w:asciiTheme="minorHAnsi" w:hAnsiTheme="minorHAnsi" w:cstheme="minorHAnsi"/>
        <w:noProof/>
        <w:szCs w:val="18"/>
      </w:rPr>
      <w:t>1</w:t>
    </w:r>
    <w:r w:rsidRPr="00443E72">
      <w:rPr>
        <w:rFonts w:asciiTheme="minorHAnsi" w:hAnsiTheme="minorHAnsi" w:cstheme="minorHAnsi"/>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92123D" w:rsidRDefault="009212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2942A2" w14:textId="77777777" w:rsidR="00BD7AC6" w:rsidRDefault="00BD7AC6" w:rsidP="00B85670">
      <w:pPr>
        <w:spacing w:line="240" w:lineRule="auto"/>
      </w:pPr>
      <w:r>
        <w:separator/>
      </w:r>
    </w:p>
  </w:footnote>
  <w:footnote w:type="continuationSeparator" w:id="0">
    <w:p w14:paraId="422419C0" w14:textId="77777777" w:rsidR="00BD7AC6" w:rsidRDefault="00BD7AC6" w:rsidP="00B85670">
      <w:pPr>
        <w:spacing w:line="240" w:lineRule="auto"/>
      </w:pPr>
      <w:r>
        <w:continuationSeparator/>
      </w:r>
    </w:p>
  </w:footnote>
  <w:footnote w:type="continuationNotice" w:id="1">
    <w:p w14:paraId="6332D051" w14:textId="77777777" w:rsidR="00BD7AC6" w:rsidRDefault="00BD7AC6">
      <w:pPr>
        <w:spacing w:line="240" w:lineRule="auto"/>
      </w:pPr>
    </w:p>
  </w:footnote>
  <w:footnote w:id="2">
    <w:p w14:paraId="49A1476A" w14:textId="38E814DD" w:rsidR="009A7485" w:rsidRPr="00086A76" w:rsidRDefault="009A7485">
      <w:pPr>
        <w:pStyle w:val="FootnoteText"/>
        <w:rPr>
          <w:sz w:val="14"/>
        </w:rPr>
      </w:pPr>
      <w:r w:rsidRPr="009A7485">
        <w:rPr>
          <w:rStyle w:val="FootnoteReference"/>
          <w:sz w:val="18"/>
          <w:szCs w:val="18"/>
        </w:rPr>
        <w:footnoteRef/>
      </w:r>
      <w:r w:rsidRPr="009A7485">
        <w:rPr>
          <w:sz w:val="18"/>
          <w:szCs w:val="18"/>
        </w:rPr>
        <w:t xml:space="preserve"> </w:t>
      </w:r>
      <w:r w:rsidRPr="00086A76">
        <w:rPr>
          <w:sz w:val="14"/>
        </w:rPr>
        <w:t>Se admite la firma física de contratos creados electrónicamente según sea necesario.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0DABFD" w14:textId="77777777" w:rsidR="00065A73" w:rsidRDefault="00065A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92123D" w:rsidRPr="00175A86" w:rsidRDefault="0092123D"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92123D" w:rsidRDefault="0092123D"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92123D" w:rsidRPr="00C537F0" w:rsidRDefault="0092123D"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92123D" w:rsidRDefault="0092123D"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lang="en-US" w:vendorID="64" w:dllVersion="131078" w:nlCheck="1" w:checkStyle="0" w:appName="MSWord"/>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5B11"/>
    <w:rsid w:val="00001B32"/>
    <w:rsid w:val="00002884"/>
    <w:rsid w:val="00003E0A"/>
    <w:rsid w:val="00003F19"/>
    <w:rsid w:val="0000602A"/>
    <w:rsid w:val="0000619D"/>
    <w:rsid w:val="00015315"/>
    <w:rsid w:val="00016D00"/>
    <w:rsid w:val="00017AC2"/>
    <w:rsid w:val="000212DA"/>
    <w:rsid w:val="00021CB0"/>
    <w:rsid w:val="0002636F"/>
    <w:rsid w:val="0002652A"/>
    <w:rsid w:val="000273F6"/>
    <w:rsid w:val="000323FD"/>
    <w:rsid w:val="00040529"/>
    <w:rsid w:val="000409EA"/>
    <w:rsid w:val="000424EE"/>
    <w:rsid w:val="00042822"/>
    <w:rsid w:val="00043CE8"/>
    <w:rsid w:val="00044308"/>
    <w:rsid w:val="0004581C"/>
    <w:rsid w:val="0005071D"/>
    <w:rsid w:val="000525EF"/>
    <w:rsid w:val="00053ED1"/>
    <w:rsid w:val="0006155B"/>
    <w:rsid w:val="0006555C"/>
    <w:rsid w:val="00065A73"/>
    <w:rsid w:val="0006684E"/>
    <w:rsid w:val="00066FCF"/>
    <w:rsid w:val="00071079"/>
    <w:rsid w:val="000720F7"/>
    <w:rsid w:val="00073A60"/>
    <w:rsid w:val="000759FF"/>
    <w:rsid w:val="00082282"/>
    <w:rsid w:val="00083375"/>
    <w:rsid w:val="00086A76"/>
    <w:rsid w:val="0009057E"/>
    <w:rsid w:val="00090662"/>
    <w:rsid w:val="00092E4D"/>
    <w:rsid w:val="000977E7"/>
    <w:rsid w:val="000A1A63"/>
    <w:rsid w:val="000A23F4"/>
    <w:rsid w:val="000A2A6A"/>
    <w:rsid w:val="000A39BE"/>
    <w:rsid w:val="000B14EF"/>
    <w:rsid w:val="000B1507"/>
    <w:rsid w:val="000B5DB7"/>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F07D1"/>
    <w:rsid w:val="000F116B"/>
    <w:rsid w:val="000F12B8"/>
    <w:rsid w:val="000F140F"/>
    <w:rsid w:val="000F6294"/>
    <w:rsid w:val="000F6D6F"/>
    <w:rsid w:val="000F7DED"/>
    <w:rsid w:val="000F7E26"/>
    <w:rsid w:val="00100F1A"/>
    <w:rsid w:val="001026BE"/>
    <w:rsid w:val="001028FA"/>
    <w:rsid w:val="00102A9A"/>
    <w:rsid w:val="00106B1A"/>
    <w:rsid w:val="00110065"/>
    <w:rsid w:val="00112B7F"/>
    <w:rsid w:val="00115459"/>
    <w:rsid w:val="001165AA"/>
    <w:rsid w:val="00116C36"/>
    <w:rsid w:val="00117419"/>
    <w:rsid w:val="00117F1E"/>
    <w:rsid w:val="0012043E"/>
    <w:rsid w:val="00120E85"/>
    <w:rsid w:val="00122697"/>
    <w:rsid w:val="001249C9"/>
    <w:rsid w:val="001273AD"/>
    <w:rsid w:val="00127F78"/>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4C1C"/>
    <w:rsid w:val="001660CB"/>
    <w:rsid w:val="001660F0"/>
    <w:rsid w:val="00166B80"/>
    <w:rsid w:val="00170D4D"/>
    <w:rsid w:val="001711E4"/>
    <w:rsid w:val="00172EAD"/>
    <w:rsid w:val="0017396A"/>
    <w:rsid w:val="00175A86"/>
    <w:rsid w:val="0018021B"/>
    <w:rsid w:val="00181464"/>
    <w:rsid w:val="001845F8"/>
    <w:rsid w:val="00185211"/>
    <w:rsid w:val="00185376"/>
    <w:rsid w:val="00190E26"/>
    <w:rsid w:val="001926BE"/>
    <w:rsid w:val="00192B86"/>
    <w:rsid w:val="001943DB"/>
    <w:rsid w:val="00195106"/>
    <w:rsid w:val="00195B0A"/>
    <w:rsid w:val="001A1F6E"/>
    <w:rsid w:val="001A289C"/>
    <w:rsid w:val="001A4514"/>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147"/>
    <w:rsid w:val="001E14B6"/>
    <w:rsid w:val="001F2AF5"/>
    <w:rsid w:val="001F3E0F"/>
    <w:rsid w:val="001F5FA6"/>
    <w:rsid w:val="001F754E"/>
    <w:rsid w:val="002004AD"/>
    <w:rsid w:val="00201815"/>
    <w:rsid w:val="00201F12"/>
    <w:rsid w:val="002027E1"/>
    <w:rsid w:val="00203D81"/>
    <w:rsid w:val="0020545D"/>
    <w:rsid w:val="002071D5"/>
    <w:rsid w:val="002123CF"/>
    <w:rsid w:val="00212F1A"/>
    <w:rsid w:val="00213837"/>
    <w:rsid w:val="002156C9"/>
    <w:rsid w:val="002211BA"/>
    <w:rsid w:val="002214FF"/>
    <w:rsid w:val="00222A2C"/>
    <w:rsid w:val="00225150"/>
    <w:rsid w:val="00226773"/>
    <w:rsid w:val="00230574"/>
    <w:rsid w:val="00231281"/>
    <w:rsid w:val="00231902"/>
    <w:rsid w:val="002322E1"/>
    <w:rsid w:val="00232D11"/>
    <w:rsid w:val="0023397B"/>
    <w:rsid w:val="00235935"/>
    <w:rsid w:val="00243205"/>
    <w:rsid w:val="00243A0B"/>
    <w:rsid w:val="002447C5"/>
    <w:rsid w:val="00245EA6"/>
    <w:rsid w:val="00246795"/>
    <w:rsid w:val="00247A67"/>
    <w:rsid w:val="00250800"/>
    <w:rsid w:val="00250EED"/>
    <w:rsid w:val="00252051"/>
    <w:rsid w:val="002525BA"/>
    <w:rsid w:val="00253974"/>
    <w:rsid w:val="002557E1"/>
    <w:rsid w:val="00263125"/>
    <w:rsid w:val="002678BC"/>
    <w:rsid w:val="00267F89"/>
    <w:rsid w:val="00270FD7"/>
    <w:rsid w:val="00274938"/>
    <w:rsid w:val="00275852"/>
    <w:rsid w:val="00281B0C"/>
    <w:rsid w:val="00281CE1"/>
    <w:rsid w:val="00284DB9"/>
    <w:rsid w:val="00287304"/>
    <w:rsid w:val="002A5A53"/>
    <w:rsid w:val="002A6018"/>
    <w:rsid w:val="002A6712"/>
    <w:rsid w:val="002B0AD4"/>
    <w:rsid w:val="002B33C0"/>
    <w:rsid w:val="002B4822"/>
    <w:rsid w:val="002B5135"/>
    <w:rsid w:val="002C1941"/>
    <w:rsid w:val="002C1C5D"/>
    <w:rsid w:val="002C2C9B"/>
    <w:rsid w:val="002C2F99"/>
    <w:rsid w:val="002C40AC"/>
    <w:rsid w:val="002C6347"/>
    <w:rsid w:val="002C6EEB"/>
    <w:rsid w:val="002C7415"/>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5777"/>
    <w:rsid w:val="003175FC"/>
    <w:rsid w:val="00321540"/>
    <w:rsid w:val="00322F73"/>
    <w:rsid w:val="00323AB4"/>
    <w:rsid w:val="00323AE8"/>
    <w:rsid w:val="00324A5C"/>
    <w:rsid w:val="00325973"/>
    <w:rsid w:val="003355F7"/>
    <w:rsid w:val="00340829"/>
    <w:rsid w:val="00346B9B"/>
    <w:rsid w:val="003500F9"/>
    <w:rsid w:val="00351635"/>
    <w:rsid w:val="00352538"/>
    <w:rsid w:val="0035299E"/>
    <w:rsid w:val="00353123"/>
    <w:rsid w:val="003542C9"/>
    <w:rsid w:val="00355AF6"/>
    <w:rsid w:val="00360D63"/>
    <w:rsid w:val="0036127B"/>
    <w:rsid w:val="00361E6F"/>
    <w:rsid w:val="0036210B"/>
    <w:rsid w:val="00362F54"/>
    <w:rsid w:val="0036305D"/>
    <w:rsid w:val="0036575F"/>
    <w:rsid w:val="00372F76"/>
    <w:rsid w:val="003732E1"/>
    <w:rsid w:val="0037620F"/>
    <w:rsid w:val="0037779D"/>
    <w:rsid w:val="00380694"/>
    <w:rsid w:val="003836D8"/>
    <w:rsid w:val="003837D7"/>
    <w:rsid w:val="00383A22"/>
    <w:rsid w:val="00384E11"/>
    <w:rsid w:val="0038541A"/>
    <w:rsid w:val="00385EC0"/>
    <w:rsid w:val="003879CC"/>
    <w:rsid w:val="00391318"/>
    <w:rsid w:val="00393EFA"/>
    <w:rsid w:val="00394D54"/>
    <w:rsid w:val="0039518E"/>
    <w:rsid w:val="003A16AF"/>
    <w:rsid w:val="003A2999"/>
    <w:rsid w:val="003A3FDA"/>
    <w:rsid w:val="003A5457"/>
    <w:rsid w:val="003A5BE9"/>
    <w:rsid w:val="003A737E"/>
    <w:rsid w:val="003B0CE1"/>
    <w:rsid w:val="003B2173"/>
    <w:rsid w:val="003B3274"/>
    <w:rsid w:val="003B3401"/>
    <w:rsid w:val="003B5822"/>
    <w:rsid w:val="003C0DC6"/>
    <w:rsid w:val="003C15F7"/>
    <w:rsid w:val="003C692B"/>
    <w:rsid w:val="003C799A"/>
    <w:rsid w:val="003D33C9"/>
    <w:rsid w:val="003D3C28"/>
    <w:rsid w:val="003D4DA6"/>
    <w:rsid w:val="003E081A"/>
    <w:rsid w:val="003E1E32"/>
    <w:rsid w:val="003E2281"/>
    <w:rsid w:val="003E2287"/>
    <w:rsid w:val="003E3140"/>
    <w:rsid w:val="003E6A97"/>
    <w:rsid w:val="003F11E1"/>
    <w:rsid w:val="003F2E57"/>
    <w:rsid w:val="003F4C04"/>
    <w:rsid w:val="003F69A3"/>
    <w:rsid w:val="003F6B82"/>
    <w:rsid w:val="003F7769"/>
    <w:rsid w:val="003F7CA9"/>
    <w:rsid w:val="004020AB"/>
    <w:rsid w:val="004025D1"/>
    <w:rsid w:val="00405474"/>
    <w:rsid w:val="00405A2E"/>
    <w:rsid w:val="00405B6B"/>
    <w:rsid w:val="00406496"/>
    <w:rsid w:val="00406ADA"/>
    <w:rsid w:val="004105EA"/>
    <w:rsid w:val="00410959"/>
    <w:rsid w:val="00411DC5"/>
    <w:rsid w:val="00412234"/>
    <w:rsid w:val="0041236E"/>
    <w:rsid w:val="00412A80"/>
    <w:rsid w:val="004136F5"/>
    <w:rsid w:val="00414B97"/>
    <w:rsid w:val="00417B73"/>
    <w:rsid w:val="00422AC4"/>
    <w:rsid w:val="00422D62"/>
    <w:rsid w:val="00422F97"/>
    <w:rsid w:val="00425B79"/>
    <w:rsid w:val="00426E9D"/>
    <w:rsid w:val="00430F13"/>
    <w:rsid w:val="00431C65"/>
    <w:rsid w:val="0043316C"/>
    <w:rsid w:val="00433D47"/>
    <w:rsid w:val="00435CC4"/>
    <w:rsid w:val="00437D88"/>
    <w:rsid w:val="004403C2"/>
    <w:rsid w:val="00440615"/>
    <w:rsid w:val="0044393D"/>
    <w:rsid w:val="00443E72"/>
    <w:rsid w:val="0044408F"/>
    <w:rsid w:val="0044424A"/>
    <w:rsid w:val="004447D4"/>
    <w:rsid w:val="004478FF"/>
    <w:rsid w:val="00447A21"/>
    <w:rsid w:val="00451C97"/>
    <w:rsid w:val="004606C8"/>
    <w:rsid w:val="0046084E"/>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07F4"/>
    <w:rsid w:val="00483134"/>
    <w:rsid w:val="0048361A"/>
    <w:rsid w:val="00483B64"/>
    <w:rsid w:val="004840AE"/>
    <w:rsid w:val="00485B6F"/>
    <w:rsid w:val="00486F13"/>
    <w:rsid w:val="0048726D"/>
    <w:rsid w:val="00492F5F"/>
    <w:rsid w:val="0049598B"/>
    <w:rsid w:val="00495CD2"/>
    <w:rsid w:val="004965F8"/>
    <w:rsid w:val="00497974"/>
    <w:rsid w:val="004A209C"/>
    <w:rsid w:val="004A37C2"/>
    <w:rsid w:val="004A4CD0"/>
    <w:rsid w:val="004B11B8"/>
    <w:rsid w:val="004B42BF"/>
    <w:rsid w:val="004B44CA"/>
    <w:rsid w:val="004B5E87"/>
    <w:rsid w:val="004C3E0D"/>
    <w:rsid w:val="004C3E7C"/>
    <w:rsid w:val="004C43DD"/>
    <w:rsid w:val="004C5992"/>
    <w:rsid w:val="004C7599"/>
    <w:rsid w:val="004D00A7"/>
    <w:rsid w:val="004D1317"/>
    <w:rsid w:val="004D2F8D"/>
    <w:rsid w:val="004D494E"/>
    <w:rsid w:val="004D68DA"/>
    <w:rsid w:val="004E076F"/>
    <w:rsid w:val="004E0BC6"/>
    <w:rsid w:val="004E3A0F"/>
    <w:rsid w:val="004E496A"/>
    <w:rsid w:val="004F24E1"/>
    <w:rsid w:val="004F3FF9"/>
    <w:rsid w:val="004F47C2"/>
    <w:rsid w:val="004F6196"/>
    <w:rsid w:val="00500A17"/>
    <w:rsid w:val="0050309B"/>
    <w:rsid w:val="00503F66"/>
    <w:rsid w:val="0051230D"/>
    <w:rsid w:val="005123D9"/>
    <w:rsid w:val="00521626"/>
    <w:rsid w:val="0052372A"/>
    <w:rsid w:val="00524432"/>
    <w:rsid w:val="00527019"/>
    <w:rsid w:val="00530887"/>
    <w:rsid w:val="00531525"/>
    <w:rsid w:val="005319EF"/>
    <w:rsid w:val="00531B9B"/>
    <w:rsid w:val="0053246B"/>
    <w:rsid w:val="005327BF"/>
    <w:rsid w:val="00532F87"/>
    <w:rsid w:val="00533528"/>
    <w:rsid w:val="00540AAD"/>
    <w:rsid w:val="00542DED"/>
    <w:rsid w:val="00542EFA"/>
    <w:rsid w:val="00542F18"/>
    <w:rsid w:val="0054312B"/>
    <w:rsid w:val="00543C50"/>
    <w:rsid w:val="00545FBD"/>
    <w:rsid w:val="0054628E"/>
    <w:rsid w:val="0054718A"/>
    <w:rsid w:val="00551301"/>
    <w:rsid w:val="00551320"/>
    <w:rsid w:val="005513A0"/>
    <w:rsid w:val="00553EDC"/>
    <w:rsid w:val="005544EB"/>
    <w:rsid w:val="005566FB"/>
    <w:rsid w:val="00556A2C"/>
    <w:rsid w:val="00557BEB"/>
    <w:rsid w:val="00561B9F"/>
    <w:rsid w:val="0056358A"/>
    <w:rsid w:val="0056516C"/>
    <w:rsid w:val="005672BB"/>
    <w:rsid w:val="005678D4"/>
    <w:rsid w:val="00567A33"/>
    <w:rsid w:val="00570EA2"/>
    <w:rsid w:val="0057150D"/>
    <w:rsid w:val="0057319B"/>
    <w:rsid w:val="00575959"/>
    <w:rsid w:val="00577E2B"/>
    <w:rsid w:val="005806F5"/>
    <w:rsid w:val="005819C1"/>
    <w:rsid w:val="00583069"/>
    <w:rsid w:val="0058567B"/>
    <w:rsid w:val="00587978"/>
    <w:rsid w:val="00587AAC"/>
    <w:rsid w:val="00590E43"/>
    <w:rsid w:val="00591832"/>
    <w:rsid w:val="00591ACA"/>
    <w:rsid w:val="00592740"/>
    <w:rsid w:val="005944C1"/>
    <w:rsid w:val="005945F1"/>
    <w:rsid w:val="00594813"/>
    <w:rsid w:val="005A0A93"/>
    <w:rsid w:val="005A1161"/>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E6BDD"/>
    <w:rsid w:val="005F07A3"/>
    <w:rsid w:val="005F0D98"/>
    <w:rsid w:val="005F0E34"/>
    <w:rsid w:val="005F64D8"/>
    <w:rsid w:val="00601C69"/>
    <w:rsid w:val="00602974"/>
    <w:rsid w:val="00603D7B"/>
    <w:rsid w:val="0060420C"/>
    <w:rsid w:val="00604C01"/>
    <w:rsid w:val="00604EBB"/>
    <w:rsid w:val="006056EC"/>
    <w:rsid w:val="00605AA7"/>
    <w:rsid w:val="0060730F"/>
    <w:rsid w:val="00607CCC"/>
    <w:rsid w:val="00611212"/>
    <w:rsid w:val="00614328"/>
    <w:rsid w:val="00615EDF"/>
    <w:rsid w:val="00616C6F"/>
    <w:rsid w:val="0062098D"/>
    <w:rsid w:val="00622F47"/>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641C7"/>
    <w:rsid w:val="00671405"/>
    <w:rsid w:val="0067141D"/>
    <w:rsid w:val="0067193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099D"/>
    <w:rsid w:val="006B18E8"/>
    <w:rsid w:val="006B389D"/>
    <w:rsid w:val="006B6633"/>
    <w:rsid w:val="006C3433"/>
    <w:rsid w:val="006C4304"/>
    <w:rsid w:val="006C729E"/>
    <w:rsid w:val="006C7A8D"/>
    <w:rsid w:val="006D2A8F"/>
    <w:rsid w:val="006D3BB6"/>
    <w:rsid w:val="006D44F4"/>
    <w:rsid w:val="006D52AC"/>
    <w:rsid w:val="006D6C7A"/>
    <w:rsid w:val="006D7B30"/>
    <w:rsid w:val="006E09BD"/>
    <w:rsid w:val="006E18C3"/>
    <w:rsid w:val="006E3AD7"/>
    <w:rsid w:val="006E3F30"/>
    <w:rsid w:val="006E40BF"/>
    <w:rsid w:val="006E42F4"/>
    <w:rsid w:val="006E5C0F"/>
    <w:rsid w:val="006E79DF"/>
    <w:rsid w:val="006F536A"/>
    <w:rsid w:val="006F6FFE"/>
    <w:rsid w:val="00703255"/>
    <w:rsid w:val="00703748"/>
    <w:rsid w:val="007057E6"/>
    <w:rsid w:val="00705924"/>
    <w:rsid w:val="00707565"/>
    <w:rsid w:val="007112C0"/>
    <w:rsid w:val="00711E35"/>
    <w:rsid w:val="00711FB4"/>
    <w:rsid w:val="00714CC6"/>
    <w:rsid w:val="00716335"/>
    <w:rsid w:val="007235A9"/>
    <w:rsid w:val="00726061"/>
    <w:rsid w:val="007279C8"/>
    <w:rsid w:val="00730C83"/>
    <w:rsid w:val="00731BA7"/>
    <w:rsid w:val="00732568"/>
    <w:rsid w:val="00736516"/>
    <w:rsid w:val="00740D3C"/>
    <w:rsid w:val="0074401C"/>
    <w:rsid w:val="00745879"/>
    <w:rsid w:val="00746B1E"/>
    <w:rsid w:val="00751493"/>
    <w:rsid w:val="00752844"/>
    <w:rsid w:val="00752F13"/>
    <w:rsid w:val="007533A3"/>
    <w:rsid w:val="00754E04"/>
    <w:rsid w:val="007606A9"/>
    <w:rsid w:val="007619AA"/>
    <w:rsid w:val="00764FCF"/>
    <w:rsid w:val="00765616"/>
    <w:rsid w:val="00765647"/>
    <w:rsid w:val="007676B8"/>
    <w:rsid w:val="00770503"/>
    <w:rsid w:val="007726AB"/>
    <w:rsid w:val="0077391B"/>
    <w:rsid w:val="00773AC4"/>
    <w:rsid w:val="007750FA"/>
    <w:rsid w:val="0077548F"/>
    <w:rsid w:val="0077568E"/>
    <w:rsid w:val="00776987"/>
    <w:rsid w:val="00777C56"/>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22D9"/>
    <w:rsid w:val="007F3063"/>
    <w:rsid w:val="007F4469"/>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0E43"/>
    <w:rsid w:val="0082182C"/>
    <w:rsid w:val="00824FBF"/>
    <w:rsid w:val="00830B32"/>
    <w:rsid w:val="00831284"/>
    <w:rsid w:val="00836F49"/>
    <w:rsid w:val="008377DF"/>
    <w:rsid w:val="008401BC"/>
    <w:rsid w:val="008404F0"/>
    <w:rsid w:val="00840B46"/>
    <w:rsid w:val="00843658"/>
    <w:rsid w:val="008439E5"/>
    <w:rsid w:val="00844891"/>
    <w:rsid w:val="00846929"/>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4731"/>
    <w:rsid w:val="00885EAA"/>
    <w:rsid w:val="008869BC"/>
    <w:rsid w:val="00887401"/>
    <w:rsid w:val="008903F1"/>
    <w:rsid w:val="008935D8"/>
    <w:rsid w:val="00893DC1"/>
    <w:rsid w:val="008A146C"/>
    <w:rsid w:val="008A3098"/>
    <w:rsid w:val="008A325F"/>
    <w:rsid w:val="008A3C78"/>
    <w:rsid w:val="008B04CB"/>
    <w:rsid w:val="008B1366"/>
    <w:rsid w:val="008B3736"/>
    <w:rsid w:val="008B4764"/>
    <w:rsid w:val="008B5155"/>
    <w:rsid w:val="008B5587"/>
    <w:rsid w:val="008B5C95"/>
    <w:rsid w:val="008B6D6F"/>
    <w:rsid w:val="008C01AE"/>
    <w:rsid w:val="008C1E43"/>
    <w:rsid w:val="008C38DE"/>
    <w:rsid w:val="008C3EE7"/>
    <w:rsid w:val="008C5BB2"/>
    <w:rsid w:val="008C6031"/>
    <w:rsid w:val="008D2A85"/>
    <w:rsid w:val="008D7532"/>
    <w:rsid w:val="008E28FF"/>
    <w:rsid w:val="008E2DBF"/>
    <w:rsid w:val="008E6310"/>
    <w:rsid w:val="008E64F6"/>
    <w:rsid w:val="008E655D"/>
    <w:rsid w:val="008E740A"/>
    <w:rsid w:val="008E77D5"/>
    <w:rsid w:val="008F151D"/>
    <w:rsid w:val="008F1D3F"/>
    <w:rsid w:val="008F281D"/>
    <w:rsid w:val="008F4EC3"/>
    <w:rsid w:val="008F502B"/>
    <w:rsid w:val="008F6A84"/>
    <w:rsid w:val="00903C83"/>
    <w:rsid w:val="00906110"/>
    <w:rsid w:val="0091089D"/>
    <w:rsid w:val="009168A2"/>
    <w:rsid w:val="00916F53"/>
    <w:rsid w:val="00917603"/>
    <w:rsid w:val="0092123D"/>
    <w:rsid w:val="00921400"/>
    <w:rsid w:val="0092489B"/>
    <w:rsid w:val="00924D6C"/>
    <w:rsid w:val="009265C6"/>
    <w:rsid w:val="009268AB"/>
    <w:rsid w:val="009310EF"/>
    <w:rsid w:val="009313F8"/>
    <w:rsid w:val="00931A28"/>
    <w:rsid w:val="00933AD8"/>
    <w:rsid w:val="00933FE5"/>
    <w:rsid w:val="00934300"/>
    <w:rsid w:val="00934DBE"/>
    <w:rsid w:val="00935897"/>
    <w:rsid w:val="00936129"/>
    <w:rsid w:val="009409F6"/>
    <w:rsid w:val="00940F9A"/>
    <w:rsid w:val="009410AD"/>
    <w:rsid w:val="00944CC6"/>
    <w:rsid w:val="0094781B"/>
    <w:rsid w:val="00947E31"/>
    <w:rsid w:val="00951AB1"/>
    <w:rsid w:val="00956A14"/>
    <w:rsid w:val="009601E9"/>
    <w:rsid w:val="009632A6"/>
    <w:rsid w:val="00963F93"/>
    <w:rsid w:val="0096431C"/>
    <w:rsid w:val="00964499"/>
    <w:rsid w:val="00965B69"/>
    <w:rsid w:val="0096637B"/>
    <w:rsid w:val="00970AFF"/>
    <w:rsid w:val="00970FA3"/>
    <w:rsid w:val="009737BB"/>
    <w:rsid w:val="00973B72"/>
    <w:rsid w:val="00974461"/>
    <w:rsid w:val="009749B3"/>
    <w:rsid w:val="00975AF8"/>
    <w:rsid w:val="009771DF"/>
    <w:rsid w:val="00977F24"/>
    <w:rsid w:val="00984CDE"/>
    <w:rsid w:val="00986457"/>
    <w:rsid w:val="00987842"/>
    <w:rsid w:val="00987F4C"/>
    <w:rsid w:val="00993414"/>
    <w:rsid w:val="00994387"/>
    <w:rsid w:val="00994785"/>
    <w:rsid w:val="00994CAB"/>
    <w:rsid w:val="009A0B9B"/>
    <w:rsid w:val="009A25CD"/>
    <w:rsid w:val="009A2B88"/>
    <w:rsid w:val="009A4BB4"/>
    <w:rsid w:val="009A54BC"/>
    <w:rsid w:val="009A7485"/>
    <w:rsid w:val="009A7988"/>
    <w:rsid w:val="009B205F"/>
    <w:rsid w:val="009B2A0C"/>
    <w:rsid w:val="009B33F9"/>
    <w:rsid w:val="009B3B55"/>
    <w:rsid w:val="009B443B"/>
    <w:rsid w:val="009B4F26"/>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2C4D"/>
    <w:rsid w:val="00A035F1"/>
    <w:rsid w:val="00A03EAC"/>
    <w:rsid w:val="00A05379"/>
    <w:rsid w:val="00A05E4B"/>
    <w:rsid w:val="00A103BA"/>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44C8"/>
    <w:rsid w:val="00A470BA"/>
    <w:rsid w:val="00A47865"/>
    <w:rsid w:val="00A47E26"/>
    <w:rsid w:val="00A50EDC"/>
    <w:rsid w:val="00A52685"/>
    <w:rsid w:val="00A54529"/>
    <w:rsid w:val="00A55E7D"/>
    <w:rsid w:val="00A5680A"/>
    <w:rsid w:val="00A61323"/>
    <w:rsid w:val="00A63C5B"/>
    <w:rsid w:val="00A65E5C"/>
    <w:rsid w:val="00A6657A"/>
    <w:rsid w:val="00A67184"/>
    <w:rsid w:val="00A70309"/>
    <w:rsid w:val="00A705EA"/>
    <w:rsid w:val="00A708FB"/>
    <w:rsid w:val="00A71C62"/>
    <w:rsid w:val="00A74EC4"/>
    <w:rsid w:val="00A80953"/>
    <w:rsid w:val="00A840A2"/>
    <w:rsid w:val="00A84C84"/>
    <w:rsid w:val="00A85D72"/>
    <w:rsid w:val="00A90CD0"/>
    <w:rsid w:val="00A9108F"/>
    <w:rsid w:val="00A91977"/>
    <w:rsid w:val="00A938D8"/>
    <w:rsid w:val="00A94912"/>
    <w:rsid w:val="00AA53A3"/>
    <w:rsid w:val="00AA5ECD"/>
    <w:rsid w:val="00AB067C"/>
    <w:rsid w:val="00AB2D03"/>
    <w:rsid w:val="00AB510A"/>
    <w:rsid w:val="00AB594D"/>
    <w:rsid w:val="00AC16A2"/>
    <w:rsid w:val="00AC25B8"/>
    <w:rsid w:val="00AC3A62"/>
    <w:rsid w:val="00AC5F67"/>
    <w:rsid w:val="00AC7212"/>
    <w:rsid w:val="00AD5C07"/>
    <w:rsid w:val="00AD634F"/>
    <w:rsid w:val="00AE1C18"/>
    <w:rsid w:val="00AE1FA4"/>
    <w:rsid w:val="00AE4968"/>
    <w:rsid w:val="00AE4F47"/>
    <w:rsid w:val="00AE4F6B"/>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6F26"/>
    <w:rsid w:val="00B415EF"/>
    <w:rsid w:val="00B53239"/>
    <w:rsid w:val="00B53348"/>
    <w:rsid w:val="00B60D55"/>
    <w:rsid w:val="00B60F87"/>
    <w:rsid w:val="00B639E8"/>
    <w:rsid w:val="00B73159"/>
    <w:rsid w:val="00B74BD7"/>
    <w:rsid w:val="00B752C9"/>
    <w:rsid w:val="00B7657A"/>
    <w:rsid w:val="00B80B31"/>
    <w:rsid w:val="00B813C4"/>
    <w:rsid w:val="00B8388B"/>
    <w:rsid w:val="00B85670"/>
    <w:rsid w:val="00B8569E"/>
    <w:rsid w:val="00B86575"/>
    <w:rsid w:val="00B9082A"/>
    <w:rsid w:val="00B91E95"/>
    <w:rsid w:val="00B96105"/>
    <w:rsid w:val="00BA0D95"/>
    <w:rsid w:val="00BA0FF5"/>
    <w:rsid w:val="00BA2877"/>
    <w:rsid w:val="00BA3F15"/>
    <w:rsid w:val="00BB1BAD"/>
    <w:rsid w:val="00BB1C5F"/>
    <w:rsid w:val="00BB2634"/>
    <w:rsid w:val="00BB7120"/>
    <w:rsid w:val="00BB7345"/>
    <w:rsid w:val="00BC043A"/>
    <w:rsid w:val="00BC084F"/>
    <w:rsid w:val="00BC0962"/>
    <w:rsid w:val="00BC431D"/>
    <w:rsid w:val="00BC6802"/>
    <w:rsid w:val="00BC69B3"/>
    <w:rsid w:val="00BC7B19"/>
    <w:rsid w:val="00BD1241"/>
    <w:rsid w:val="00BD19F4"/>
    <w:rsid w:val="00BD209A"/>
    <w:rsid w:val="00BD2C94"/>
    <w:rsid w:val="00BD5A0B"/>
    <w:rsid w:val="00BD77F0"/>
    <w:rsid w:val="00BD7AC6"/>
    <w:rsid w:val="00BE1DB8"/>
    <w:rsid w:val="00BE480E"/>
    <w:rsid w:val="00BF15E8"/>
    <w:rsid w:val="00BF426F"/>
    <w:rsid w:val="00BF4EDE"/>
    <w:rsid w:val="00BF5B11"/>
    <w:rsid w:val="00C0042B"/>
    <w:rsid w:val="00C0055E"/>
    <w:rsid w:val="00C0470B"/>
    <w:rsid w:val="00C06327"/>
    <w:rsid w:val="00C118D4"/>
    <w:rsid w:val="00C11FB5"/>
    <w:rsid w:val="00C12DD8"/>
    <w:rsid w:val="00C13680"/>
    <w:rsid w:val="00C144DF"/>
    <w:rsid w:val="00C1508A"/>
    <w:rsid w:val="00C15BBF"/>
    <w:rsid w:val="00C166B6"/>
    <w:rsid w:val="00C20583"/>
    <w:rsid w:val="00C20D99"/>
    <w:rsid w:val="00C24044"/>
    <w:rsid w:val="00C25E60"/>
    <w:rsid w:val="00C27199"/>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5EAC"/>
    <w:rsid w:val="00C66D62"/>
    <w:rsid w:val="00C72F37"/>
    <w:rsid w:val="00C75E20"/>
    <w:rsid w:val="00C7608D"/>
    <w:rsid w:val="00C80E22"/>
    <w:rsid w:val="00C84147"/>
    <w:rsid w:val="00C849BD"/>
    <w:rsid w:val="00C8588B"/>
    <w:rsid w:val="00C92A69"/>
    <w:rsid w:val="00C93AB1"/>
    <w:rsid w:val="00C96A75"/>
    <w:rsid w:val="00CA294B"/>
    <w:rsid w:val="00CA3006"/>
    <w:rsid w:val="00CA3A19"/>
    <w:rsid w:val="00CA5B39"/>
    <w:rsid w:val="00CA6315"/>
    <w:rsid w:val="00CB2983"/>
    <w:rsid w:val="00CB42E6"/>
    <w:rsid w:val="00CB556C"/>
    <w:rsid w:val="00CB56AD"/>
    <w:rsid w:val="00CB5E14"/>
    <w:rsid w:val="00CB695F"/>
    <w:rsid w:val="00CB7E5C"/>
    <w:rsid w:val="00CC21B3"/>
    <w:rsid w:val="00CC2542"/>
    <w:rsid w:val="00CC6A48"/>
    <w:rsid w:val="00CD150A"/>
    <w:rsid w:val="00CD1CDD"/>
    <w:rsid w:val="00CD5087"/>
    <w:rsid w:val="00CD5666"/>
    <w:rsid w:val="00CD7E08"/>
    <w:rsid w:val="00CE0197"/>
    <w:rsid w:val="00CE3028"/>
    <w:rsid w:val="00CE3059"/>
    <w:rsid w:val="00CE4C53"/>
    <w:rsid w:val="00CE5BE8"/>
    <w:rsid w:val="00CE7649"/>
    <w:rsid w:val="00CF007F"/>
    <w:rsid w:val="00CF33DF"/>
    <w:rsid w:val="00CF38B4"/>
    <w:rsid w:val="00CF5632"/>
    <w:rsid w:val="00CF609C"/>
    <w:rsid w:val="00D00917"/>
    <w:rsid w:val="00D016DA"/>
    <w:rsid w:val="00D02DDC"/>
    <w:rsid w:val="00D06686"/>
    <w:rsid w:val="00D06B11"/>
    <w:rsid w:val="00D0783E"/>
    <w:rsid w:val="00D07E33"/>
    <w:rsid w:val="00D103AB"/>
    <w:rsid w:val="00D11874"/>
    <w:rsid w:val="00D1248C"/>
    <w:rsid w:val="00D132D3"/>
    <w:rsid w:val="00D1463E"/>
    <w:rsid w:val="00D15932"/>
    <w:rsid w:val="00D17847"/>
    <w:rsid w:val="00D17BBE"/>
    <w:rsid w:val="00D22A53"/>
    <w:rsid w:val="00D23B42"/>
    <w:rsid w:val="00D25665"/>
    <w:rsid w:val="00D26D94"/>
    <w:rsid w:val="00D302A8"/>
    <w:rsid w:val="00D314C6"/>
    <w:rsid w:val="00D33706"/>
    <w:rsid w:val="00D3521A"/>
    <w:rsid w:val="00D3708A"/>
    <w:rsid w:val="00D40C13"/>
    <w:rsid w:val="00D40F32"/>
    <w:rsid w:val="00D41173"/>
    <w:rsid w:val="00D42EF1"/>
    <w:rsid w:val="00D45494"/>
    <w:rsid w:val="00D5009B"/>
    <w:rsid w:val="00D52638"/>
    <w:rsid w:val="00D527E4"/>
    <w:rsid w:val="00D53A0C"/>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86939"/>
    <w:rsid w:val="00D91938"/>
    <w:rsid w:val="00D930DF"/>
    <w:rsid w:val="00D932B8"/>
    <w:rsid w:val="00D93AB0"/>
    <w:rsid w:val="00D9566C"/>
    <w:rsid w:val="00DA0539"/>
    <w:rsid w:val="00DA060B"/>
    <w:rsid w:val="00DA5B62"/>
    <w:rsid w:val="00DA6384"/>
    <w:rsid w:val="00DA67E1"/>
    <w:rsid w:val="00DB205E"/>
    <w:rsid w:val="00DB4C36"/>
    <w:rsid w:val="00DB70BC"/>
    <w:rsid w:val="00DC0BF0"/>
    <w:rsid w:val="00DC157A"/>
    <w:rsid w:val="00DC2425"/>
    <w:rsid w:val="00DC26B1"/>
    <w:rsid w:val="00DC2C66"/>
    <w:rsid w:val="00DC3917"/>
    <w:rsid w:val="00DC5283"/>
    <w:rsid w:val="00DC62AC"/>
    <w:rsid w:val="00DC6497"/>
    <w:rsid w:val="00DC6918"/>
    <w:rsid w:val="00DD1C3D"/>
    <w:rsid w:val="00DD41D4"/>
    <w:rsid w:val="00DD455C"/>
    <w:rsid w:val="00DD50CD"/>
    <w:rsid w:val="00DD6A6E"/>
    <w:rsid w:val="00DD7388"/>
    <w:rsid w:val="00DE0E10"/>
    <w:rsid w:val="00DE15A9"/>
    <w:rsid w:val="00DE71C2"/>
    <w:rsid w:val="00DF4813"/>
    <w:rsid w:val="00DF4958"/>
    <w:rsid w:val="00DF68EB"/>
    <w:rsid w:val="00DF6A47"/>
    <w:rsid w:val="00E04AD6"/>
    <w:rsid w:val="00E05F5E"/>
    <w:rsid w:val="00E066CF"/>
    <w:rsid w:val="00E10622"/>
    <w:rsid w:val="00E129BB"/>
    <w:rsid w:val="00E1354D"/>
    <w:rsid w:val="00E156C1"/>
    <w:rsid w:val="00E16B45"/>
    <w:rsid w:val="00E2087C"/>
    <w:rsid w:val="00E20EC2"/>
    <w:rsid w:val="00E21985"/>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636"/>
    <w:rsid w:val="00E64827"/>
    <w:rsid w:val="00E65EEB"/>
    <w:rsid w:val="00E66243"/>
    <w:rsid w:val="00E6666F"/>
    <w:rsid w:val="00E668DF"/>
    <w:rsid w:val="00E66977"/>
    <w:rsid w:val="00E67E3E"/>
    <w:rsid w:val="00E70B1B"/>
    <w:rsid w:val="00E723B3"/>
    <w:rsid w:val="00E75DB5"/>
    <w:rsid w:val="00E770FC"/>
    <w:rsid w:val="00E778DC"/>
    <w:rsid w:val="00E77ED7"/>
    <w:rsid w:val="00E8024F"/>
    <w:rsid w:val="00E80B5B"/>
    <w:rsid w:val="00E8140A"/>
    <w:rsid w:val="00E82782"/>
    <w:rsid w:val="00E85D19"/>
    <w:rsid w:val="00E907C4"/>
    <w:rsid w:val="00E95B8A"/>
    <w:rsid w:val="00E9770E"/>
    <w:rsid w:val="00EA1635"/>
    <w:rsid w:val="00EA22C6"/>
    <w:rsid w:val="00EA30EE"/>
    <w:rsid w:val="00EA3CDC"/>
    <w:rsid w:val="00EA4630"/>
    <w:rsid w:val="00EA5C73"/>
    <w:rsid w:val="00EA62A5"/>
    <w:rsid w:val="00EA71D1"/>
    <w:rsid w:val="00EB28DC"/>
    <w:rsid w:val="00EB77BA"/>
    <w:rsid w:val="00EC190C"/>
    <w:rsid w:val="00EC206A"/>
    <w:rsid w:val="00EC2EB8"/>
    <w:rsid w:val="00EC6B9C"/>
    <w:rsid w:val="00EC6F6F"/>
    <w:rsid w:val="00EC71A2"/>
    <w:rsid w:val="00ED18B8"/>
    <w:rsid w:val="00ED4591"/>
    <w:rsid w:val="00ED62A5"/>
    <w:rsid w:val="00ED66F9"/>
    <w:rsid w:val="00ED77B2"/>
    <w:rsid w:val="00ED7C3F"/>
    <w:rsid w:val="00EE120D"/>
    <w:rsid w:val="00EE1C86"/>
    <w:rsid w:val="00EE280B"/>
    <w:rsid w:val="00EE4FCC"/>
    <w:rsid w:val="00EE5D60"/>
    <w:rsid w:val="00EE6065"/>
    <w:rsid w:val="00EE606F"/>
    <w:rsid w:val="00EF353E"/>
    <w:rsid w:val="00EF3BBE"/>
    <w:rsid w:val="00EF49A1"/>
    <w:rsid w:val="00EF51CF"/>
    <w:rsid w:val="00EF5842"/>
    <w:rsid w:val="00EF5FC7"/>
    <w:rsid w:val="00EF70FE"/>
    <w:rsid w:val="00F00E9F"/>
    <w:rsid w:val="00F01441"/>
    <w:rsid w:val="00F0169F"/>
    <w:rsid w:val="00F0478C"/>
    <w:rsid w:val="00F04CC0"/>
    <w:rsid w:val="00F074C6"/>
    <w:rsid w:val="00F07980"/>
    <w:rsid w:val="00F13C70"/>
    <w:rsid w:val="00F16F06"/>
    <w:rsid w:val="00F20101"/>
    <w:rsid w:val="00F2179B"/>
    <w:rsid w:val="00F2301A"/>
    <w:rsid w:val="00F24407"/>
    <w:rsid w:val="00F25005"/>
    <w:rsid w:val="00F25B5D"/>
    <w:rsid w:val="00F311FA"/>
    <w:rsid w:val="00F31D67"/>
    <w:rsid w:val="00F321B6"/>
    <w:rsid w:val="00F350C7"/>
    <w:rsid w:val="00F35328"/>
    <w:rsid w:val="00F360FC"/>
    <w:rsid w:val="00F413BF"/>
    <w:rsid w:val="00F414D9"/>
    <w:rsid w:val="00F42B5F"/>
    <w:rsid w:val="00F43BA1"/>
    <w:rsid w:val="00F43DF3"/>
    <w:rsid w:val="00F44EC7"/>
    <w:rsid w:val="00F45A5D"/>
    <w:rsid w:val="00F46230"/>
    <w:rsid w:val="00F4625E"/>
    <w:rsid w:val="00F55CB5"/>
    <w:rsid w:val="00F572F6"/>
    <w:rsid w:val="00F60875"/>
    <w:rsid w:val="00F61463"/>
    <w:rsid w:val="00F614B4"/>
    <w:rsid w:val="00F61BEB"/>
    <w:rsid w:val="00F71DE1"/>
    <w:rsid w:val="00F72241"/>
    <w:rsid w:val="00F73DF9"/>
    <w:rsid w:val="00F74502"/>
    <w:rsid w:val="00F754C4"/>
    <w:rsid w:val="00F75B95"/>
    <w:rsid w:val="00F76B0E"/>
    <w:rsid w:val="00F812C8"/>
    <w:rsid w:val="00F81DEB"/>
    <w:rsid w:val="00F82CF1"/>
    <w:rsid w:val="00F83C1F"/>
    <w:rsid w:val="00F849A5"/>
    <w:rsid w:val="00F8608D"/>
    <w:rsid w:val="00F86670"/>
    <w:rsid w:val="00F86897"/>
    <w:rsid w:val="00F86CA0"/>
    <w:rsid w:val="00F9029E"/>
    <w:rsid w:val="00F90F7D"/>
    <w:rsid w:val="00F94D5B"/>
    <w:rsid w:val="00F958BA"/>
    <w:rsid w:val="00F9796C"/>
    <w:rsid w:val="00FA2ABF"/>
    <w:rsid w:val="00FA4F50"/>
    <w:rsid w:val="00FB06A8"/>
    <w:rsid w:val="00FB2B2F"/>
    <w:rsid w:val="00FB46CF"/>
    <w:rsid w:val="00FB4EE5"/>
    <w:rsid w:val="00FB65FE"/>
    <w:rsid w:val="00FB772D"/>
    <w:rsid w:val="00FC1BB1"/>
    <w:rsid w:val="00FD0A25"/>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waLbfPke5mfaKg+8iu6xPzooYqc=" w:salt="xvNQIGHIoIvj83aQWWDyq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en-US" w:eastAsia="en-US" w:bidi="ar-SA"/>
      </w:rPr>
    </w:rPrDefault>
    <w:pPrDefault/>
  </w:docDefaults>
  <w:latentStyles w:defLockedState="0" w:defUIPriority="99" w:defSemiHidden="0" w:defUnhideWhenUsed="0" w:defQFormat="0" w:count="373">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1165AA"/>
    <w:rPr>
      <w:rFonts w:ascii="Courier New" w:hAnsi="Courier New" w:cs="Courier New"/>
      <w:b w:val="0"/>
      <w:i w:val="0"/>
      <w:color w:val="FF0000"/>
      <w:sz w:val="18"/>
    </w:rPr>
  </w:style>
  <w:style w:type="character" w:customStyle="1" w:styleId="LogoportDoNotTranslate">
    <w:name w:val="LogoportDoNotTranslate"/>
    <w:basedOn w:val="DefaultParagraphFont"/>
    <w:rsid w:val="001165AA"/>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pinpoint.microsoft.com"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www.microsoftvolumelicensing.com/contracts"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www.microsoft.com" TargetMode="Externa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contracts" TargetMode="External"/><Relationship Id="rId28" Type="http://schemas.openxmlformats.org/officeDocument/2006/relationships/footer" Target="foot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eader" Target="header5.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CF8394-6267-4DB7-9A23-9787B7A411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3910</Words>
  <Characters>22293</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2016-08-05T17:25:00Z</dcterms:created>
  <dcterms:modified xsi:type="dcterms:W3CDTF">2016-08-05T17:26:00Z</dcterms:modified>
  <cp:contentStatus/>
</cp:coreProperties>
</file>