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5E19" w:rsidRPr="00B64EAD" w:rsidRDefault="00585E19" w:rsidP="00A901A2">
      <w:pPr>
        <w:pStyle w:val="ProductList-Body"/>
        <w:shd w:val="clear" w:color="auto" w:fill="00188F"/>
        <w:ind w:right="8640"/>
        <w:rPr>
          <w:rFonts w:ascii="Calibri Light" w:hAnsi="Calibri Light"/>
          <w:color w:val="FFFFFF"/>
          <w:sz w:val="6"/>
          <w:szCs w:val="6"/>
        </w:rPr>
      </w:pPr>
      <w:bookmarkStart w:id="0" w:name="CoverPage"/>
      <w:r>
        <w:rPr>
          <w:rFonts w:ascii="Calibri Light" w:hAnsi="Calibri Light"/>
          <w:color w:val="FFFFFF"/>
          <w:sz w:val="6"/>
          <w:szCs w:val="6"/>
        </w:rPr>
        <w:t>=</w:t>
      </w:r>
    </w:p>
    <w:p w:rsidR="00585E19" w:rsidRPr="00B64EAD" w:rsidRDefault="00585E19" w:rsidP="00A901A2">
      <w:pPr>
        <w:pStyle w:val="ProductList-Body"/>
        <w:shd w:val="clear" w:color="auto" w:fill="00188F"/>
        <w:ind w:right="8640"/>
        <w:rPr>
          <w:rFonts w:ascii="Calibri Light" w:hAnsi="Calibri Light"/>
          <w:color w:val="FFFFFF"/>
          <w:sz w:val="32"/>
          <w:szCs w:val="32"/>
        </w:rPr>
      </w:pPr>
      <w:r w:rsidRPr="00B64EAD">
        <w:rPr>
          <w:rFonts w:ascii="Calibri Light" w:hAnsi="Calibri Light"/>
          <w:color w:val="FFFFFF"/>
          <w:sz w:val="32"/>
          <w:szCs w:val="32"/>
        </w:rPr>
        <w:tab/>
        <w:t>Volume</w:t>
      </w:r>
    </w:p>
    <w:bookmarkEnd w:id="0"/>
    <w:p w:rsidR="00585E19" w:rsidRPr="00B64EAD" w:rsidRDefault="00585E19" w:rsidP="00A901A2">
      <w:pPr>
        <w:pStyle w:val="ProductList-Body"/>
        <w:shd w:val="clear" w:color="auto" w:fill="00188F"/>
        <w:spacing w:after="900"/>
        <w:ind w:right="8640"/>
        <w:rPr>
          <w:rFonts w:ascii="Calibri Light" w:hAnsi="Calibri Light"/>
          <w:color w:val="FFFFFF"/>
          <w:sz w:val="32"/>
          <w:szCs w:val="32"/>
        </w:rPr>
      </w:pPr>
      <w:r w:rsidRPr="00B64EAD">
        <w:rPr>
          <w:rFonts w:ascii="Calibri Light" w:hAnsi="Calibri Light"/>
          <w:color w:val="FFFFFF"/>
          <w:sz w:val="32"/>
          <w:szCs w:val="32"/>
        </w:rPr>
        <w:tab/>
        <w:t>Licensing</w:t>
      </w:r>
    </w:p>
    <w:p w:rsidR="00585E19" w:rsidRPr="00DC097C" w:rsidRDefault="00585E19" w:rsidP="00A901A2">
      <w:pPr>
        <w:pStyle w:val="ProductList-Body"/>
        <w:shd w:val="clear" w:color="auto" w:fill="00188F"/>
        <w:ind w:right="8640"/>
        <w:rPr>
          <w:color w:val="FFFFFF"/>
        </w:rPr>
      </w:pPr>
    </w:p>
    <w:p w:rsidR="00585E19" w:rsidRPr="00B64EAD" w:rsidRDefault="00585E19" w:rsidP="008F6449">
      <w:pPr>
        <w:pStyle w:val="ProductList-Body"/>
        <w:shd w:val="clear" w:color="auto" w:fill="0072C6"/>
        <w:ind w:right="1800"/>
        <w:rPr>
          <w:rFonts w:ascii="Calibri Light" w:hAnsi="Calibri Light"/>
          <w:color w:val="FFFFFF"/>
          <w:sz w:val="72"/>
          <w:szCs w:val="72"/>
        </w:rPr>
      </w:pPr>
    </w:p>
    <w:p w:rsidR="00585E19" w:rsidRPr="00B64EAD" w:rsidRDefault="00585E19" w:rsidP="008F6449">
      <w:pPr>
        <w:pStyle w:val="ProductList-Body"/>
        <w:shd w:val="clear" w:color="auto" w:fill="0072C6"/>
        <w:ind w:right="1800"/>
        <w:rPr>
          <w:rFonts w:ascii="Calibri Light" w:hAnsi="Calibri Light"/>
          <w:color w:val="FFFFFF"/>
          <w:sz w:val="72"/>
          <w:szCs w:val="72"/>
        </w:rPr>
      </w:pPr>
    </w:p>
    <w:p w:rsidR="00585E19" w:rsidRPr="00EC6627" w:rsidRDefault="00585E19" w:rsidP="00BB0FCD">
      <w:pPr>
        <w:pStyle w:val="ProductList-Body"/>
        <w:shd w:val="clear" w:color="auto" w:fill="0072C6"/>
        <w:tabs>
          <w:tab w:val="clear" w:pos="158"/>
        </w:tabs>
        <w:ind w:left="405" w:right="1800" w:hanging="405"/>
        <w:rPr>
          <w:sz w:val="72"/>
          <w:szCs w:val="72"/>
        </w:rPr>
      </w:pPr>
      <w:r>
        <w:rPr>
          <w:rFonts w:ascii="Calibri Light" w:hAnsi="Calibri Light"/>
          <w:color w:val="FFFFFF"/>
          <w:sz w:val="72"/>
          <w:szCs w:val="72"/>
        </w:rPr>
        <w:tab/>
      </w:r>
      <w:r w:rsidRPr="00EC6627">
        <w:rPr>
          <w:rFonts w:ascii="Calibri Light" w:hAnsi="Calibri Light"/>
          <w:color w:val="FFFFFF"/>
          <w:sz w:val="72"/>
          <w:szCs w:val="72"/>
        </w:rPr>
        <w:t>Bestimmungen für Onlinedienste</w:t>
      </w:r>
    </w:p>
    <w:p w:rsidR="00585E19" w:rsidRPr="00EC6627" w:rsidRDefault="00585E19" w:rsidP="00BB0FCD">
      <w:pPr>
        <w:pStyle w:val="ProductList-Body"/>
        <w:shd w:val="clear" w:color="auto" w:fill="0072C6"/>
        <w:tabs>
          <w:tab w:val="clear" w:pos="158"/>
          <w:tab w:val="left" w:pos="360"/>
        </w:tabs>
        <w:ind w:right="1800"/>
        <w:rPr>
          <w:sz w:val="96"/>
          <w:szCs w:val="96"/>
        </w:rPr>
      </w:pPr>
      <w:r w:rsidRPr="00EC6627">
        <w:rPr>
          <w:rFonts w:ascii="Calibri Light" w:hAnsi="Calibri Light"/>
          <w:color w:val="FFFFFF"/>
          <w:sz w:val="96"/>
          <w:szCs w:val="96"/>
        </w:rPr>
        <w:tab/>
      </w:r>
      <w:r w:rsidR="004E11B8">
        <w:rPr>
          <w:rFonts w:ascii="Calibri Light" w:hAnsi="Calibri Light"/>
          <w:color w:val="FFFFFF"/>
          <w:sz w:val="96"/>
          <w:szCs w:val="96"/>
        </w:rPr>
        <w:t>2</w:t>
      </w:r>
      <w:r w:rsidRPr="00EC6627">
        <w:rPr>
          <w:rFonts w:ascii="Calibri Light" w:hAnsi="Calibri Light"/>
          <w:color w:val="FFFFFF"/>
          <w:sz w:val="96"/>
          <w:szCs w:val="96"/>
        </w:rPr>
        <w:t>1. Oktober 2014</w:t>
      </w:r>
    </w:p>
    <w:p w:rsidR="00585E19" w:rsidRPr="00F80A49" w:rsidRDefault="00585E19" w:rsidP="00161A37">
      <w:pPr>
        <w:pStyle w:val="ProductList-Body"/>
        <w:shd w:val="clear" w:color="auto" w:fill="0072C6"/>
        <w:tabs>
          <w:tab w:val="clear" w:pos="158"/>
          <w:tab w:val="left" w:pos="360"/>
        </w:tabs>
        <w:ind w:right="1800"/>
        <w:rPr>
          <w:rFonts w:ascii="Calibri Light" w:hAnsi="Calibri Light"/>
          <w:color w:val="FFFFFF"/>
          <w:sz w:val="48"/>
          <w:szCs w:val="48"/>
        </w:rPr>
      </w:pPr>
    </w:p>
    <w:p w:rsidR="00585E19" w:rsidRPr="00444B24" w:rsidRDefault="00585E19" w:rsidP="004D27A6">
      <w:pPr>
        <w:pStyle w:val="ProductList-Body"/>
      </w:pPr>
    </w:p>
    <w:p w:rsidR="00585E19" w:rsidRPr="00444B24" w:rsidRDefault="00585E19" w:rsidP="004D27A6">
      <w:pPr>
        <w:pStyle w:val="ProductList-Body"/>
        <w:sectPr w:rsidR="00585E19" w:rsidRPr="00444B24" w:rsidSect="00A61B2A">
          <w:headerReference w:type="even" r:id="rId7"/>
          <w:headerReference w:type="default" r:id="rId8"/>
          <w:footerReference w:type="even" r:id="rId9"/>
          <w:footerReference w:type="default" r:id="rId10"/>
          <w:headerReference w:type="first" r:id="rId11"/>
          <w:footerReference w:type="first" r:id="rId12"/>
          <w:type w:val="continuous"/>
          <w:pgSz w:w="12240" w:h="15840"/>
          <w:pgMar w:top="720" w:right="720" w:bottom="1440" w:left="720" w:header="720" w:footer="720" w:gutter="0"/>
          <w:cols w:space="720"/>
          <w:titlePg/>
          <w:docGrid w:linePitch="360"/>
        </w:sectPr>
      </w:pPr>
    </w:p>
    <w:p w:rsidR="00585E19" w:rsidRPr="00444B24" w:rsidRDefault="00585E19" w:rsidP="00366C8E">
      <w:pPr>
        <w:pStyle w:val="ProductList-Body"/>
        <w:outlineLvl w:val="0"/>
        <w:rPr>
          <w:rFonts w:ascii="Calibri Light" w:hAnsi="Calibri Light"/>
          <w:b/>
          <w:sz w:val="40"/>
          <w:szCs w:val="40"/>
        </w:rPr>
        <w:sectPr w:rsidR="00585E19" w:rsidRPr="00444B24" w:rsidSect="00A61B2A">
          <w:headerReference w:type="default" r:id="rId13"/>
          <w:footerReference w:type="default" r:id="rId14"/>
          <w:headerReference w:type="first" r:id="rId15"/>
          <w:footerReference w:type="first" r:id="rId16"/>
          <w:pgSz w:w="12240" w:h="15840"/>
          <w:pgMar w:top="1440" w:right="720" w:bottom="1440" w:left="720" w:header="720" w:footer="720" w:gutter="0"/>
          <w:cols w:space="720"/>
          <w:titlePg/>
          <w:docGrid w:linePitch="360"/>
        </w:sectPr>
      </w:pPr>
      <w:bookmarkStart w:id="1" w:name="TableofContents"/>
      <w:r w:rsidRPr="00444B24">
        <w:rPr>
          <w:rFonts w:ascii="Calibri Light" w:hAnsi="Calibri Light"/>
          <w:b/>
          <w:sz w:val="40"/>
          <w:szCs w:val="40"/>
        </w:rPr>
        <w:lastRenderedPageBreak/>
        <w:t>Inhalt</w:t>
      </w:r>
      <w:bookmarkEnd w:id="1"/>
    </w:p>
    <w:bookmarkStart w:id="2" w:name="_GoBack"/>
    <w:bookmarkEnd w:id="2"/>
    <w:p w:rsidR="00B36E70" w:rsidRDefault="00585E19">
      <w:pPr>
        <w:pStyle w:val="TOC1"/>
        <w:tabs>
          <w:tab w:val="right" w:leader="dot" w:pos="5030"/>
        </w:tabs>
        <w:rPr>
          <w:rFonts w:asciiTheme="minorHAnsi" w:eastAsiaTheme="minorEastAsia" w:hAnsiTheme="minorHAnsi" w:cstheme="minorBidi"/>
          <w:b w:val="0"/>
          <w:caps w:val="0"/>
          <w:noProof/>
          <w:sz w:val="22"/>
          <w:lang w:val="en-US" w:eastAsia="en-US"/>
        </w:rPr>
      </w:pPr>
      <w:r w:rsidRPr="00444B24">
        <w:fldChar w:fldCharType="begin"/>
      </w:r>
      <w:r w:rsidRPr="00444B24">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44B24">
        <w:fldChar w:fldCharType="separate"/>
      </w:r>
      <w:hyperlink w:anchor="_Toc401641545" w:history="1">
        <w:r w:rsidR="00B36E70" w:rsidRPr="00E82A05">
          <w:rPr>
            <w:rStyle w:val="Hyperlink"/>
            <w:noProof/>
          </w:rPr>
          <w:t>Einleitung</w:t>
        </w:r>
        <w:r w:rsidR="00B36E70">
          <w:rPr>
            <w:noProof/>
            <w:webHidden/>
          </w:rPr>
          <w:tab/>
        </w:r>
        <w:r w:rsidR="00B36E70">
          <w:rPr>
            <w:noProof/>
            <w:webHidden/>
          </w:rPr>
          <w:fldChar w:fldCharType="begin"/>
        </w:r>
        <w:r w:rsidR="00B36E70">
          <w:rPr>
            <w:noProof/>
            <w:webHidden/>
          </w:rPr>
          <w:instrText xml:space="preserve"> PAGEREF _Toc401641545 \h </w:instrText>
        </w:r>
        <w:r w:rsidR="00B36E70">
          <w:rPr>
            <w:noProof/>
            <w:webHidden/>
          </w:rPr>
        </w:r>
        <w:r w:rsidR="00B36E70">
          <w:rPr>
            <w:noProof/>
            <w:webHidden/>
          </w:rPr>
          <w:fldChar w:fldCharType="separate"/>
        </w:r>
        <w:r w:rsidR="00B36E70">
          <w:rPr>
            <w:noProof/>
            <w:webHidden/>
          </w:rPr>
          <w:t>3</w:t>
        </w:r>
        <w:r w:rsidR="00B36E70">
          <w:rPr>
            <w:noProof/>
            <w:webHidden/>
          </w:rPr>
          <w:fldChar w:fldCharType="end"/>
        </w:r>
      </w:hyperlink>
    </w:p>
    <w:p w:rsidR="00B36E70" w:rsidRDefault="00B36E70">
      <w:pPr>
        <w:pStyle w:val="TOC3"/>
        <w:rPr>
          <w:rFonts w:asciiTheme="minorHAnsi" w:eastAsiaTheme="minorEastAsia" w:hAnsiTheme="minorHAnsi" w:cstheme="minorBidi"/>
          <w:smallCaps w:val="0"/>
          <w:noProof/>
          <w:sz w:val="22"/>
          <w:lang w:val="en-US" w:eastAsia="en-US"/>
        </w:rPr>
      </w:pPr>
      <w:hyperlink w:anchor="_Toc401641546" w:history="1">
        <w:r w:rsidRPr="00E82A05">
          <w:rPr>
            <w:rStyle w:val="Hyperlink"/>
            <w:noProof/>
          </w:rPr>
          <w:t>Frühere Versionen</w:t>
        </w:r>
        <w:r>
          <w:rPr>
            <w:noProof/>
            <w:webHidden/>
          </w:rPr>
          <w:tab/>
        </w:r>
        <w:r>
          <w:rPr>
            <w:noProof/>
            <w:webHidden/>
          </w:rPr>
          <w:fldChar w:fldCharType="begin"/>
        </w:r>
        <w:r>
          <w:rPr>
            <w:noProof/>
            <w:webHidden/>
          </w:rPr>
          <w:instrText xml:space="preserve"> PAGEREF _Toc401641546 \h </w:instrText>
        </w:r>
        <w:r>
          <w:rPr>
            <w:noProof/>
            <w:webHidden/>
          </w:rPr>
        </w:r>
        <w:r>
          <w:rPr>
            <w:noProof/>
            <w:webHidden/>
          </w:rPr>
          <w:fldChar w:fldCharType="separate"/>
        </w:r>
        <w:r>
          <w:rPr>
            <w:noProof/>
            <w:webHidden/>
          </w:rPr>
          <w:t>3</w:t>
        </w:r>
        <w:r>
          <w:rPr>
            <w:noProof/>
            <w:webHidden/>
          </w:rPr>
          <w:fldChar w:fldCharType="end"/>
        </w:r>
      </w:hyperlink>
    </w:p>
    <w:p w:rsidR="00B36E70" w:rsidRDefault="00B36E70">
      <w:pPr>
        <w:pStyle w:val="TOC3"/>
        <w:rPr>
          <w:rFonts w:asciiTheme="minorHAnsi" w:eastAsiaTheme="minorEastAsia" w:hAnsiTheme="minorHAnsi" w:cstheme="minorBidi"/>
          <w:smallCaps w:val="0"/>
          <w:noProof/>
          <w:sz w:val="22"/>
          <w:lang w:val="en-US" w:eastAsia="en-US"/>
        </w:rPr>
      </w:pPr>
      <w:hyperlink w:anchor="_Toc401641547" w:history="1">
        <w:r w:rsidRPr="00E82A05">
          <w:rPr>
            <w:rStyle w:val="Hyperlink"/>
            <w:noProof/>
          </w:rPr>
          <w:t>Verdeutlichungen und Zusammenfassung der Änderungen</w:t>
        </w:r>
        <w:r>
          <w:rPr>
            <w:noProof/>
            <w:webHidden/>
          </w:rPr>
          <w:tab/>
        </w:r>
        <w:r>
          <w:rPr>
            <w:noProof/>
            <w:webHidden/>
          </w:rPr>
          <w:fldChar w:fldCharType="begin"/>
        </w:r>
        <w:r>
          <w:rPr>
            <w:noProof/>
            <w:webHidden/>
          </w:rPr>
          <w:instrText xml:space="preserve"> PAGEREF _Toc401641547 \h </w:instrText>
        </w:r>
        <w:r>
          <w:rPr>
            <w:noProof/>
            <w:webHidden/>
          </w:rPr>
        </w:r>
        <w:r>
          <w:rPr>
            <w:noProof/>
            <w:webHidden/>
          </w:rPr>
          <w:fldChar w:fldCharType="separate"/>
        </w:r>
        <w:r>
          <w:rPr>
            <w:noProof/>
            <w:webHidden/>
          </w:rPr>
          <w:t>3</w:t>
        </w:r>
        <w:r>
          <w:rPr>
            <w:noProof/>
            <w:webHidden/>
          </w:rPr>
          <w:fldChar w:fldCharType="end"/>
        </w:r>
      </w:hyperlink>
    </w:p>
    <w:p w:rsidR="00B36E70" w:rsidRDefault="00B36E70">
      <w:pPr>
        <w:pStyle w:val="TOC1"/>
        <w:tabs>
          <w:tab w:val="right" w:leader="dot" w:pos="5030"/>
        </w:tabs>
        <w:rPr>
          <w:rFonts w:asciiTheme="minorHAnsi" w:eastAsiaTheme="minorEastAsia" w:hAnsiTheme="minorHAnsi" w:cstheme="minorBidi"/>
          <w:b w:val="0"/>
          <w:caps w:val="0"/>
          <w:noProof/>
          <w:sz w:val="22"/>
          <w:lang w:val="en-US" w:eastAsia="en-US"/>
        </w:rPr>
      </w:pPr>
      <w:hyperlink w:anchor="_Toc401641548" w:history="1">
        <w:r w:rsidRPr="00E82A05">
          <w:rPr>
            <w:rStyle w:val="Hyperlink"/>
            <w:noProof/>
          </w:rPr>
          <w:t>Allgemeine Bestimmungen</w:t>
        </w:r>
        <w:r>
          <w:rPr>
            <w:noProof/>
            <w:webHidden/>
          </w:rPr>
          <w:tab/>
        </w:r>
        <w:r>
          <w:rPr>
            <w:noProof/>
            <w:webHidden/>
          </w:rPr>
          <w:fldChar w:fldCharType="begin"/>
        </w:r>
        <w:r>
          <w:rPr>
            <w:noProof/>
            <w:webHidden/>
          </w:rPr>
          <w:instrText xml:space="preserve"> PAGEREF _Toc401641548 \h </w:instrText>
        </w:r>
        <w:r>
          <w:rPr>
            <w:noProof/>
            <w:webHidden/>
          </w:rPr>
        </w:r>
        <w:r>
          <w:rPr>
            <w:noProof/>
            <w:webHidden/>
          </w:rPr>
          <w:fldChar w:fldCharType="separate"/>
        </w:r>
        <w:r>
          <w:rPr>
            <w:noProof/>
            <w:webHidden/>
          </w:rPr>
          <w:t>5</w:t>
        </w:r>
        <w:r>
          <w:rPr>
            <w:noProof/>
            <w:webHidden/>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49" w:history="1">
        <w:r w:rsidRPr="00B36E70">
          <w:rPr>
            <w:rStyle w:val="Hyperlink"/>
            <w:noProof/>
            <w:u w:val="none"/>
          </w:rPr>
          <w:t>Definitionen</w:t>
        </w:r>
        <w:r w:rsidRPr="00B36E70">
          <w:rPr>
            <w:noProof/>
            <w:webHidden/>
            <w:u w:val="none"/>
          </w:rPr>
          <w:tab/>
        </w:r>
        <w:r w:rsidRPr="00B36E70">
          <w:rPr>
            <w:noProof/>
            <w:webHidden/>
            <w:u w:val="none"/>
          </w:rPr>
          <w:fldChar w:fldCharType="begin"/>
        </w:r>
        <w:r w:rsidRPr="00B36E70">
          <w:rPr>
            <w:noProof/>
            <w:webHidden/>
            <w:u w:val="none"/>
          </w:rPr>
          <w:instrText xml:space="preserve"> PAGEREF _Toc401641549 \h </w:instrText>
        </w:r>
        <w:r w:rsidRPr="00B36E70">
          <w:rPr>
            <w:noProof/>
            <w:webHidden/>
            <w:u w:val="none"/>
          </w:rPr>
        </w:r>
        <w:r w:rsidRPr="00B36E70">
          <w:rPr>
            <w:noProof/>
            <w:webHidden/>
            <w:u w:val="none"/>
          </w:rPr>
          <w:fldChar w:fldCharType="separate"/>
        </w:r>
        <w:r w:rsidRPr="00B36E70">
          <w:rPr>
            <w:noProof/>
            <w:webHidden/>
            <w:u w:val="none"/>
          </w:rPr>
          <w:t>5</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50" w:history="1">
        <w:r w:rsidRPr="00B36E70">
          <w:rPr>
            <w:rStyle w:val="Hyperlink"/>
            <w:noProof/>
            <w:u w:val="none"/>
          </w:rPr>
          <w:t>Aktualisierungen der Bestimmungen für Onlinedienste</w:t>
        </w:r>
        <w:r w:rsidRPr="00B36E70">
          <w:rPr>
            <w:noProof/>
            <w:webHidden/>
            <w:u w:val="none"/>
          </w:rPr>
          <w:tab/>
        </w:r>
        <w:r w:rsidRPr="00B36E70">
          <w:rPr>
            <w:noProof/>
            <w:webHidden/>
            <w:u w:val="none"/>
          </w:rPr>
          <w:fldChar w:fldCharType="begin"/>
        </w:r>
        <w:r w:rsidRPr="00B36E70">
          <w:rPr>
            <w:noProof/>
            <w:webHidden/>
            <w:u w:val="none"/>
          </w:rPr>
          <w:instrText xml:space="preserve"> PAGEREF _Toc401641550 \h </w:instrText>
        </w:r>
        <w:r w:rsidRPr="00B36E70">
          <w:rPr>
            <w:noProof/>
            <w:webHidden/>
            <w:u w:val="none"/>
          </w:rPr>
        </w:r>
        <w:r w:rsidRPr="00B36E70">
          <w:rPr>
            <w:noProof/>
            <w:webHidden/>
            <w:u w:val="none"/>
          </w:rPr>
          <w:fldChar w:fldCharType="separate"/>
        </w:r>
        <w:r w:rsidRPr="00B36E70">
          <w:rPr>
            <w:noProof/>
            <w:webHidden/>
            <w:u w:val="none"/>
          </w:rPr>
          <w:t>5</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51" w:history="1">
        <w:r w:rsidRPr="00B36E70">
          <w:rPr>
            <w:rStyle w:val="Hyperlink"/>
            <w:noProof/>
            <w:u w:val="none"/>
          </w:rPr>
          <w:t>Regulatorische Veränderungen und Internationale Verfügbarkeit</w:t>
        </w:r>
        <w:r w:rsidRPr="00B36E70">
          <w:rPr>
            <w:noProof/>
            <w:webHidden/>
            <w:u w:val="none"/>
          </w:rPr>
          <w:tab/>
        </w:r>
        <w:r w:rsidRPr="00B36E70">
          <w:rPr>
            <w:noProof/>
            <w:webHidden/>
            <w:u w:val="none"/>
          </w:rPr>
          <w:fldChar w:fldCharType="begin"/>
        </w:r>
        <w:r w:rsidRPr="00B36E70">
          <w:rPr>
            <w:noProof/>
            <w:webHidden/>
            <w:u w:val="none"/>
          </w:rPr>
          <w:instrText xml:space="preserve"> PAGEREF _Toc401641551 \h </w:instrText>
        </w:r>
        <w:r w:rsidRPr="00B36E70">
          <w:rPr>
            <w:noProof/>
            <w:webHidden/>
            <w:u w:val="none"/>
          </w:rPr>
        </w:r>
        <w:r w:rsidRPr="00B36E70">
          <w:rPr>
            <w:noProof/>
            <w:webHidden/>
            <w:u w:val="none"/>
          </w:rPr>
          <w:fldChar w:fldCharType="separate"/>
        </w:r>
        <w:r w:rsidRPr="00B36E70">
          <w:rPr>
            <w:noProof/>
            <w:webHidden/>
            <w:u w:val="none"/>
          </w:rPr>
          <w:t>5</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52" w:history="1">
        <w:r w:rsidRPr="00B36E70">
          <w:rPr>
            <w:rStyle w:val="Hyperlink"/>
            <w:noProof/>
            <w:u w:val="none"/>
          </w:rPr>
          <w:t>Datenaufbewahrung</w:t>
        </w:r>
        <w:r w:rsidRPr="00B36E70">
          <w:rPr>
            <w:noProof/>
            <w:webHidden/>
            <w:u w:val="none"/>
          </w:rPr>
          <w:tab/>
        </w:r>
        <w:r w:rsidRPr="00B36E70">
          <w:rPr>
            <w:noProof/>
            <w:webHidden/>
            <w:u w:val="none"/>
          </w:rPr>
          <w:fldChar w:fldCharType="begin"/>
        </w:r>
        <w:r w:rsidRPr="00B36E70">
          <w:rPr>
            <w:noProof/>
            <w:webHidden/>
            <w:u w:val="none"/>
          </w:rPr>
          <w:instrText xml:space="preserve"> PAGEREF _Toc401641552 \h </w:instrText>
        </w:r>
        <w:r w:rsidRPr="00B36E70">
          <w:rPr>
            <w:noProof/>
            <w:webHidden/>
            <w:u w:val="none"/>
          </w:rPr>
        </w:r>
        <w:r w:rsidRPr="00B36E70">
          <w:rPr>
            <w:noProof/>
            <w:webHidden/>
            <w:u w:val="none"/>
          </w:rPr>
          <w:fldChar w:fldCharType="separate"/>
        </w:r>
        <w:r w:rsidRPr="00B36E70">
          <w:rPr>
            <w:noProof/>
            <w:webHidden/>
            <w:u w:val="none"/>
          </w:rPr>
          <w:t>5</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53" w:history="1">
        <w:r w:rsidRPr="00B36E70">
          <w:rPr>
            <w:rStyle w:val="Hyperlink"/>
            <w:noProof/>
            <w:u w:val="none"/>
          </w:rPr>
          <w:t>Verwendung von Software mit dem Onlinedienst</w:t>
        </w:r>
        <w:r w:rsidRPr="00B36E70">
          <w:rPr>
            <w:noProof/>
            <w:webHidden/>
            <w:u w:val="none"/>
          </w:rPr>
          <w:tab/>
        </w:r>
        <w:r w:rsidRPr="00B36E70">
          <w:rPr>
            <w:noProof/>
            <w:webHidden/>
            <w:u w:val="none"/>
          </w:rPr>
          <w:fldChar w:fldCharType="begin"/>
        </w:r>
        <w:r w:rsidRPr="00B36E70">
          <w:rPr>
            <w:noProof/>
            <w:webHidden/>
            <w:u w:val="none"/>
          </w:rPr>
          <w:instrText xml:space="preserve"> PAGEREF _Toc401641553 \h </w:instrText>
        </w:r>
        <w:r w:rsidRPr="00B36E70">
          <w:rPr>
            <w:noProof/>
            <w:webHidden/>
            <w:u w:val="none"/>
          </w:rPr>
        </w:r>
        <w:r w:rsidRPr="00B36E70">
          <w:rPr>
            <w:noProof/>
            <w:webHidden/>
            <w:u w:val="none"/>
          </w:rPr>
          <w:fldChar w:fldCharType="separate"/>
        </w:r>
        <w:r w:rsidRPr="00B36E70">
          <w:rPr>
            <w:noProof/>
            <w:webHidden/>
            <w:u w:val="none"/>
          </w:rPr>
          <w:t>6</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54" w:history="1">
        <w:r w:rsidRPr="00B36E70">
          <w:rPr>
            <w:rStyle w:val="Hyperlink"/>
            <w:noProof/>
            <w:u w:val="none"/>
          </w:rPr>
          <w:t>Nicht von Microsoft stammende Produkte</w:t>
        </w:r>
        <w:r w:rsidRPr="00B36E70">
          <w:rPr>
            <w:noProof/>
            <w:webHidden/>
            <w:u w:val="none"/>
          </w:rPr>
          <w:tab/>
        </w:r>
        <w:r w:rsidRPr="00B36E70">
          <w:rPr>
            <w:noProof/>
            <w:webHidden/>
            <w:u w:val="none"/>
          </w:rPr>
          <w:fldChar w:fldCharType="begin"/>
        </w:r>
        <w:r w:rsidRPr="00B36E70">
          <w:rPr>
            <w:noProof/>
            <w:webHidden/>
            <w:u w:val="none"/>
          </w:rPr>
          <w:instrText xml:space="preserve"> PAGEREF _Toc401641554 \h </w:instrText>
        </w:r>
        <w:r w:rsidRPr="00B36E70">
          <w:rPr>
            <w:noProof/>
            <w:webHidden/>
            <w:u w:val="none"/>
          </w:rPr>
        </w:r>
        <w:r w:rsidRPr="00B36E70">
          <w:rPr>
            <w:noProof/>
            <w:webHidden/>
            <w:u w:val="none"/>
          </w:rPr>
          <w:fldChar w:fldCharType="separate"/>
        </w:r>
        <w:r w:rsidRPr="00B36E70">
          <w:rPr>
            <w:noProof/>
            <w:webHidden/>
            <w:u w:val="none"/>
          </w:rPr>
          <w:t>6</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55" w:history="1">
        <w:r w:rsidRPr="00B36E70">
          <w:rPr>
            <w:rStyle w:val="Hyperlink"/>
            <w:noProof/>
            <w:u w:val="none"/>
          </w:rPr>
          <w:t>Richtlinie für zulässige Verwendung</w:t>
        </w:r>
        <w:r w:rsidRPr="00B36E70">
          <w:rPr>
            <w:noProof/>
            <w:webHidden/>
            <w:u w:val="none"/>
          </w:rPr>
          <w:tab/>
        </w:r>
        <w:r w:rsidRPr="00B36E70">
          <w:rPr>
            <w:noProof/>
            <w:webHidden/>
            <w:u w:val="none"/>
          </w:rPr>
          <w:fldChar w:fldCharType="begin"/>
        </w:r>
        <w:r w:rsidRPr="00B36E70">
          <w:rPr>
            <w:noProof/>
            <w:webHidden/>
            <w:u w:val="none"/>
          </w:rPr>
          <w:instrText xml:space="preserve"> PAGEREF _Toc401641555 \h </w:instrText>
        </w:r>
        <w:r w:rsidRPr="00B36E70">
          <w:rPr>
            <w:noProof/>
            <w:webHidden/>
            <w:u w:val="none"/>
          </w:rPr>
        </w:r>
        <w:r w:rsidRPr="00B36E70">
          <w:rPr>
            <w:noProof/>
            <w:webHidden/>
            <w:u w:val="none"/>
          </w:rPr>
          <w:fldChar w:fldCharType="separate"/>
        </w:r>
        <w:r w:rsidRPr="00B36E70">
          <w:rPr>
            <w:noProof/>
            <w:webHidden/>
            <w:u w:val="none"/>
          </w:rPr>
          <w:t>6</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56" w:history="1">
        <w:r w:rsidRPr="00B36E70">
          <w:rPr>
            <w:rStyle w:val="Hyperlink"/>
            <w:noProof/>
            <w:u w:val="none"/>
          </w:rPr>
          <w:t>Technische Beschränkungen</w:t>
        </w:r>
        <w:r w:rsidRPr="00B36E70">
          <w:rPr>
            <w:noProof/>
            <w:webHidden/>
            <w:u w:val="none"/>
          </w:rPr>
          <w:tab/>
        </w:r>
        <w:r w:rsidRPr="00B36E70">
          <w:rPr>
            <w:noProof/>
            <w:webHidden/>
            <w:u w:val="none"/>
          </w:rPr>
          <w:fldChar w:fldCharType="begin"/>
        </w:r>
        <w:r w:rsidRPr="00B36E70">
          <w:rPr>
            <w:noProof/>
            <w:webHidden/>
            <w:u w:val="none"/>
          </w:rPr>
          <w:instrText xml:space="preserve"> PAGEREF _Toc401641556 \h </w:instrText>
        </w:r>
        <w:r w:rsidRPr="00B36E70">
          <w:rPr>
            <w:noProof/>
            <w:webHidden/>
            <w:u w:val="none"/>
          </w:rPr>
        </w:r>
        <w:r w:rsidRPr="00B36E70">
          <w:rPr>
            <w:noProof/>
            <w:webHidden/>
            <w:u w:val="none"/>
          </w:rPr>
          <w:fldChar w:fldCharType="separate"/>
        </w:r>
        <w:r w:rsidRPr="00B36E70">
          <w:rPr>
            <w:noProof/>
            <w:webHidden/>
            <w:u w:val="none"/>
          </w:rPr>
          <w:t>6</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57" w:history="1">
        <w:r w:rsidRPr="00B36E70">
          <w:rPr>
            <w:rStyle w:val="Hyperlink"/>
            <w:noProof/>
            <w:u w:val="none"/>
          </w:rPr>
          <w:t>Einhaltung von gesetzlichen Regelungen</w:t>
        </w:r>
        <w:r w:rsidRPr="00B36E70">
          <w:rPr>
            <w:noProof/>
            <w:webHidden/>
            <w:u w:val="none"/>
          </w:rPr>
          <w:tab/>
        </w:r>
        <w:r w:rsidRPr="00B36E70">
          <w:rPr>
            <w:noProof/>
            <w:webHidden/>
            <w:u w:val="none"/>
          </w:rPr>
          <w:fldChar w:fldCharType="begin"/>
        </w:r>
        <w:r w:rsidRPr="00B36E70">
          <w:rPr>
            <w:noProof/>
            <w:webHidden/>
            <w:u w:val="none"/>
          </w:rPr>
          <w:instrText xml:space="preserve"> PAGEREF _Toc401641557 \h </w:instrText>
        </w:r>
        <w:r w:rsidRPr="00B36E70">
          <w:rPr>
            <w:noProof/>
            <w:webHidden/>
            <w:u w:val="none"/>
          </w:rPr>
        </w:r>
        <w:r w:rsidRPr="00B36E70">
          <w:rPr>
            <w:noProof/>
            <w:webHidden/>
            <w:u w:val="none"/>
          </w:rPr>
          <w:fldChar w:fldCharType="separate"/>
        </w:r>
        <w:r w:rsidRPr="00B36E70">
          <w:rPr>
            <w:noProof/>
            <w:webHidden/>
            <w:u w:val="none"/>
          </w:rPr>
          <w:t>7</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58" w:history="1">
        <w:r w:rsidRPr="00B36E70">
          <w:rPr>
            <w:rStyle w:val="Hyperlink"/>
            <w:noProof/>
            <w:u w:val="none"/>
          </w:rPr>
          <w:t>Kein Betriebsübergang</w:t>
        </w:r>
        <w:r w:rsidRPr="00B36E70">
          <w:rPr>
            <w:noProof/>
            <w:webHidden/>
            <w:u w:val="none"/>
          </w:rPr>
          <w:tab/>
        </w:r>
        <w:r w:rsidRPr="00B36E70">
          <w:rPr>
            <w:noProof/>
            <w:webHidden/>
            <w:u w:val="none"/>
          </w:rPr>
          <w:fldChar w:fldCharType="begin"/>
        </w:r>
        <w:r w:rsidRPr="00B36E70">
          <w:rPr>
            <w:noProof/>
            <w:webHidden/>
            <w:u w:val="none"/>
          </w:rPr>
          <w:instrText xml:space="preserve"> PAGEREF _Toc401641558 \h </w:instrText>
        </w:r>
        <w:r w:rsidRPr="00B36E70">
          <w:rPr>
            <w:noProof/>
            <w:webHidden/>
            <w:u w:val="none"/>
          </w:rPr>
        </w:r>
        <w:r w:rsidRPr="00B36E70">
          <w:rPr>
            <w:noProof/>
            <w:webHidden/>
            <w:u w:val="none"/>
          </w:rPr>
          <w:fldChar w:fldCharType="separate"/>
        </w:r>
        <w:r w:rsidRPr="00B36E70">
          <w:rPr>
            <w:noProof/>
            <w:webHidden/>
            <w:u w:val="none"/>
          </w:rPr>
          <w:t>7</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59" w:history="1">
        <w:r w:rsidRPr="00B36E70">
          <w:rPr>
            <w:rStyle w:val="Hyperlink"/>
            <w:noProof/>
            <w:u w:val="none"/>
          </w:rPr>
          <w:t>Elektronische Benachrichtigungen</w:t>
        </w:r>
        <w:r w:rsidRPr="00B36E70">
          <w:rPr>
            <w:noProof/>
            <w:webHidden/>
            <w:u w:val="none"/>
          </w:rPr>
          <w:tab/>
        </w:r>
        <w:r w:rsidRPr="00B36E70">
          <w:rPr>
            <w:noProof/>
            <w:webHidden/>
            <w:u w:val="none"/>
          </w:rPr>
          <w:fldChar w:fldCharType="begin"/>
        </w:r>
        <w:r w:rsidRPr="00B36E70">
          <w:rPr>
            <w:noProof/>
            <w:webHidden/>
            <w:u w:val="none"/>
          </w:rPr>
          <w:instrText xml:space="preserve"> PAGEREF _Toc401641559 \h </w:instrText>
        </w:r>
        <w:r w:rsidRPr="00B36E70">
          <w:rPr>
            <w:noProof/>
            <w:webHidden/>
            <w:u w:val="none"/>
          </w:rPr>
        </w:r>
        <w:r w:rsidRPr="00B36E70">
          <w:rPr>
            <w:noProof/>
            <w:webHidden/>
            <w:u w:val="none"/>
          </w:rPr>
          <w:fldChar w:fldCharType="separate"/>
        </w:r>
        <w:r w:rsidRPr="00B36E70">
          <w:rPr>
            <w:noProof/>
            <w:webHidden/>
            <w:u w:val="none"/>
          </w:rPr>
          <w:t>7</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60" w:history="1">
        <w:r w:rsidRPr="00B36E70">
          <w:rPr>
            <w:rStyle w:val="Hyperlink"/>
            <w:noProof/>
            <w:u w:val="none"/>
          </w:rPr>
          <w:t>Neuzuweisung von Lizenzen</w:t>
        </w:r>
        <w:r w:rsidRPr="00B36E70">
          <w:rPr>
            <w:noProof/>
            <w:webHidden/>
            <w:u w:val="none"/>
          </w:rPr>
          <w:tab/>
        </w:r>
        <w:r w:rsidRPr="00B36E70">
          <w:rPr>
            <w:noProof/>
            <w:webHidden/>
            <w:u w:val="none"/>
          </w:rPr>
          <w:fldChar w:fldCharType="begin"/>
        </w:r>
        <w:r w:rsidRPr="00B36E70">
          <w:rPr>
            <w:noProof/>
            <w:webHidden/>
            <w:u w:val="none"/>
          </w:rPr>
          <w:instrText xml:space="preserve"> PAGEREF _Toc401641560 \h </w:instrText>
        </w:r>
        <w:r w:rsidRPr="00B36E70">
          <w:rPr>
            <w:noProof/>
            <w:webHidden/>
            <w:u w:val="none"/>
          </w:rPr>
        </w:r>
        <w:r w:rsidRPr="00B36E70">
          <w:rPr>
            <w:noProof/>
            <w:webHidden/>
            <w:u w:val="none"/>
          </w:rPr>
          <w:fldChar w:fldCharType="separate"/>
        </w:r>
        <w:r w:rsidRPr="00B36E70">
          <w:rPr>
            <w:noProof/>
            <w:webHidden/>
            <w:u w:val="none"/>
          </w:rPr>
          <w:t>7</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61" w:history="1">
        <w:r w:rsidRPr="00B36E70">
          <w:rPr>
            <w:rStyle w:val="Hyperlink"/>
            <w:noProof/>
            <w:u w:val="none"/>
          </w:rPr>
          <w:t>Schriftartkomponenten</w:t>
        </w:r>
        <w:r w:rsidRPr="00B36E70">
          <w:rPr>
            <w:noProof/>
            <w:webHidden/>
            <w:u w:val="none"/>
          </w:rPr>
          <w:tab/>
        </w:r>
        <w:r w:rsidRPr="00B36E70">
          <w:rPr>
            <w:noProof/>
            <w:webHidden/>
            <w:u w:val="none"/>
          </w:rPr>
          <w:fldChar w:fldCharType="begin"/>
        </w:r>
        <w:r w:rsidRPr="00B36E70">
          <w:rPr>
            <w:noProof/>
            <w:webHidden/>
            <w:u w:val="none"/>
          </w:rPr>
          <w:instrText xml:space="preserve"> PAGEREF _Toc401641561 \h </w:instrText>
        </w:r>
        <w:r w:rsidRPr="00B36E70">
          <w:rPr>
            <w:noProof/>
            <w:webHidden/>
            <w:u w:val="none"/>
          </w:rPr>
        </w:r>
        <w:r w:rsidRPr="00B36E70">
          <w:rPr>
            <w:noProof/>
            <w:webHidden/>
            <w:u w:val="none"/>
          </w:rPr>
          <w:fldChar w:fldCharType="separate"/>
        </w:r>
        <w:r w:rsidRPr="00B36E70">
          <w:rPr>
            <w:noProof/>
            <w:webHidden/>
            <w:u w:val="none"/>
          </w:rPr>
          <w:t>7</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62" w:history="1">
        <w:r w:rsidRPr="00B36E70">
          <w:rPr>
            <w:rStyle w:val="Hyperlink"/>
            <w:noProof/>
            <w:u w:val="none"/>
          </w:rPr>
          <w:t>Multiplexing</w:t>
        </w:r>
        <w:r w:rsidRPr="00B36E70">
          <w:rPr>
            <w:noProof/>
            <w:webHidden/>
            <w:u w:val="none"/>
          </w:rPr>
          <w:tab/>
        </w:r>
        <w:r w:rsidRPr="00B36E70">
          <w:rPr>
            <w:noProof/>
            <w:webHidden/>
            <w:u w:val="none"/>
          </w:rPr>
          <w:fldChar w:fldCharType="begin"/>
        </w:r>
        <w:r w:rsidRPr="00B36E70">
          <w:rPr>
            <w:noProof/>
            <w:webHidden/>
            <w:u w:val="none"/>
          </w:rPr>
          <w:instrText xml:space="preserve"> PAGEREF _Toc401641562 \h </w:instrText>
        </w:r>
        <w:r w:rsidRPr="00B36E70">
          <w:rPr>
            <w:noProof/>
            <w:webHidden/>
            <w:u w:val="none"/>
          </w:rPr>
        </w:r>
        <w:r w:rsidRPr="00B36E70">
          <w:rPr>
            <w:noProof/>
            <w:webHidden/>
            <w:u w:val="none"/>
          </w:rPr>
          <w:fldChar w:fldCharType="separate"/>
        </w:r>
        <w:r w:rsidRPr="00B36E70">
          <w:rPr>
            <w:noProof/>
            <w:webHidden/>
            <w:u w:val="none"/>
          </w:rPr>
          <w:t>7</w:t>
        </w:r>
        <w:r w:rsidRPr="00B36E70">
          <w:rPr>
            <w:noProof/>
            <w:webHidden/>
            <w:u w:val="none"/>
          </w:rPr>
          <w:fldChar w:fldCharType="end"/>
        </w:r>
      </w:hyperlink>
    </w:p>
    <w:p w:rsidR="00B36E70" w:rsidRPr="00B36E70" w:rsidRDefault="00B36E70">
      <w:pPr>
        <w:pStyle w:val="TOC1"/>
        <w:tabs>
          <w:tab w:val="right" w:leader="dot" w:pos="5030"/>
        </w:tabs>
        <w:rPr>
          <w:rFonts w:asciiTheme="minorHAnsi" w:eastAsiaTheme="minorEastAsia" w:hAnsiTheme="minorHAnsi" w:cstheme="minorBidi"/>
          <w:b w:val="0"/>
          <w:caps w:val="0"/>
          <w:noProof/>
          <w:sz w:val="22"/>
          <w:lang w:val="en-US" w:eastAsia="en-US"/>
        </w:rPr>
      </w:pPr>
      <w:hyperlink w:anchor="_Toc401641563" w:history="1">
        <w:r w:rsidRPr="00B36E70">
          <w:rPr>
            <w:rStyle w:val="Hyperlink"/>
            <w:noProof/>
            <w:u w:val="none"/>
          </w:rPr>
          <w:t>Datenschutz- und Sicherheitsbestimmungen</w:t>
        </w:r>
        <w:r w:rsidRPr="00B36E70">
          <w:rPr>
            <w:noProof/>
            <w:webHidden/>
          </w:rPr>
          <w:tab/>
        </w:r>
        <w:r w:rsidRPr="00B36E70">
          <w:rPr>
            <w:noProof/>
            <w:webHidden/>
          </w:rPr>
          <w:fldChar w:fldCharType="begin"/>
        </w:r>
        <w:r w:rsidRPr="00B36E70">
          <w:rPr>
            <w:noProof/>
            <w:webHidden/>
          </w:rPr>
          <w:instrText xml:space="preserve"> PAGEREF _Toc401641563 \h </w:instrText>
        </w:r>
        <w:r w:rsidRPr="00B36E70">
          <w:rPr>
            <w:noProof/>
            <w:webHidden/>
          </w:rPr>
        </w:r>
        <w:r w:rsidRPr="00B36E70">
          <w:rPr>
            <w:noProof/>
            <w:webHidden/>
          </w:rPr>
          <w:fldChar w:fldCharType="separate"/>
        </w:r>
        <w:r w:rsidRPr="00B36E70">
          <w:rPr>
            <w:noProof/>
            <w:webHidden/>
          </w:rPr>
          <w:t>8</w:t>
        </w:r>
        <w:r w:rsidRPr="00B36E70">
          <w:rPr>
            <w:noProof/>
            <w:webHidden/>
          </w:rPr>
          <w:fldChar w:fldCharType="end"/>
        </w:r>
      </w:hyperlink>
    </w:p>
    <w:p w:rsidR="00B36E70" w:rsidRPr="00B36E70" w:rsidRDefault="00B36E70">
      <w:pPr>
        <w:pStyle w:val="TOC4"/>
        <w:rPr>
          <w:rFonts w:asciiTheme="minorHAnsi" w:eastAsiaTheme="minorEastAsia" w:hAnsiTheme="minorHAnsi" w:cstheme="minorBidi"/>
          <w:smallCaps w:val="0"/>
          <w:noProof/>
          <w:sz w:val="22"/>
          <w:lang w:val="en-US" w:eastAsia="en-US"/>
        </w:rPr>
      </w:pPr>
      <w:hyperlink w:anchor="_Toc401641564" w:history="1">
        <w:r w:rsidRPr="00B36E70">
          <w:rPr>
            <w:rStyle w:val="Hyperlink"/>
            <w:noProof/>
            <w:u w:val="none"/>
          </w:rPr>
          <w:t>Allgemeine Datenschutz- und Sicherheitsbestimmungen</w:t>
        </w:r>
        <w:r w:rsidRPr="00B36E70">
          <w:rPr>
            <w:noProof/>
            <w:webHidden/>
          </w:rPr>
          <w:tab/>
        </w:r>
        <w:r w:rsidRPr="00B36E70">
          <w:rPr>
            <w:noProof/>
            <w:webHidden/>
          </w:rPr>
          <w:fldChar w:fldCharType="begin"/>
        </w:r>
        <w:r w:rsidRPr="00B36E70">
          <w:rPr>
            <w:noProof/>
            <w:webHidden/>
          </w:rPr>
          <w:instrText xml:space="preserve"> PAGEREF _Toc401641564 \h </w:instrText>
        </w:r>
        <w:r w:rsidRPr="00B36E70">
          <w:rPr>
            <w:noProof/>
            <w:webHidden/>
          </w:rPr>
        </w:r>
        <w:r w:rsidRPr="00B36E70">
          <w:rPr>
            <w:noProof/>
            <w:webHidden/>
          </w:rPr>
          <w:fldChar w:fldCharType="separate"/>
        </w:r>
        <w:r w:rsidRPr="00B36E70">
          <w:rPr>
            <w:noProof/>
            <w:webHidden/>
          </w:rPr>
          <w:t>8</w:t>
        </w:r>
        <w:r w:rsidRPr="00B36E70">
          <w:rPr>
            <w:noProof/>
            <w:webHidden/>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65" w:history="1">
        <w:r w:rsidRPr="00B36E70">
          <w:rPr>
            <w:rStyle w:val="Hyperlink"/>
            <w:noProof/>
            <w:u w:val="none"/>
          </w:rPr>
          <w:t>Anwendungsbereich</w:t>
        </w:r>
        <w:r w:rsidRPr="00B36E70">
          <w:rPr>
            <w:noProof/>
            <w:webHidden/>
            <w:u w:val="none"/>
          </w:rPr>
          <w:tab/>
        </w:r>
        <w:r w:rsidRPr="00B36E70">
          <w:rPr>
            <w:noProof/>
            <w:webHidden/>
            <w:u w:val="none"/>
          </w:rPr>
          <w:fldChar w:fldCharType="begin"/>
        </w:r>
        <w:r w:rsidRPr="00B36E70">
          <w:rPr>
            <w:noProof/>
            <w:webHidden/>
            <w:u w:val="none"/>
          </w:rPr>
          <w:instrText xml:space="preserve"> PAGEREF _Toc401641565 \h </w:instrText>
        </w:r>
        <w:r w:rsidRPr="00B36E70">
          <w:rPr>
            <w:noProof/>
            <w:webHidden/>
            <w:u w:val="none"/>
          </w:rPr>
        </w:r>
        <w:r w:rsidRPr="00B36E70">
          <w:rPr>
            <w:noProof/>
            <w:webHidden/>
            <w:u w:val="none"/>
          </w:rPr>
          <w:fldChar w:fldCharType="separate"/>
        </w:r>
        <w:r w:rsidRPr="00B36E70">
          <w:rPr>
            <w:noProof/>
            <w:webHidden/>
            <w:u w:val="none"/>
          </w:rPr>
          <w:t>8</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66" w:history="1">
        <w:r w:rsidRPr="00B36E70">
          <w:rPr>
            <w:rStyle w:val="Hyperlink"/>
            <w:noProof/>
            <w:u w:val="none"/>
          </w:rPr>
          <w:t>Verwendung von Kundendaten</w:t>
        </w:r>
        <w:r w:rsidRPr="00B36E70">
          <w:rPr>
            <w:noProof/>
            <w:webHidden/>
            <w:u w:val="none"/>
          </w:rPr>
          <w:tab/>
        </w:r>
        <w:r w:rsidRPr="00B36E70">
          <w:rPr>
            <w:noProof/>
            <w:webHidden/>
            <w:u w:val="none"/>
          </w:rPr>
          <w:fldChar w:fldCharType="begin"/>
        </w:r>
        <w:r w:rsidRPr="00B36E70">
          <w:rPr>
            <w:noProof/>
            <w:webHidden/>
            <w:u w:val="none"/>
          </w:rPr>
          <w:instrText xml:space="preserve"> PAGEREF _Toc401641566 \h </w:instrText>
        </w:r>
        <w:r w:rsidRPr="00B36E70">
          <w:rPr>
            <w:noProof/>
            <w:webHidden/>
            <w:u w:val="none"/>
          </w:rPr>
        </w:r>
        <w:r w:rsidRPr="00B36E70">
          <w:rPr>
            <w:noProof/>
            <w:webHidden/>
            <w:u w:val="none"/>
          </w:rPr>
          <w:fldChar w:fldCharType="separate"/>
        </w:r>
        <w:r w:rsidRPr="00B36E70">
          <w:rPr>
            <w:noProof/>
            <w:webHidden/>
            <w:u w:val="none"/>
          </w:rPr>
          <w:t>8</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67" w:history="1">
        <w:r w:rsidRPr="00B36E70">
          <w:rPr>
            <w:rStyle w:val="Hyperlink"/>
            <w:noProof/>
            <w:u w:val="none"/>
          </w:rPr>
          <w:t>Offenlegung von Kundendaten</w:t>
        </w:r>
        <w:r w:rsidRPr="00B36E70">
          <w:rPr>
            <w:noProof/>
            <w:webHidden/>
            <w:u w:val="none"/>
          </w:rPr>
          <w:tab/>
        </w:r>
        <w:r w:rsidRPr="00B36E70">
          <w:rPr>
            <w:noProof/>
            <w:webHidden/>
            <w:u w:val="none"/>
          </w:rPr>
          <w:fldChar w:fldCharType="begin"/>
        </w:r>
        <w:r w:rsidRPr="00B36E70">
          <w:rPr>
            <w:noProof/>
            <w:webHidden/>
            <w:u w:val="none"/>
          </w:rPr>
          <w:instrText xml:space="preserve"> PAGEREF _Toc401641567 \h </w:instrText>
        </w:r>
        <w:r w:rsidRPr="00B36E70">
          <w:rPr>
            <w:noProof/>
            <w:webHidden/>
            <w:u w:val="none"/>
          </w:rPr>
        </w:r>
        <w:r w:rsidRPr="00B36E70">
          <w:rPr>
            <w:noProof/>
            <w:webHidden/>
            <w:u w:val="none"/>
          </w:rPr>
          <w:fldChar w:fldCharType="separate"/>
        </w:r>
        <w:r w:rsidRPr="00B36E70">
          <w:rPr>
            <w:noProof/>
            <w:webHidden/>
            <w:u w:val="none"/>
          </w:rPr>
          <w:t>8</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68" w:history="1">
        <w:r w:rsidRPr="00B36E70">
          <w:rPr>
            <w:rStyle w:val="Hyperlink"/>
            <w:noProof/>
            <w:u w:val="none"/>
          </w:rPr>
          <w:t>Bildungseinrichtungen</w:t>
        </w:r>
        <w:r w:rsidRPr="00B36E70">
          <w:rPr>
            <w:noProof/>
            <w:webHidden/>
            <w:u w:val="none"/>
          </w:rPr>
          <w:tab/>
        </w:r>
        <w:r w:rsidRPr="00B36E70">
          <w:rPr>
            <w:noProof/>
            <w:webHidden/>
            <w:u w:val="none"/>
          </w:rPr>
          <w:fldChar w:fldCharType="begin"/>
        </w:r>
        <w:r w:rsidRPr="00B36E70">
          <w:rPr>
            <w:noProof/>
            <w:webHidden/>
            <w:u w:val="none"/>
          </w:rPr>
          <w:instrText xml:space="preserve"> PAGEREF _Toc401641568 \h </w:instrText>
        </w:r>
        <w:r w:rsidRPr="00B36E70">
          <w:rPr>
            <w:noProof/>
            <w:webHidden/>
            <w:u w:val="none"/>
          </w:rPr>
        </w:r>
        <w:r w:rsidRPr="00B36E70">
          <w:rPr>
            <w:noProof/>
            <w:webHidden/>
            <w:u w:val="none"/>
          </w:rPr>
          <w:fldChar w:fldCharType="separate"/>
        </w:r>
        <w:r w:rsidRPr="00B36E70">
          <w:rPr>
            <w:noProof/>
            <w:webHidden/>
            <w:u w:val="none"/>
          </w:rPr>
          <w:t>8</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69" w:history="1">
        <w:r w:rsidRPr="00B36E70">
          <w:rPr>
            <w:rStyle w:val="Hyperlink"/>
            <w:noProof/>
            <w:u w:val="none"/>
          </w:rPr>
          <w:t>Sicherheit</w:t>
        </w:r>
        <w:r w:rsidRPr="00B36E70">
          <w:rPr>
            <w:noProof/>
            <w:webHidden/>
            <w:u w:val="none"/>
          </w:rPr>
          <w:tab/>
        </w:r>
        <w:r w:rsidRPr="00B36E70">
          <w:rPr>
            <w:noProof/>
            <w:webHidden/>
            <w:u w:val="none"/>
          </w:rPr>
          <w:fldChar w:fldCharType="begin"/>
        </w:r>
        <w:r w:rsidRPr="00B36E70">
          <w:rPr>
            <w:noProof/>
            <w:webHidden/>
            <w:u w:val="none"/>
          </w:rPr>
          <w:instrText xml:space="preserve"> PAGEREF _Toc401641569 \h </w:instrText>
        </w:r>
        <w:r w:rsidRPr="00B36E70">
          <w:rPr>
            <w:noProof/>
            <w:webHidden/>
            <w:u w:val="none"/>
          </w:rPr>
        </w:r>
        <w:r w:rsidRPr="00B36E70">
          <w:rPr>
            <w:noProof/>
            <w:webHidden/>
            <w:u w:val="none"/>
          </w:rPr>
          <w:fldChar w:fldCharType="separate"/>
        </w:r>
        <w:r w:rsidRPr="00B36E70">
          <w:rPr>
            <w:noProof/>
            <w:webHidden/>
            <w:u w:val="none"/>
          </w:rPr>
          <w:t>9</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70" w:history="1">
        <w:r w:rsidRPr="00B36E70">
          <w:rPr>
            <w:rStyle w:val="Hyperlink"/>
            <w:noProof/>
            <w:u w:val="none"/>
          </w:rPr>
          <w:t>Meldung von Sicherheitsvorfällen</w:t>
        </w:r>
        <w:r w:rsidRPr="00B36E70">
          <w:rPr>
            <w:noProof/>
            <w:webHidden/>
            <w:u w:val="none"/>
          </w:rPr>
          <w:tab/>
        </w:r>
        <w:r w:rsidRPr="00B36E70">
          <w:rPr>
            <w:noProof/>
            <w:webHidden/>
            <w:u w:val="none"/>
          </w:rPr>
          <w:fldChar w:fldCharType="begin"/>
        </w:r>
        <w:r w:rsidRPr="00B36E70">
          <w:rPr>
            <w:noProof/>
            <w:webHidden/>
            <w:u w:val="none"/>
          </w:rPr>
          <w:instrText xml:space="preserve"> PAGEREF _Toc401641570 \h </w:instrText>
        </w:r>
        <w:r w:rsidRPr="00B36E70">
          <w:rPr>
            <w:noProof/>
            <w:webHidden/>
            <w:u w:val="none"/>
          </w:rPr>
        </w:r>
        <w:r w:rsidRPr="00B36E70">
          <w:rPr>
            <w:noProof/>
            <w:webHidden/>
            <w:u w:val="none"/>
          </w:rPr>
          <w:fldChar w:fldCharType="separate"/>
        </w:r>
        <w:r w:rsidRPr="00B36E70">
          <w:rPr>
            <w:noProof/>
            <w:webHidden/>
            <w:u w:val="none"/>
          </w:rPr>
          <w:t>9</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71" w:history="1">
        <w:r w:rsidRPr="00B36E70">
          <w:rPr>
            <w:rStyle w:val="Hyperlink"/>
            <w:noProof/>
            <w:u w:val="none"/>
          </w:rPr>
          <w:t>Ort der Datenverarbeitung</w:t>
        </w:r>
        <w:r w:rsidRPr="00B36E70">
          <w:rPr>
            <w:noProof/>
            <w:webHidden/>
            <w:u w:val="none"/>
          </w:rPr>
          <w:tab/>
        </w:r>
        <w:r w:rsidRPr="00B36E70">
          <w:rPr>
            <w:noProof/>
            <w:webHidden/>
            <w:u w:val="none"/>
          </w:rPr>
          <w:fldChar w:fldCharType="begin"/>
        </w:r>
        <w:r w:rsidRPr="00B36E70">
          <w:rPr>
            <w:noProof/>
            <w:webHidden/>
            <w:u w:val="none"/>
          </w:rPr>
          <w:instrText xml:space="preserve"> PAGEREF _Toc401641571 \h </w:instrText>
        </w:r>
        <w:r w:rsidRPr="00B36E70">
          <w:rPr>
            <w:noProof/>
            <w:webHidden/>
            <w:u w:val="none"/>
          </w:rPr>
        </w:r>
        <w:r w:rsidRPr="00B36E70">
          <w:rPr>
            <w:noProof/>
            <w:webHidden/>
            <w:u w:val="none"/>
          </w:rPr>
          <w:fldChar w:fldCharType="separate"/>
        </w:r>
        <w:r w:rsidRPr="00B36E70">
          <w:rPr>
            <w:noProof/>
            <w:webHidden/>
            <w:u w:val="none"/>
          </w:rPr>
          <w:t>9</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72" w:history="1">
        <w:r w:rsidRPr="00B36E70">
          <w:rPr>
            <w:rStyle w:val="Hyperlink"/>
            <w:noProof/>
            <w:u w:val="none"/>
          </w:rPr>
          <w:t>Vorschauversionen</w:t>
        </w:r>
        <w:r w:rsidRPr="00B36E70">
          <w:rPr>
            <w:noProof/>
            <w:webHidden/>
            <w:u w:val="none"/>
          </w:rPr>
          <w:tab/>
        </w:r>
        <w:r w:rsidRPr="00B36E70">
          <w:rPr>
            <w:noProof/>
            <w:webHidden/>
            <w:u w:val="none"/>
          </w:rPr>
          <w:fldChar w:fldCharType="begin"/>
        </w:r>
        <w:r w:rsidRPr="00B36E70">
          <w:rPr>
            <w:noProof/>
            <w:webHidden/>
            <w:u w:val="none"/>
          </w:rPr>
          <w:instrText xml:space="preserve"> PAGEREF _Toc401641572 \h </w:instrText>
        </w:r>
        <w:r w:rsidRPr="00B36E70">
          <w:rPr>
            <w:noProof/>
            <w:webHidden/>
            <w:u w:val="none"/>
          </w:rPr>
        </w:r>
        <w:r w:rsidRPr="00B36E70">
          <w:rPr>
            <w:noProof/>
            <w:webHidden/>
            <w:u w:val="none"/>
          </w:rPr>
          <w:fldChar w:fldCharType="separate"/>
        </w:r>
        <w:r w:rsidRPr="00B36E70">
          <w:rPr>
            <w:noProof/>
            <w:webHidden/>
            <w:u w:val="none"/>
          </w:rPr>
          <w:t>9</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73" w:history="1">
        <w:r w:rsidRPr="00B36E70">
          <w:rPr>
            <w:rStyle w:val="Hyperlink"/>
            <w:noProof/>
            <w:u w:val="none"/>
          </w:rPr>
          <w:t>Einsatz von Vertragspartnern</w:t>
        </w:r>
        <w:r w:rsidRPr="00B36E70">
          <w:rPr>
            <w:noProof/>
            <w:webHidden/>
            <w:u w:val="none"/>
          </w:rPr>
          <w:tab/>
        </w:r>
        <w:r w:rsidRPr="00B36E70">
          <w:rPr>
            <w:noProof/>
            <w:webHidden/>
            <w:u w:val="none"/>
          </w:rPr>
          <w:fldChar w:fldCharType="begin"/>
        </w:r>
        <w:r w:rsidRPr="00B36E70">
          <w:rPr>
            <w:noProof/>
            <w:webHidden/>
            <w:u w:val="none"/>
          </w:rPr>
          <w:instrText xml:space="preserve"> PAGEREF _Toc401641573 \h </w:instrText>
        </w:r>
        <w:r w:rsidRPr="00B36E70">
          <w:rPr>
            <w:noProof/>
            <w:webHidden/>
            <w:u w:val="none"/>
          </w:rPr>
        </w:r>
        <w:r w:rsidRPr="00B36E70">
          <w:rPr>
            <w:noProof/>
            <w:webHidden/>
            <w:u w:val="none"/>
          </w:rPr>
          <w:fldChar w:fldCharType="separate"/>
        </w:r>
        <w:r w:rsidRPr="00B36E70">
          <w:rPr>
            <w:noProof/>
            <w:webHidden/>
            <w:u w:val="none"/>
          </w:rPr>
          <w:t>9</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74" w:history="1">
        <w:r w:rsidRPr="00B36E70">
          <w:rPr>
            <w:rStyle w:val="Hyperlink"/>
            <w:noProof/>
            <w:u w:val="none"/>
          </w:rPr>
          <w:t>So kontaktieren Sie Microsoft</w:t>
        </w:r>
        <w:r w:rsidRPr="00B36E70">
          <w:rPr>
            <w:noProof/>
            <w:webHidden/>
            <w:u w:val="none"/>
          </w:rPr>
          <w:tab/>
        </w:r>
        <w:r w:rsidRPr="00B36E70">
          <w:rPr>
            <w:noProof/>
            <w:webHidden/>
            <w:u w:val="none"/>
          </w:rPr>
          <w:fldChar w:fldCharType="begin"/>
        </w:r>
        <w:r w:rsidRPr="00B36E70">
          <w:rPr>
            <w:noProof/>
            <w:webHidden/>
            <w:u w:val="none"/>
          </w:rPr>
          <w:instrText xml:space="preserve"> PAGEREF _Toc401641574 \h </w:instrText>
        </w:r>
        <w:r w:rsidRPr="00B36E70">
          <w:rPr>
            <w:noProof/>
            <w:webHidden/>
            <w:u w:val="none"/>
          </w:rPr>
        </w:r>
        <w:r w:rsidRPr="00B36E70">
          <w:rPr>
            <w:noProof/>
            <w:webHidden/>
            <w:u w:val="none"/>
          </w:rPr>
          <w:fldChar w:fldCharType="separate"/>
        </w:r>
        <w:r w:rsidRPr="00B36E70">
          <w:rPr>
            <w:noProof/>
            <w:webHidden/>
            <w:u w:val="none"/>
          </w:rPr>
          <w:t>9</w:t>
        </w:r>
        <w:r w:rsidRPr="00B36E70">
          <w:rPr>
            <w:noProof/>
            <w:webHidden/>
            <w:u w:val="none"/>
          </w:rPr>
          <w:fldChar w:fldCharType="end"/>
        </w:r>
      </w:hyperlink>
    </w:p>
    <w:p w:rsidR="00B36E70" w:rsidRPr="00B36E70" w:rsidRDefault="00B36E70">
      <w:pPr>
        <w:pStyle w:val="TOC4"/>
        <w:rPr>
          <w:rFonts w:asciiTheme="minorHAnsi" w:eastAsiaTheme="minorEastAsia" w:hAnsiTheme="minorHAnsi" w:cstheme="minorBidi"/>
          <w:smallCaps w:val="0"/>
          <w:noProof/>
          <w:sz w:val="22"/>
          <w:lang w:val="en-US" w:eastAsia="en-US"/>
        </w:rPr>
      </w:pPr>
      <w:hyperlink w:anchor="_Toc401641575" w:history="1">
        <w:r w:rsidRPr="00B36E70">
          <w:rPr>
            <w:rStyle w:val="Hyperlink"/>
            <w:noProof/>
            <w:u w:val="none"/>
          </w:rPr>
          <w:t>Bestimmungen für die Datenverarbeitung</w:t>
        </w:r>
        <w:r w:rsidRPr="00B36E70">
          <w:rPr>
            <w:noProof/>
            <w:webHidden/>
          </w:rPr>
          <w:tab/>
        </w:r>
        <w:r w:rsidRPr="00B36E70">
          <w:rPr>
            <w:noProof/>
            <w:webHidden/>
          </w:rPr>
          <w:fldChar w:fldCharType="begin"/>
        </w:r>
        <w:r w:rsidRPr="00B36E70">
          <w:rPr>
            <w:noProof/>
            <w:webHidden/>
          </w:rPr>
          <w:instrText xml:space="preserve"> PAGEREF _Toc401641575 \h </w:instrText>
        </w:r>
        <w:r w:rsidRPr="00B36E70">
          <w:rPr>
            <w:noProof/>
            <w:webHidden/>
          </w:rPr>
        </w:r>
        <w:r w:rsidRPr="00B36E70">
          <w:rPr>
            <w:noProof/>
            <w:webHidden/>
          </w:rPr>
          <w:fldChar w:fldCharType="separate"/>
        </w:r>
        <w:r w:rsidRPr="00B36E70">
          <w:rPr>
            <w:noProof/>
            <w:webHidden/>
          </w:rPr>
          <w:t>10</w:t>
        </w:r>
        <w:r w:rsidRPr="00B36E70">
          <w:rPr>
            <w:noProof/>
            <w:webHidden/>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76" w:history="1">
        <w:r w:rsidRPr="00B36E70">
          <w:rPr>
            <w:rStyle w:val="Hyperlink"/>
            <w:noProof/>
            <w:u w:val="none"/>
          </w:rPr>
          <w:t>Speicherorte von Kundendaten-at-rest</w:t>
        </w:r>
        <w:r w:rsidRPr="00B36E70">
          <w:rPr>
            <w:noProof/>
            <w:webHidden/>
            <w:u w:val="none"/>
          </w:rPr>
          <w:tab/>
        </w:r>
        <w:r w:rsidRPr="00B36E70">
          <w:rPr>
            <w:noProof/>
            <w:webHidden/>
            <w:u w:val="none"/>
          </w:rPr>
          <w:fldChar w:fldCharType="begin"/>
        </w:r>
        <w:r w:rsidRPr="00B36E70">
          <w:rPr>
            <w:noProof/>
            <w:webHidden/>
            <w:u w:val="none"/>
          </w:rPr>
          <w:instrText xml:space="preserve"> PAGEREF _Toc401641576 \h </w:instrText>
        </w:r>
        <w:r w:rsidRPr="00B36E70">
          <w:rPr>
            <w:noProof/>
            <w:webHidden/>
            <w:u w:val="none"/>
          </w:rPr>
        </w:r>
        <w:r w:rsidRPr="00B36E70">
          <w:rPr>
            <w:noProof/>
            <w:webHidden/>
            <w:u w:val="none"/>
          </w:rPr>
          <w:fldChar w:fldCharType="separate"/>
        </w:r>
        <w:r w:rsidRPr="00B36E70">
          <w:rPr>
            <w:noProof/>
            <w:webHidden/>
            <w:u w:val="none"/>
          </w:rPr>
          <w:t>11</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77" w:history="1">
        <w:r w:rsidRPr="00B36E70">
          <w:rPr>
            <w:rStyle w:val="Hyperlink"/>
            <w:noProof/>
            <w:u w:val="none"/>
          </w:rPr>
          <w:t>Datenschutz</w:t>
        </w:r>
        <w:r w:rsidRPr="00B36E70">
          <w:rPr>
            <w:noProof/>
            <w:webHidden/>
            <w:u w:val="none"/>
          </w:rPr>
          <w:tab/>
        </w:r>
        <w:r w:rsidRPr="00B36E70">
          <w:rPr>
            <w:noProof/>
            <w:webHidden/>
            <w:u w:val="none"/>
          </w:rPr>
          <w:fldChar w:fldCharType="begin"/>
        </w:r>
        <w:r w:rsidRPr="00B36E70">
          <w:rPr>
            <w:noProof/>
            <w:webHidden/>
            <w:u w:val="none"/>
          </w:rPr>
          <w:instrText xml:space="preserve"> PAGEREF _Toc401641577 \h </w:instrText>
        </w:r>
        <w:r w:rsidRPr="00B36E70">
          <w:rPr>
            <w:noProof/>
            <w:webHidden/>
            <w:u w:val="none"/>
          </w:rPr>
        </w:r>
        <w:r w:rsidRPr="00B36E70">
          <w:rPr>
            <w:noProof/>
            <w:webHidden/>
            <w:u w:val="none"/>
          </w:rPr>
          <w:fldChar w:fldCharType="separate"/>
        </w:r>
        <w:r w:rsidRPr="00B36E70">
          <w:rPr>
            <w:noProof/>
            <w:webHidden/>
            <w:u w:val="none"/>
          </w:rPr>
          <w:t>11</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78" w:history="1">
        <w:r w:rsidRPr="00B36E70">
          <w:rPr>
            <w:rStyle w:val="Hyperlink"/>
            <w:noProof/>
            <w:u w:val="none"/>
          </w:rPr>
          <w:t>Zusätzliche Bestimmungen für Europa</w:t>
        </w:r>
        <w:r w:rsidRPr="00B36E70">
          <w:rPr>
            <w:noProof/>
            <w:webHidden/>
            <w:u w:val="none"/>
          </w:rPr>
          <w:tab/>
        </w:r>
        <w:r w:rsidRPr="00B36E70">
          <w:rPr>
            <w:noProof/>
            <w:webHidden/>
            <w:u w:val="none"/>
          </w:rPr>
          <w:fldChar w:fldCharType="begin"/>
        </w:r>
        <w:r w:rsidRPr="00B36E70">
          <w:rPr>
            <w:noProof/>
            <w:webHidden/>
            <w:u w:val="none"/>
          </w:rPr>
          <w:instrText xml:space="preserve"> PAGEREF _Toc401641578 \h </w:instrText>
        </w:r>
        <w:r w:rsidRPr="00B36E70">
          <w:rPr>
            <w:noProof/>
            <w:webHidden/>
            <w:u w:val="none"/>
          </w:rPr>
        </w:r>
        <w:r w:rsidRPr="00B36E70">
          <w:rPr>
            <w:noProof/>
            <w:webHidden/>
            <w:u w:val="none"/>
          </w:rPr>
          <w:fldChar w:fldCharType="separate"/>
        </w:r>
        <w:r w:rsidRPr="00B36E70">
          <w:rPr>
            <w:noProof/>
            <w:webHidden/>
            <w:u w:val="none"/>
          </w:rPr>
          <w:t>11</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79" w:history="1">
        <w:r w:rsidRPr="00B36E70">
          <w:rPr>
            <w:rStyle w:val="Hyperlink"/>
            <w:noProof/>
            <w:u w:val="none"/>
          </w:rPr>
          <w:t>Sicherheit</w:t>
        </w:r>
        <w:r w:rsidRPr="00B36E70">
          <w:rPr>
            <w:noProof/>
            <w:webHidden/>
            <w:u w:val="none"/>
          </w:rPr>
          <w:tab/>
        </w:r>
        <w:r w:rsidRPr="00B36E70">
          <w:rPr>
            <w:noProof/>
            <w:webHidden/>
            <w:u w:val="none"/>
          </w:rPr>
          <w:fldChar w:fldCharType="begin"/>
        </w:r>
        <w:r w:rsidRPr="00B36E70">
          <w:rPr>
            <w:noProof/>
            <w:webHidden/>
            <w:u w:val="none"/>
          </w:rPr>
          <w:instrText xml:space="preserve"> PAGEREF _Toc401641579 \h </w:instrText>
        </w:r>
        <w:r w:rsidRPr="00B36E70">
          <w:rPr>
            <w:noProof/>
            <w:webHidden/>
            <w:u w:val="none"/>
          </w:rPr>
        </w:r>
        <w:r w:rsidRPr="00B36E70">
          <w:rPr>
            <w:noProof/>
            <w:webHidden/>
            <w:u w:val="none"/>
          </w:rPr>
          <w:fldChar w:fldCharType="separate"/>
        </w:r>
        <w:r w:rsidRPr="00B36E70">
          <w:rPr>
            <w:noProof/>
            <w:webHidden/>
            <w:u w:val="none"/>
          </w:rPr>
          <w:t>12</w:t>
        </w:r>
        <w:r w:rsidRPr="00B36E70">
          <w:rPr>
            <w:noProof/>
            <w:webHidden/>
            <w:u w:val="none"/>
          </w:rPr>
          <w:fldChar w:fldCharType="end"/>
        </w:r>
      </w:hyperlink>
    </w:p>
    <w:p w:rsidR="00B36E70" w:rsidRPr="00B36E70" w:rsidRDefault="00B36E70">
      <w:pPr>
        <w:pStyle w:val="TOC5"/>
        <w:rPr>
          <w:rFonts w:asciiTheme="minorHAnsi" w:eastAsiaTheme="minorEastAsia" w:hAnsiTheme="minorHAnsi" w:cstheme="minorBidi"/>
          <w:noProof/>
          <w:sz w:val="22"/>
          <w:u w:val="none"/>
          <w:lang w:val="en-US" w:eastAsia="en-US"/>
        </w:rPr>
      </w:pPr>
      <w:hyperlink w:anchor="_Toc401641580" w:history="1">
        <w:r w:rsidRPr="00B36E70">
          <w:rPr>
            <w:rStyle w:val="Hyperlink"/>
            <w:noProof/>
            <w:u w:val="none"/>
          </w:rPr>
          <w:t>Zertifizierungen und Überprüfungen</w:t>
        </w:r>
        <w:r w:rsidRPr="00B36E70">
          <w:rPr>
            <w:noProof/>
            <w:webHidden/>
            <w:u w:val="none"/>
          </w:rPr>
          <w:tab/>
        </w:r>
        <w:r w:rsidRPr="00B36E70">
          <w:rPr>
            <w:noProof/>
            <w:webHidden/>
            <w:u w:val="none"/>
          </w:rPr>
          <w:fldChar w:fldCharType="begin"/>
        </w:r>
        <w:r w:rsidRPr="00B36E70">
          <w:rPr>
            <w:noProof/>
            <w:webHidden/>
            <w:u w:val="none"/>
          </w:rPr>
          <w:instrText xml:space="preserve"> PAGEREF _Toc401641580 \h </w:instrText>
        </w:r>
        <w:r w:rsidRPr="00B36E70">
          <w:rPr>
            <w:noProof/>
            <w:webHidden/>
            <w:u w:val="none"/>
          </w:rPr>
        </w:r>
        <w:r w:rsidRPr="00B36E70">
          <w:rPr>
            <w:noProof/>
            <w:webHidden/>
            <w:u w:val="none"/>
          </w:rPr>
          <w:fldChar w:fldCharType="separate"/>
        </w:r>
        <w:r w:rsidRPr="00B36E70">
          <w:rPr>
            <w:noProof/>
            <w:webHidden/>
            <w:u w:val="none"/>
          </w:rPr>
          <w:t>14</w:t>
        </w:r>
        <w:r w:rsidRPr="00B36E70">
          <w:rPr>
            <w:noProof/>
            <w:webHidden/>
            <w:u w:val="none"/>
          </w:rPr>
          <w:fldChar w:fldCharType="end"/>
        </w:r>
      </w:hyperlink>
    </w:p>
    <w:p w:rsidR="00B36E70" w:rsidRDefault="00B36E70">
      <w:pPr>
        <w:pStyle w:val="TOC1"/>
        <w:tabs>
          <w:tab w:val="right" w:leader="dot" w:pos="5030"/>
        </w:tabs>
        <w:rPr>
          <w:rFonts w:asciiTheme="minorHAnsi" w:eastAsiaTheme="minorEastAsia" w:hAnsiTheme="minorHAnsi" w:cstheme="minorBidi"/>
          <w:b w:val="0"/>
          <w:caps w:val="0"/>
          <w:noProof/>
          <w:sz w:val="22"/>
          <w:lang w:val="en-US" w:eastAsia="en-US"/>
        </w:rPr>
      </w:pPr>
      <w:hyperlink w:anchor="_Toc401641581" w:history="1">
        <w:r w:rsidRPr="00E82A05">
          <w:rPr>
            <w:rStyle w:val="Hyperlink"/>
            <w:noProof/>
          </w:rPr>
          <w:t>Spezifische Bestimmungen für Onlinedienste</w:t>
        </w:r>
        <w:r>
          <w:rPr>
            <w:noProof/>
            <w:webHidden/>
          </w:rPr>
          <w:tab/>
        </w:r>
        <w:r>
          <w:rPr>
            <w:noProof/>
            <w:webHidden/>
          </w:rPr>
          <w:fldChar w:fldCharType="begin"/>
        </w:r>
        <w:r>
          <w:rPr>
            <w:noProof/>
            <w:webHidden/>
          </w:rPr>
          <w:instrText xml:space="preserve"> PAGEREF _Toc401641581 \h </w:instrText>
        </w:r>
        <w:r>
          <w:rPr>
            <w:noProof/>
            <w:webHidden/>
          </w:rPr>
        </w:r>
        <w:r>
          <w:rPr>
            <w:noProof/>
            <w:webHidden/>
          </w:rPr>
          <w:fldChar w:fldCharType="separate"/>
        </w:r>
        <w:r>
          <w:rPr>
            <w:noProof/>
            <w:webHidden/>
          </w:rPr>
          <w:t>15</w:t>
        </w:r>
        <w:r>
          <w:rPr>
            <w:noProof/>
            <w:webHidden/>
          </w:rPr>
          <w:fldChar w:fldCharType="end"/>
        </w:r>
      </w:hyperlink>
    </w:p>
    <w:p w:rsidR="00B36E70" w:rsidRDefault="00B36E70">
      <w:pPr>
        <w:pStyle w:val="TOC3"/>
        <w:rPr>
          <w:rFonts w:asciiTheme="minorHAnsi" w:eastAsiaTheme="minorEastAsia" w:hAnsiTheme="minorHAnsi" w:cstheme="minorBidi"/>
          <w:smallCaps w:val="0"/>
          <w:noProof/>
          <w:sz w:val="22"/>
          <w:lang w:val="en-US" w:eastAsia="en-US"/>
        </w:rPr>
      </w:pPr>
      <w:hyperlink w:anchor="_Toc401641582" w:history="1">
        <w:r w:rsidRPr="00E82A05">
          <w:rPr>
            <w:rStyle w:val="Hyperlink"/>
            <w:noProof/>
          </w:rPr>
          <w:t>Microsoft Azure-Dienste</w:t>
        </w:r>
        <w:r>
          <w:rPr>
            <w:noProof/>
            <w:webHidden/>
          </w:rPr>
          <w:tab/>
        </w:r>
        <w:r>
          <w:rPr>
            <w:noProof/>
            <w:webHidden/>
          </w:rPr>
          <w:fldChar w:fldCharType="begin"/>
        </w:r>
        <w:r>
          <w:rPr>
            <w:noProof/>
            <w:webHidden/>
          </w:rPr>
          <w:instrText xml:space="preserve"> PAGEREF _Toc401641582 \h </w:instrText>
        </w:r>
        <w:r>
          <w:rPr>
            <w:noProof/>
            <w:webHidden/>
          </w:rPr>
        </w:r>
        <w:r>
          <w:rPr>
            <w:noProof/>
            <w:webHidden/>
          </w:rPr>
          <w:fldChar w:fldCharType="separate"/>
        </w:r>
        <w:r>
          <w:rPr>
            <w:noProof/>
            <w:webHidden/>
          </w:rPr>
          <w:t>15</w:t>
        </w:r>
        <w:r>
          <w:rPr>
            <w:noProof/>
            <w:webHidden/>
          </w:rPr>
          <w:fldChar w:fldCharType="end"/>
        </w:r>
      </w:hyperlink>
    </w:p>
    <w:p w:rsidR="00B36E70" w:rsidRDefault="00B36E70">
      <w:pPr>
        <w:pStyle w:val="TOC2"/>
        <w:rPr>
          <w:rFonts w:asciiTheme="minorHAnsi" w:eastAsiaTheme="minorEastAsia" w:hAnsiTheme="minorHAnsi" w:cstheme="minorBidi"/>
          <w:smallCaps w:val="0"/>
          <w:noProof/>
          <w:sz w:val="22"/>
          <w:lang w:val="en-US" w:eastAsia="en-US"/>
        </w:rPr>
      </w:pPr>
      <w:hyperlink w:anchor="_Toc401641583" w:history="1">
        <w:r w:rsidRPr="00E82A05">
          <w:rPr>
            <w:rStyle w:val="Hyperlink"/>
            <w:noProof/>
          </w:rPr>
          <w:t>Enterprise Mobility-Dienste</w:t>
        </w:r>
        <w:r>
          <w:rPr>
            <w:noProof/>
            <w:webHidden/>
          </w:rPr>
          <w:tab/>
        </w:r>
        <w:r>
          <w:rPr>
            <w:noProof/>
            <w:webHidden/>
          </w:rPr>
          <w:fldChar w:fldCharType="begin"/>
        </w:r>
        <w:r>
          <w:rPr>
            <w:noProof/>
            <w:webHidden/>
          </w:rPr>
          <w:instrText xml:space="preserve"> PAGEREF _Toc401641583 \h </w:instrText>
        </w:r>
        <w:r>
          <w:rPr>
            <w:noProof/>
            <w:webHidden/>
          </w:rPr>
        </w:r>
        <w:r>
          <w:rPr>
            <w:noProof/>
            <w:webHidden/>
          </w:rPr>
          <w:fldChar w:fldCharType="separate"/>
        </w:r>
        <w:r>
          <w:rPr>
            <w:noProof/>
            <w:webHidden/>
          </w:rPr>
          <w:t>16</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584" w:history="1">
        <w:r w:rsidRPr="00E82A05">
          <w:rPr>
            <w:rStyle w:val="Hyperlink"/>
            <w:noProof/>
          </w:rPr>
          <w:t>Azure Active Directory Basic</w:t>
        </w:r>
        <w:r>
          <w:rPr>
            <w:noProof/>
            <w:webHidden/>
          </w:rPr>
          <w:tab/>
        </w:r>
        <w:r>
          <w:rPr>
            <w:noProof/>
            <w:webHidden/>
          </w:rPr>
          <w:fldChar w:fldCharType="begin"/>
        </w:r>
        <w:r>
          <w:rPr>
            <w:noProof/>
            <w:webHidden/>
          </w:rPr>
          <w:instrText xml:space="preserve"> PAGEREF _Toc401641584 \h </w:instrText>
        </w:r>
        <w:r>
          <w:rPr>
            <w:noProof/>
            <w:webHidden/>
          </w:rPr>
        </w:r>
        <w:r>
          <w:rPr>
            <w:noProof/>
            <w:webHidden/>
          </w:rPr>
          <w:fldChar w:fldCharType="separate"/>
        </w:r>
        <w:r>
          <w:rPr>
            <w:noProof/>
            <w:webHidden/>
          </w:rPr>
          <w:t>16</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585" w:history="1">
        <w:r w:rsidRPr="00E82A05">
          <w:rPr>
            <w:rStyle w:val="Hyperlink"/>
            <w:noProof/>
          </w:rPr>
          <w:t>Azure Active Directory Premium</w:t>
        </w:r>
        <w:r>
          <w:rPr>
            <w:noProof/>
            <w:webHidden/>
          </w:rPr>
          <w:tab/>
        </w:r>
        <w:r>
          <w:rPr>
            <w:noProof/>
            <w:webHidden/>
          </w:rPr>
          <w:fldChar w:fldCharType="begin"/>
        </w:r>
        <w:r>
          <w:rPr>
            <w:noProof/>
            <w:webHidden/>
          </w:rPr>
          <w:instrText xml:space="preserve"> PAGEREF _Toc401641585 \h </w:instrText>
        </w:r>
        <w:r>
          <w:rPr>
            <w:noProof/>
            <w:webHidden/>
          </w:rPr>
        </w:r>
        <w:r>
          <w:rPr>
            <w:noProof/>
            <w:webHidden/>
          </w:rPr>
          <w:fldChar w:fldCharType="separate"/>
        </w:r>
        <w:r>
          <w:rPr>
            <w:noProof/>
            <w:webHidden/>
          </w:rPr>
          <w:t>16</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586" w:history="1">
        <w:r w:rsidRPr="00E82A05">
          <w:rPr>
            <w:rStyle w:val="Hyperlink"/>
            <w:noProof/>
          </w:rPr>
          <w:t>Azure Rights Management Service</w:t>
        </w:r>
        <w:r>
          <w:rPr>
            <w:noProof/>
            <w:webHidden/>
          </w:rPr>
          <w:tab/>
        </w:r>
        <w:r>
          <w:rPr>
            <w:noProof/>
            <w:webHidden/>
          </w:rPr>
          <w:fldChar w:fldCharType="begin"/>
        </w:r>
        <w:r>
          <w:rPr>
            <w:noProof/>
            <w:webHidden/>
          </w:rPr>
          <w:instrText xml:space="preserve"> PAGEREF _Toc401641586 \h </w:instrText>
        </w:r>
        <w:r>
          <w:rPr>
            <w:noProof/>
            <w:webHidden/>
          </w:rPr>
        </w:r>
        <w:r>
          <w:rPr>
            <w:noProof/>
            <w:webHidden/>
          </w:rPr>
          <w:fldChar w:fldCharType="separate"/>
        </w:r>
        <w:r>
          <w:rPr>
            <w:noProof/>
            <w:webHidden/>
          </w:rPr>
          <w:t>17</w:t>
        </w:r>
        <w:r>
          <w:rPr>
            <w:noProof/>
            <w:webHidden/>
          </w:rPr>
          <w:fldChar w:fldCharType="end"/>
        </w:r>
      </w:hyperlink>
    </w:p>
    <w:p w:rsidR="00B36E70" w:rsidRDefault="00B36E70">
      <w:pPr>
        <w:pStyle w:val="TOC3"/>
        <w:rPr>
          <w:rFonts w:asciiTheme="minorHAnsi" w:eastAsiaTheme="minorEastAsia" w:hAnsiTheme="minorHAnsi" w:cstheme="minorBidi"/>
          <w:smallCaps w:val="0"/>
          <w:noProof/>
          <w:sz w:val="22"/>
          <w:lang w:val="en-US" w:eastAsia="en-US"/>
        </w:rPr>
      </w:pPr>
      <w:hyperlink w:anchor="_Toc401641587" w:history="1">
        <w:r w:rsidRPr="00E82A05">
          <w:rPr>
            <w:rStyle w:val="Hyperlink"/>
            <w:noProof/>
          </w:rPr>
          <w:t>Windows Intune</w:t>
        </w:r>
        <w:r>
          <w:rPr>
            <w:noProof/>
            <w:webHidden/>
          </w:rPr>
          <w:tab/>
        </w:r>
        <w:r>
          <w:rPr>
            <w:noProof/>
            <w:webHidden/>
          </w:rPr>
          <w:fldChar w:fldCharType="begin"/>
        </w:r>
        <w:r>
          <w:rPr>
            <w:noProof/>
            <w:webHidden/>
          </w:rPr>
          <w:instrText xml:space="preserve"> PAGEREF _Toc401641587 \h </w:instrText>
        </w:r>
        <w:r>
          <w:rPr>
            <w:noProof/>
            <w:webHidden/>
          </w:rPr>
        </w:r>
        <w:r>
          <w:rPr>
            <w:noProof/>
            <w:webHidden/>
          </w:rPr>
          <w:fldChar w:fldCharType="separate"/>
        </w:r>
        <w:r>
          <w:rPr>
            <w:noProof/>
            <w:webHidden/>
          </w:rPr>
          <w:t>17</w:t>
        </w:r>
        <w:r>
          <w:rPr>
            <w:noProof/>
            <w:webHidden/>
          </w:rPr>
          <w:fldChar w:fldCharType="end"/>
        </w:r>
      </w:hyperlink>
    </w:p>
    <w:p w:rsidR="00B36E70" w:rsidRDefault="00B36E70">
      <w:pPr>
        <w:pStyle w:val="TOC2"/>
        <w:rPr>
          <w:rFonts w:asciiTheme="minorHAnsi" w:eastAsiaTheme="minorEastAsia" w:hAnsiTheme="minorHAnsi" w:cstheme="minorBidi"/>
          <w:smallCaps w:val="0"/>
          <w:noProof/>
          <w:sz w:val="22"/>
          <w:lang w:val="en-US" w:eastAsia="en-US"/>
        </w:rPr>
      </w:pPr>
      <w:hyperlink w:anchor="_Toc401641588" w:history="1">
        <w:r w:rsidRPr="00E82A05">
          <w:rPr>
            <w:rStyle w:val="Hyperlink"/>
            <w:noProof/>
          </w:rPr>
          <w:t>Microsoft Dynamics-Onlinedienste</w:t>
        </w:r>
        <w:r>
          <w:rPr>
            <w:noProof/>
            <w:webHidden/>
          </w:rPr>
          <w:tab/>
        </w:r>
        <w:r>
          <w:rPr>
            <w:noProof/>
            <w:webHidden/>
          </w:rPr>
          <w:fldChar w:fldCharType="begin"/>
        </w:r>
        <w:r>
          <w:rPr>
            <w:noProof/>
            <w:webHidden/>
          </w:rPr>
          <w:instrText xml:space="preserve"> PAGEREF _Toc401641588 \h </w:instrText>
        </w:r>
        <w:r>
          <w:rPr>
            <w:noProof/>
            <w:webHidden/>
          </w:rPr>
        </w:r>
        <w:r>
          <w:rPr>
            <w:noProof/>
            <w:webHidden/>
          </w:rPr>
          <w:fldChar w:fldCharType="separate"/>
        </w:r>
        <w:r>
          <w:rPr>
            <w:noProof/>
            <w:webHidden/>
          </w:rPr>
          <w:t>19</w:t>
        </w:r>
        <w:r>
          <w:rPr>
            <w:noProof/>
            <w:webHidden/>
          </w:rPr>
          <w:fldChar w:fldCharType="end"/>
        </w:r>
      </w:hyperlink>
    </w:p>
    <w:p w:rsidR="00B36E70" w:rsidRDefault="00B36E70">
      <w:pPr>
        <w:pStyle w:val="TOC3"/>
        <w:rPr>
          <w:rFonts w:asciiTheme="minorHAnsi" w:eastAsiaTheme="minorEastAsia" w:hAnsiTheme="minorHAnsi" w:cstheme="minorBidi"/>
          <w:smallCaps w:val="0"/>
          <w:noProof/>
          <w:sz w:val="22"/>
          <w:lang w:val="en-US" w:eastAsia="en-US"/>
        </w:rPr>
      </w:pPr>
      <w:hyperlink w:anchor="_Toc401641589" w:history="1">
        <w:r w:rsidRPr="00E82A05">
          <w:rPr>
            <w:rStyle w:val="Hyperlink"/>
            <w:noProof/>
          </w:rPr>
          <w:t>Microsoft Dynamics CRM Online</w:t>
        </w:r>
        <w:r>
          <w:rPr>
            <w:noProof/>
            <w:webHidden/>
          </w:rPr>
          <w:tab/>
        </w:r>
        <w:r>
          <w:rPr>
            <w:noProof/>
            <w:webHidden/>
          </w:rPr>
          <w:fldChar w:fldCharType="begin"/>
        </w:r>
        <w:r>
          <w:rPr>
            <w:noProof/>
            <w:webHidden/>
          </w:rPr>
          <w:instrText xml:space="preserve"> PAGEREF _Toc401641589 \h </w:instrText>
        </w:r>
        <w:r>
          <w:rPr>
            <w:noProof/>
            <w:webHidden/>
          </w:rPr>
        </w:r>
        <w:r>
          <w:rPr>
            <w:noProof/>
            <w:webHidden/>
          </w:rPr>
          <w:fldChar w:fldCharType="separate"/>
        </w:r>
        <w:r>
          <w:rPr>
            <w:noProof/>
            <w:webHidden/>
          </w:rPr>
          <w:t>19</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590" w:history="1">
        <w:r w:rsidRPr="00E82A05">
          <w:rPr>
            <w:rStyle w:val="Hyperlink"/>
            <w:noProof/>
          </w:rPr>
          <w:t>Microsoft Dynamics Marketing</w:t>
        </w:r>
        <w:r>
          <w:rPr>
            <w:noProof/>
            <w:webHidden/>
          </w:rPr>
          <w:tab/>
        </w:r>
        <w:r>
          <w:rPr>
            <w:noProof/>
            <w:webHidden/>
          </w:rPr>
          <w:fldChar w:fldCharType="begin"/>
        </w:r>
        <w:r>
          <w:rPr>
            <w:noProof/>
            <w:webHidden/>
          </w:rPr>
          <w:instrText xml:space="preserve"> PAGEREF _Toc401641590 \h </w:instrText>
        </w:r>
        <w:r>
          <w:rPr>
            <w:noProof/>
            <w:webHidden/>
          </w:rPr>
        </w:r>
        <w:r>
          <w:rPr>
            <w:noProof/>
            <w:webHidden/>
          </w:rPr>
          <w:fldChar w:fldCharType="separate"/>
        </w:r>
        <w:r>
          <w:rPr>
            <w:noProof/>
            <w:webHidden/>
          </w:rPr>
          <w:t>19</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591" w:history="1">
        <w:r w:rsidRPr="00E82A05">
          <w:rPr>
            <w:rStyle w:val="Hyperlink"/>
            <w:noProof/>
          </w:rPr>
          <w:t xml:space="preserve">Microsoft Social </w:t>
        </w:r>
        <w:r w:rsidRPr="00E82A05">
          <w:rPr>
            <w:rStyle w:val="Hyperlink"/>
            <w:rFonts w:cs="Arial"/>
            <w:noProof/>
          </w:rPr>
          <w:t>Listening</w:t>
        </w:r>
        <w:r>
          <w:rPr>
            <w:noProof/>
            <w:webHidden/>
          </w:rPr>
          <w:tab/>
        </w:r>
        <w:r>
          <w:rPr>
            <w:noProof/>
            <w:webHidden/>
          </w:rPr>
          <w:fldChar w:fldCharType="begin"/>
        </w:r>
        <w:r>
          <w:rPr>
            <w:noProof/>
            <w:webHidden/>
          </w:rPr>
          <w:instrText xml:space="preserve"> PAGEREF _Toc401641591 \h </w:instrText>
        </w:r>
        <w:r>
          <w:rPr>
            <w:noProof/>
            <w:webHidden/>
          </w:rPr>
        </w:r>
        <w:r>
          <w:rPr>
            <w:noProof/>
            <w:webHidden/>
          </w:rPr>
          <w:fldChar w:fldCharType="separate"/>
        </w:r>
        <w:r>
          <w:rPr>
            <w:noProof/>
            <w:webHidden/>
          </w:rPr>
          <w:t>20</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592" w:history="1">
        <w:r w:rsidRPr="00E82A05">
          <w:rPr>
            <w:rStyle w:val="Hyperlink"/>
            <w:noProof/>
          </w:rPr>
          <w:t>Parature, von Microsoft</w:t>
        </w:r>
        <w:r>
          <w:rPr>
            <w:noProof/>
            <w:webHidden/>
          </w:rPr>
          <w:tab/>
        </w:r>
        <w:r>
          <w:rPr>
            <w:noProof/>
            <w:webHidden/>
          </w:rPr>
          <w:fldChar w:fldCharType="begin"/>
        </w:r>
        <w:r>
          <w:rPr>
            <w:noProof/>
            <w:webHidden/>
          </w:rPr>
          <w:instrText xml:space="preserve"> PAGEREF _Toc401641592 \h </w:instrText>
        </w:r>
        <w:r>
          <w:rPr>
            <w:noProof/>
            <w:webHidden/>
          </w:rPr>
        </w:r>
        <w:r>
          <w:rPr>
            <w:noProof/>
            <w:webHidden/>
          </w:rPr>
          <w:fldChar w:fldCharType="separate"/>
        </w:r>
        <w:r>
          <w:rPr>
            <w:noProof/>
            <w:webHidden/>
          </w:rPr>
          <w:t>20</w:t>
        </w:r>
        <w:r>
          <w:rPr>
            <w:noProof/>
            <w:webHidden/>
          </w:rPr>
          <w:fldChar w:fldCharType="end"/>
        </w:r>
      </w:hyperlink>
    </w:p>
    <w:p w:rsidR="00B36E70" w:rsidRDefault="00B36E70">
      <w:pPr>
        <w:pStyle w:val="TOC2"/>
        <w:rPr>
          <w:rFonts w:asciiTheme="minorHAnsi" w:eastAsiaTheme="minorEastAsia" w:hAnsiTheme="minorHAnsi" w:cstheme="minorBidi"/>
          <w:smallCaps w:val="0"/>
          <w:noProof/>
          <w:sz w:val="22"/>
          <w:lang w:val="en-US" w:eastAsia="en-US"/>
        </w:rPr>
      </w:pPr>
      <w:hyperlink w:anchor="_Toc401641593" w:history="1">
        <w:r w:rsidRPr="00E82A05">
          <w:rPr>
            <w:rStyle w:val="Hyperlink"/>
            <w:noProof/>
          </w:rPr>
          <w:t>Office 365-Dienste</w:t>
        </w:r>
        <w:r>
          <w:rPr>
            <w:noProof/>
            <w:webHidden/>
          </w:rPr>
          <w:tab/>
        </w:r>
        <w:r>
          <w:rPr>
            <w:noProof/>
            <w:webHidden/>
          </w:rPr>
          <w:fldChar w:fldCharType="begin"/>
        </w:r>
        <w:r>
          <w:rPr>
            <w:noProof/>
            <w:webHidden/>
          </w:rPr>
          <w:instrText xml:space="preserve"> PAGEREF _Toc401641593 \h </w:instrText>
        </w:r>
        <w:r>
          <w:rPr>
            <w:noProof/>
            <w:webHidden/>
          </w:rPr>
        </w:r>
        <w:r>
          <w:rPr>
            <w:noProof/>
            <w:webHidden/>
          </w:rPr>
          <w:fldChar w:fldCharType="separate"/>
        </w:r>
        <w:r>
          <w:rPr>
            <w:noProof/>
            <w:webHidden/>
          </w:rPr>
          <w:t>20</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594" w:history="1">
        <w:r w:rsidRPr="00E82A05">
          <w:rPr>
            <w:rStyle w:val="Hyperlink"/>
            <w:noProof/>
          </w:rPr>
          <w:t>Exchange Online</w:t>
        </w:r>
        <w:r>
          <w:rPr>
            <w:noProof/>
            <w:webHidden/>
          </w:rPr>
          <w:tab/>
        </w:r>
        <w:r>
          <w:rPr>
            <w:noProof/>
            <w:webHidden/>
          </w:rPr>
          <w:fldChar w:fldCharType="begin"/>
        </w:r>
        <w:r>
          <w:rPr>
            <w:noProof/>
            <w:webHidden/>
          </w:rPr>
          <w:instrText xml:space="preserve"> PAGEREF _Toc401641594 \h </w:instrText>
        </w:r>
        <w:r>
          <w:rPr>
            <w:noProof/>
            <w:webHidden/>
          </w:rPr>
        </w:r>
        <w:r>
          <w:rPr>
            <w:noProof/>
            <w:webHidden/>
          </w:rPr>
          <w:fldChar w:fldCharType="separate"/>
        </w:r>
        <w:r>
          <w:rPr>
            <w:noProof/>
            <w:webHidden/>
          </w:rPr>
          <w:t>20</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595" w:history="1">
        <w:r w:rsidRPr="00E82A05">
          <w:rPr>
            <w:rStyle w:val="Hyperlink"/>
            <w:noProof/>
          </w:rPr>
          <w:t>Lync Online</w:t>
        </w:r>
        <w:r>
          <w:rPr>
            <w:noProof/>
            <w:webHidden/>
          </w:rPr>
          <w:tab/>
        </w:r>
        <w:r>
          <w:rPr>
            <w:noProof/>
            <w:webHidden/>
          </w:rPr>
          <w:fldChar w:fldCharType="begin"/>
        </w:r>
        <w:r>
          <w:rPr>
            <w:noProof/>
            <w:webHidden/>
          </w:rPr>
          <w:instrText xml:space="preserve"> PAGEREF _Toc401641595 \h </w:instrText>
        </w:r>
        <w:r>
          <w:rPr>
            <w:noProof/>
            <w:webHidden/>
          </w:rPr>
        </w:r>
        <w:r>
          <w:rPr>
            <w:noProof/>
            <w:webHidden/>
          </w:rPr>
          <w:fldChar w:fldCharType="separate"/>
        </w:r>
        <w:r>
          <w:rPr>
            <w:noProof/>
            <w:webHidden/>
          </w:rPr>
          <w:t>22</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596" w:history="1">
        <w:r w:rsidRPr="00E82A05">
          <w:rPr>
            <w:rStyle w:val="Hyperlink"/>
            <w:noProof/>
          </w:rPr>
          <w:t>Office 365-Anwendungen</w:t>
        </w:r>
        <w:r>
          <w:rPr>
            <w:noProof/>
            <w:webHidden/>
          </w:rPr>
          <w:tab/>
        </w:r>
        <w:r>
          <w:rPr>
            <w:noProof/>
            <w:webHidden/>
          </w:rPr>
          <w:fldChar w:fldCharType="begin"/>
        </w:r>
        <w:r>
          <w:rPr>
            <w:noProof/>
            <w:webHidden/>
          </w:rPr>
          <w:instrText xml:space="preserve"> PAGEREF _Toc401641596 \h </w:instrText>
        </w:r>
        <w:r>
          <w:rPr>
            <w:noProof/>
            <w:webHidden/>
          </w:rPr>
        </w:r>
        <w:r>
          <w:rPr>
            <w:noProof/>
            <w:webHidden/>
          </w:rPr>
          <w:fldChar w:fldCharType="separate"/>
        </w:r>
        <w:r>
          <w:rPr>
            <w:noProof/>
            <w:webHidden/>
          </w:rPr>
          <w:t>22</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597" w:history="1">
        <w:r w:rsidRPr="00E82A05">
          <w:rPr>
            <w:rStyle w:val="Hyperlink"/>
            <w:noProof/>
          </w:rPr>
          <w:t>Office Online</w:t>
        </w:r>
        <w:r>
          <w:rPr>
            <w:noProof/>
            <w:webHidden/>
          </w:rPr>
          <w:tab/>
        </w:r>
        <w:r>
          <w:rPr>
            <w:noProof/>
            <w:webHidden/>
          </w:rPr>
          <w:fldChar w:fldCharType="begin"/>
        </w:r>
        <w:r>
          <w:rPr>
            <w:noProof/>
            <w:webHidden/>
          </w:rPr>
          <w:instrText xml:space="preserve"> PAGEREF _Toc401641597 \h </w:instrText>
        </w:r>
        <w:r>
          <w:rPr>
            <w:noProof/>
            <w:webHidden/>
          </w:rPr>
        </w:r>
        <w:r>
          <w:rPr>
            <w:noProof/>
            <w:webHidden/>
          </w:rPr>
          <w:fldChar w:fldCharType="separate"/>
        </w:r>
        <w:r>
          <w:rPr>
            <w:noProof/>
            <w:webHidden/>
          </w:rPr>
          <w:t>23</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598" w:history="1">
        <w:r w:rsidRPr="00E82A05">
          <w:rPr>
            <w:rStyle w:val="Hyperlink"/>
            <w:noProof/>
          </w:rPr>
          <w:t>OneDrive for Business</w:t>
        </w:r>
        <w:r>
          <w:rPr>
            <w:noProof/>
            <w:webHidden/>
          </w:rPr>
          <w:tab/>
        </w:r>
        <w:r>
          <w:rPr>
            <w:noProof/>
            <w:webHidden/>
          </w:rPr>
          <w:fldChar w:fldCharType="begin"/>
        </w:r>
        <w:r>
          <w:rPr>
            <w:noProof/>
            <w:webHidden/>
          </w:rPr>
          <w:instrText xml:space="preserve"> PAGEREF _Toc401641598 \h </w:instrText>
        </w:r>
        <w:r>
          <w:rPr>
            <w:noProof/>
            <w:webHidden/>
          </w:rPr>
        </w:r>
        <w:r>
          <w:rPr>
            <w:noProof/>
            <w:webHidden/>
          </w:rPr>
          <w:fldChar w:fldCharType="separate"/>
        </w:r>
        <w:r>
          <w:rPr>
            <w:noProof/>
            <w:webHidden/>
          </w:rPr>
          <w:t>23</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599" w:history="1">
        <w:r w:rsidRPr="00E82A05">
          <w:rPr>
            <w:rStyle w:val="Hyperlink"/>
            <w:noProof/>
          </w:rPr>
          <w:t>Project Online</w:t>
        </w:r>
        <w:r>
          <w:rPr>
            <w:noProof/>
            <w:webHidden/>
          </w:rPr>
          <w:tab/>
        </w:r>
        <w:r>
          <w:rPr>
            <w:noProof/>
            <w:webHidden/>
          </w:rPr>
          <w:fldChar w:fldCharType="begin"/>
        </w:r>
        <w:r>
          <w:rPr>
            <w:noProof/>
            <w:webHidden/>
          </w:rPr>
          <w:instrText xml:space="preserve"> PAGEREF _Toc401641599 \h </w:instrText>
        </w:r>
        <w:r>
          <w:rPr>
            <w:noProof/>
            <w:webHidden/>
          </w:rPr>
        </w:r>
        <w:r>
          <w:rPr>
            <w:noProof/>
            <w:webHidden/>
          </w:rPr>
          <w:fldChar w:fldCharType="separate"/>
        </w:r>
        <w:r>
          <w:rPr>
            <w:noProof/>
            <w:webHidden/>
          </w:rPr>
          <w:t>23</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600" w:history="1">
        <w:r w:rsidRPr="00E82A05">
          <w:rPr>
            <w:rStyle w:val="Hyperlink"/>
            <w:noProof/>
          </w:rPr>
          <w:t>SharePoint Online</w:t>
        </w:r>
        <w:r>
          <w:rPr>
            <w:noProof/>
            <w:webHidden/>
          </w:rPr>
          <w:tab/>
        </w:r>
        <w:r>
          <w:rPr>
            <w:noProof/>
            <w:webHidden/>
          </w:rPr>
          <w:fldChar w:fldCharType="begin"/>
        </w:r>
        <w:r>
          <w:rPr>
            <w:noProof/>
            <w:webHidden/>
          </w:rPr>
          <w:instrText xml:space="preserve"> PAGEREF _Toc401641600 \h </w:instrText>
        </w:r>
        <w:r>
          <w:rPr>
            <w:noProof/>
            <w:webHidden/>
          </w:rPr>
        </w:r>
        <w:r>
          <w:rPr>
            <w:noProof/>
            <w:webHidden/>
          </w:rPr>
          <w:fldChar w:fldCharType="separate"/>
        </w:r>
        <w:r>
          <w:rPr>
            <w:noProof/>
            <w:webHidden/>
          </w:rPr>
          <w:t>23</w:t>
        </w:r>
        <w:r>
          <w:rPr>
            <w:noProof/>
            <w:webHidden/>
          </w:rPr>
          <w:fldChar w:fldCharType="end"/>
        </w:r>
      </w:hyperlink>
    </w:p>
    <w:p w:rsidR="00B36E70" w:rsidRDefault="00B36E70">
      <w:pPr>
        <w:pStyle w:val="TOC2"/>
        <w:rPr>
          <w:rFonts w:asciiTheme="minorHAnsi" w:eastAsiaTheme="minorEastAsia" w:hAnsiTheme="minorHAnsi" w:cstheme="minorBidi"/>
          <w:smallCaps w:val="0"/>
          <w:noProof/>
          <w:sz w:val="22"/>
          <w:lang w:val="en-US" w:eastAsia="en-US"/>
        </w:rPr>
      </w:pPr>
      <w:hyperlink w:anchor="_Toc401641601" w:history="1">
        <w:r w:rsidRPr="00E82A05">
          <w:rPr>
            <w:rStyle w:val="Hyperlink"/>
            <w:noProof/>
          </w:rPr>
          <w:t>Sonstige Onlinedienste</w:t>
        </w:r>
        <w:r>
          <w:rPr>
            <w:noProof/>
            <w:webHidden/>
          </w:rPr>
          <w:tab/>
        </w:r>
        <w:r>
          <w:rPr>
            <w:noProof/>
            <w:webHidden/>
          </w:rPr>
          <w:fldChar w:fldCharType="begin"/>
        </w:r>
        <w:r>
          <w:rPr>
            <w:noProof/>
            <w:webHidden/>
          </w:rPr>
          <w:instrText xml:space="preserve"> PAGEREF _Toc401641601 \h </w:instrText>
        </w:r>
        <w:r>
          <w:rPr>
            <w:noProof/>
            <w:webHidden/>
          </w:rPr>
        </w:r>
        <w:r>
          <w:rPr>
            <w:noProof/>
            <w:webHidden/>
          </w:rPr>
          <w:fldChar w:fldCharType="separate"/>
        </w:r>
        <w:r>
          <w:rPr>
            <w:noProof/>
            <w:webHidden/>
          </w:rPr>
          <w:t>24</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602" w:history="1">
        <w:r w:rsidRPr="00E82A05">
          <w:rPr>
            <w:rStyle w:val="Hyperlink"/>
            <w:noProof/>
          </w:rPr>
          <w:t>Bing Maps Enterprise Platform und Bing Maps Mobile Asset Management Platform</w:t>
        </w:r>
        <w:r>
          <w:rPr>
            <w:noProof/>
            <w:webHidden/>
          </w:rPr>
          <w:tab/>
        </w:r>
        <w:r>
          <w:rPr>
            <w:noProof/>
            <w:webHidden/>
          </w:rPr>
          <w:fldChar w:fldCharType="begin"/>
        </w:r>
        <w:r>
          <w:rPr>
            <w:noProof/>
            <w:webHidden/>
          </w:rPr>
          <w:instrText xml:space="preserve"> PAGEREF _Toc401641602 \h </w:instrText>
        </w:r>
        <w:r>
          <w:rPr>
            <w:noProof/>
            <w:webHidden/>
          </w:rPr>
        </w:r>
        <w:r>
          <w:rPr>
            <w:noProof/>
            <w:webHidden/>
          </w:rPr>
          <w:fldChar w:fldCharType="separate"/>
        </w:r>
        <w:r>
          <w:rPr>
            <w:noProof/>
            <w:webHidden/>
          </w:rPr>
          <w:t>24</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603" w:history="1">
        <w:r w:rsidRPr="00E82A05">
          <w:rPr>
            <w:rStyle w:val="Hyperlink"/>
            <w:noProof/>
          </w:rPr>
          <w:t>Microsoft Learning E-Reference Library</w:t>
        </w:r>
        <w:r>
          <w:rPr>
            <w:noProof/>
            <w:webHidden/>
          </w:rPr>
          <w:tab/>
        </w:r>
        <w:r>
          <w:rPr>
            <w:noProof/>
            <w:webHidden/>
          </w:rPr>
          <w:fldChar w:fldCharType="begin"/>
        </w:r>
        <w:r>
          <w:rPr>
            <w:noProof/>
            <w:webHidden/>
          </w:rPr>
          <w:instrText xml:space="preserve"> PAGEREF _Toc401641603 \h </w:instrText>
        </w:r>
        <w:r>
          <w:rPr>
            <w:noProof/>
            <w:webHidden/>
          </w:rPr>
        </w:r>
        <w:r>
          <w:rPr>
            <w:noProof/>
            <w:webHidden/>
          </w:rPr>
          <w:fldChar w:fldCharType="separate"/>
        </w:r>
        <w:r>
          <w:rPr>
            <w:noProof/>
            <w:webHidden/>
          </w:rPr>
          <w:t>25</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604" w:history="1">
        <w:r w:rsidRPr="00E82A05">
          <w:rPr>
            <w:rStyle w:val="Hyperlink"/>
            <w:noProof/>
          </w:rPr>
          <w:t>Microsoft Learning IT Academy</w:t>
        </w:r>
        <w:r>
          <w:rPr>
            <w:noProof/>
            <w:webHidden/>
          </w:rPr>
          <w:tab/>
        </w:r>
        <w:r>
          <w:rPr>
            <w:noProof/>
            <w:webHidden/>
          </w:rPr>
          <w:fldChar w:fldCharType="begin"/>
        </w:r>
        <w:r>
          <w:rPr>
            <w:noProof/>
            <w:webHidden/>
          </w:rPr>
          <w:instrText xml:space="preserve"> PAGEREF _Toc401641604 \h </w:instrText>
        </w:r>
        <w:r>
          <w:rPr>
            <w:noProof/>
            <w:webHidden/>
          </w:rPr>
        </w:r>
        <w:r>
          <w:rPr>
            <w:noProof/>
            <w:webHidden/>
          </w:rPr>
          <w:fldChar w:fldCharType="separate"/>
        </w:r>
        <w:r>
          <w:rPr>
            <w:noProof/>
            <w:webHidden/>
          </w:rPr>
          <w:t>25</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605" w:history="1">
        <w:r w:rsidRPr="00E82A05">
          <w:rPr>
            <w:rStyle w:val="Hyperlink"/>
            <w:noProof/>
          </w:rPr>
          <w:t>Office 365 Developer</w:t>
        </w:r>
        <w:r>
          <w:rPr>
            <w:noProof/>
            <w:webHidden/>
          </w:rPr>
          <w:tab/>
        </w:r>
        <w:r>
          <w:rPr>
            <w:noProof/>
            <w:webHidden/>
          </w:rPr>
          <w:fldChar w:fldCharType="begin"/>
        </w:r>
        <w:r>
          <w:rPr>
            <w:noProof/>
            <w:webHidden/>
          </w:rPr>
          <w:instrText xml:space="preserve"> PAGEREF _Toc401641605 \h </w:instrText>
        </w:r>
        <w:r>
          <w:rPr>
            <w:noProof/>
            <w:webHidden/>
          </w:rPr>
        </w:r>
        <w:r>
          <w:rPr>
            <w:noProof/>
            <w:webHidden/>
          </w:rPr>
          <w:fldChar w:fldCharType="separate"/>
        </w:r>
        <w:r>
          <w:rPr>
            <w:noProof/>
            <w:webHidden/>
          </w:rPr>
          <w:t>25</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606" w:history="1">
        <w:r w:rsidRPr="00E82A05">
          <w:rPr>
            <w:rStyle w:val="Hyperlink"/>
            <w:noProof/>
          </w:rPr>
          <w:t>Power BI für Office 365</w:t>
        </w:r>
        <w:r>
          <w:rPr>
            <w:noProof/>
            <w:webHidden/>
          </w:rPr>
          <w:tab/>
        </w:r>
        <w:r>
          <w:rPr>
            <w:noProof/>
            <w:webHidden/>
          </w:rPr>
          <w:fldChar w:fldCharType="begin"/>
        </w:r>
        <w:r>
          <w:rPr>
            <w:noProof/>
            <w:webHidden/>
          </w:rPr>
          <w:instrText xml:space="preserve"> PAGEREF _Toc401641606 \h </w:instrText>
        </w:r>
        <w:r>
          <w:rPr>
            <w:noProof/>
            <w:webHidden/>
          </w:rPr>
        </w:r>
        <w:r>
          <w:rPr>
            <w:noProof/>
            <w:webHidden/>
          </w:rPr>
          <w:fldChar w:fldCharType="separate"/>
        </w:r>
        <w:r>
          <w:rPr>
            <w:noProof/>
            <w:webHidden/>
          </w:rPr>
          <w:t>25</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607" w:history="1">
        <w:r w:rsidRPr="00E82A05">
          <w:rPr>
            <w:rStyle w:val="Hyperlink"/>
            <w:noProof/>
          </w:rPr>
          <w:t>System Center Endpoint Protection</w:t>
        </w:r>
        <w:r>
          <w:rPr>
            <w:noProof/>
            <w:webHidden/>
          </w:rPr>
          <w:tab/>
        </w:r>
        <w:r>
          <w:rPr>
            <w:noProof/>
            <w:webHidden/>
          </w:rPr>
          <w:fldChar w:fldCharType="begin"/>
        </w:r>
        <w:r>
          <w:rPr>
            <w:noProof/>
            <w:webHidden/>
          </w:rPr>
          <w:instrText xml:space="preserve"> PAGEREF _Toc401641607 \h </w:instrText>
        </w:r>
        <w:r>
          <w:rPr>
            <w:noProof/>
            <w:webHidden/>
          </w:rPr>
        </w:r>
        <w:r>
          <w:rPr>
            <w:noProof/>
            <w:webHidden/>
          </w:rPr>
          <w:fldChar w:fldCharType="separate"/>
        </w:r>
        <w:r>
          <w:rPr>
            <w:noProof/>
            <w:webHidden/>
          </w:rPr>
          <w:t>25</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608" w:history="1">
        <w:r w:rsidRPr="00E82A05">
          <w:rPr>
            <w:rStyle w:val="Hyperlink"/>
            <w:noProof/>
          </w:rPr>
          <w:t>Translator API</w:t>
        </w:r>
        <w:r>
          <w:rPr>
            <w:noProof/>
            <w:webHidden/>
          </w:rPr>
          <w:tab/>
        </w:r>
        <w:r>
          <w:rPr>
            <w:noProof/>
            <w:webHidden/>
          </w:rPr>
          <w:fldChar w:fldCharType="begin"/>
        </w:r>
        <w:r>
          <w:rPr>
            <w:noProof/>
            <w:webHidden/>
          </w:rPr>
          <w:instrText xml:space="preserve"> PAGEREF _Toc401641608 \h </w:instrText>
        </w:r>
        <w:r>
          <w:rPr>
            <w:noProof/>
            <w:webHidden/>
          </w:rPr>
        </w:r>
        <w:r>
          <w:rPr>
            <w:noProof/>
            <w:webHidden/>
          </w:rPr>
          <w:fldChar w:fldCharType="separate"/>
        </w:r>
        <w:r>
          <w:rPr>
            <w:noProof/>
            <w:webHidden/>
          </w:rPr>
          <w:t>26</w:t>
        </w:r>
        <w:r>
          <w:rPr>
            <w:noProof/>
            <w:webHidden/>
          </w:rPr>
          <w:fldChar w:fldCharType="end"/>
        </w:r>
      </w:hyperlink>
    </w:p>
    <w:p w:rsidR="00B36E70" w:rsidRDefault="00B36E70">
      <w:pPr>
        <w:pStyle w:val="TOC4"/>
        <w:rPr>
          <w:rFonts w:asciiTheme="minorHAnsi" w:eastAsiaTheme="minorEastAsia" w:hAnsiTheme="minorHAnsi" w:cstheme="minorBidi"/>
          <w:smallCaps w:val="0"/>
          <w:noProof/>
          <w:sz w:val="22"/>
          <w:lang w:val="en-US" w:eastAsia="en-US"/>
        </w:rPr>
      </w:pPr>
      <w:hyperlink w:anchor="_Toc401641609" w:history="1">
        <w:r w:rsidRPr="00E82A05">
          <w:rPr>
            <w:rStyle w:val="Hyperlink"/>
            <w:noProof/>
          </w:rPr>
          <w:t>Yammer Enterprise</w:t>
        </w:r>
        <w:r>
          <w:rPr>
            <w:noProof/>
            <w:webHidden/>
          </w:rPr>
          <w:tab/>
        </w:r>
        <w:r>
          <w:rPr>
            <w:noProof/>
            <w:webHidden/>
          </w:rPr>
          <w:fldChar w:fldCharType="begin"/>
        </w:r>
        <w:r>
          <w:rPr>
            <w:noProof/>
            <w:webHidden/>
          </w:rPr>
          <w:instrText xml:space="preserve"> PAGEREF _Toc401641609 \h </w:instrText>
        </w:r>
        <w:r>
          <w:rPr>
            <w:noProof/>
            <w:webHidden/>
          </w:rPr>
        </w:r>
        <w:r>
          <w:rPr>
            <w:noProof/>
            <w:webHidden/>
          </w:rPr>
          <w:fldChar w:fldCharType="separate"/>
        </w:r>
        <w:r>
          <w:rPr>
            <w:noProof/>
            <w:webHidden/>
          </w:rPr>
          <w:t>26</w:t>
        </w:r>
        <w:r>
          <w:rPr>
            <w:noProof/>
            <w:webHidden/>
          </w:rPr>
          <w:fldChar w:fldCharType="end"/>
        </w:r>
      </w:hyperlink>
    </w:p>
    <w:p w:rsidR="00B36E70" w:rsidRDefault="00B36E70">
      <w:pPr>
        <w:pStyle w:val="TOC1"/>
        <w:tabs>
          <w:tab w:val="right" w:leader="dot" w:pos="5030"/>
        </w:tabs>
        <w:rPr>
          <w:rFonts w:asciiTheme="minorHAnsi" w:eastAsiaTheme="minorEastAsia" w:hAnsiTheme="minorHAnsi" w:cstheme="minorBidi"/>
          <w:b w:val="0"/>
          <w:caps w:val="0"/>
          <w:noProof/>
          <w:sz w:val="22"/>
          <w:lang w:val="en-US" w:eastAsia="en-US"/>
        </w:rPr>
      </w:pPr>
      <w:hyperlink w:anchor="_Toc401641610" w:history="1">
        <w:r w:rsidRPr="00E82A05">
          <w:rPr>
            <w:rStyle w:val="Hyperlink"/>
            <w:noProof/>
          </w:rPr>
          <w:t>Anhang 1 – Hinweise</w:t>
        </w:r>
        <w:r>
          <w:rPr>
            <w:noProof/>
            <w:webHidden/>
          </w:rPr>
          <w:tab/>
        </w:r>
        <w:r>
          <w:rPr>
            <w:noProof/>
            <w:webHidden/>
          </w:rPr>
          <w:fldChar w:fldCharType="begin"/>
        </w:r>
        <w:r>
          <w:rPr>
            <w:noProof/>
            <w:webHidden/>
          </w:rPr>
          <w:instrText xml:space="preserve"> PAGEREF _Toc401641610 \h </w:instrText>
        </w:r>
        <w:r>
          <w:rPr>
            <w:noProof/>
            <w:webHidden/>
          </w:rPr>
        </w:r>
        <w:r>
          <w:rPr>
            <w:noProof/>
            <w:webHidden/>
          </w:rPr>
          <w:fldChar w:fldCharType="separate"/>
        </w:r>
        <w:r>
          <w:rPr>
            <w:noProof/>
            <w:webHidden/>
          </w:rPr>
          <w:t>27</w:t>
        </w:r>
        <w:r>
          <w:rPr>
            <w:noProof/>
            <w:webHidden/>
          </w:rPr>
          <w:fldChar w:fldCharType="end"/>
        </w:r>
      </w:hyperlink>
    </w:p>
    <w:p w:rsidR="00B36E70" w:rsidRDefault="00B36E70">
      <w:pPr>
        <w:pStyle w:val="TOC3"/>
        <w:rPr>
          <w:rFonts w:asciiTheme="minorHAnsi" w:eastAsiaTheme="minorEastAsia" w:hAnsiTheme="minorHAnsi" w:cstheme="minorBidi"/>
          <w:smallCaps w:val="0"/>
          <w:noProof/>
          <w:sz w:val="22"/>
          <w:lang w:val="en-US" w:eastAsia="en-US"/>
        </w:rPr>
      </w:pPr>
      <w:hyperlink w:anchor="_Toc401641611" w:history="1">
        <w:r w:rsidRPr="00E82A05">
          <w:rPr>
            <w:rStyle w:val="Hyperlink"/>
            <w:noProof/>
          </w:rPr>
          <w:t>Bing Maps</w:t>
        </w:r>
        <w:r>
          <w:rPr>
            <w:noProof/>
            <w:webHidden/>
          </w:rPr>
          <w:tab/>
        </w:r>
        <w:r>
          <w:rPr>
            <w:noProof/>
            <w:webHidden/>
          </w:rPr>
          <w:fldChar w:fldCharType="begin"/>
        </w:r>
        <w:r>
          <w:rPr>
            <w:noProof/>
            <w:webHidden/>
          </w:rPr>
          <w:instrText xml:space="preserve"> PAGEREF _Toc401641611 \h </w:instrText>
        </w:r>
        <w:r>
          <w:rPr>
            <w:noProof/>
            <w:webHidden/>
          </w:rPr>
        </w:r>
        <w:r>
          <w:rPr>
            <w:noProof/>
            <w:webHidden/>
          </w:rPr>
          <w:fldChar w:fldCharType="separate"/>
        </w:r>
        <w:r>
          <w:rPr>
            <w:noProof/>
            <w:webHidden/>
          </w:rPr>
          <w:t>27</w:t>
        </w:r>
        <w:r>
          <w:rPr>
            <w:noProof/>
            <w:webHidden/>
          </w:rPr>
          <w:fldChar w:fldCharType="end"/>
        </w:r>
      </w:hyperlink>
    </w:p>
    <w:p w:rsidR="00B36E70" w:rsidRDefault="00B36E70">
      <w:pPr>
        <w:pStyle w:val="TOC3"/>
        <w:rPr>
          <w:rFonts w:asciiTheme="minorHAnsi" w:eastAsiaTheme="minorEastAsia" w:hAnsiTheme="minorHAnsi" w:cstheme="minorBidi"/>
          <w:smallCaps w:val="0"/>
          <w:noProof/>
          <w:sz w:val="22"/>
          <w:lang w:val="en-US" w:eastAsia="en-US"/>
        </w:rPr>
      </w:pPr>
      <w:hyperlink w:anchor="_Toc401641612" w:history="1">
        <w:r w:rsidRPr="00E82A05">
          <w:rPr>
            <w:rStyle w:val="Hyperlink"/>
            <w:noProof/>
          </w:rPr>
          <w:t>Kundensupport</w:t>
        </w:r>
        <w:r>
          <w:rPr>
            <w:noProof/>
            <w:webHidden/>
          </w:rPr>
          <w:tab/>
        </w:r>
        <w:r>
          <w:rPr>
            <w:noProof/>
            <w:webHidden/>
          </w:rPr>
          <w:fldChar w:fldCharType="begin"/>
        </w:r>
        <w:r>
          <w:rPr>
            <w:noProof/>
            <w:webHidden/>
          </w:rPr>
          <w:instrText xml:space="preserve"> PAGEREF _Toc401641612 \h </w:instrText>
        </w:r>
        <w:r>
          <w:rPr>
            <w:noProof/>
            <w:webHidden/>
          </w:rPr>
        </w:r>
        <w:r>
          <w:rPr>
            <w:noProof/>
            <w:webHidden/>
          </w:rPr>
          <w:fldChar w:fldCharType="separate"/>
        </w:r>
        <w:r>
          <w:rPr>
            <w:noProof/>
            <w:webHidden/>
          </w:rPr>
          <w:t>27</w:t>
        </w:r>
        <w:r>
          <w:rPr>
            <w:noProof/>
            <w:webHidden/>
          </w:rPr>
          <w:fldChar w:fldCharType="end"/>
        </w:r>
      </w:hyperlink>
    </w:p>
    <w:p w:rsidR="00B36E70" w:rsidRDefault="00B36E70">
      <w:pPr>
        <w:pStyle w:val="TOC3"/>
        <w:rPr>
          <w:rFonts w:asciiTheme="minorHAnsi" w:eastAsiaTheme="minorEastAsia" w:hAnsiTheme="minorHAnsi" w:cstheme="minorBidi"/>
          <w:smallCaps w:val="0"/>
          <w:noProof/>
          <w:sz w:val="22"/>
          <w:lang w:val="en-US" w:eastAsia="en-US"/>
        </w:rPr>
      </w:pPr>
      <w:hyperlink w:anchor="_Toc401641613" w:history="1">
        <w:r w:rsidRPr="00E82A05">
          <w:rPr>
            <w:rStyle w:val="Hyperlink"/>
            <w:noProof/>
          </w:rPr>
          <w:t>Hinweis zu H.264/AVC Visual Standard, VC-1 Video Standard, MPEG-4 Part Visual Standard und MPEG-2 Video Standard</w:t>
        </w:r>
        <w:r>
          <w:rPr>
            <w:noProof/>
            <w:webHidden/>
          </w:rPr>
          <w:tab/>
        </w:r>
        <w:r>
          <w:rPr>
            <w:noProof/>
            <w:webHidden/>
          </w:rPr>
          <w:fldChar w:fldCharType="begin"/>
        </w:r>
        <w:r>
          <w:rPr>
            <w:noProof/>
            <w:webHidden/>
          </w:rPr>
          <w:instrText xml:space="preserve"> PAGEREF _Toc401641613 \h </w:instrText>
        </w:r>
        <w:r>
          <w:rPr>
            <w:noProof/>
            <w:webHidden/>
          </w:rPr>
        </w:r>
        <w:r>
          <w:rPr>
            <w:noProof/>
            <w:webHidden/>
          </w:rPr>
          <w:fldChar w:fldCharType="separate"/>
        </w:r>
        <w:r>
          <w:rPr>
            <w:noProof/>
            <w:webHidden/>
          </w:rPr>
          <w:t>28</w:t>
        </w:r>
        <w:r>
          <w:rPr>
            <w:noProof/>
            <w:webHidden/>
          </w:rPr>
          <w:fldChar w:fldCharType="end"/>
        </w:r>
      </w:hyperlink>
    </w:p>
    <w:p w:rsidR="00B36E70" w:rsidRDefault="00B36E70">
      <w:pPr>
        <w:pStyle w:val="TOC1"/>
        <w:tabs>
          <w:tab w:val="right" w:leader="dot" w:pos="5030"/>
        </w:tabs>
        <w:rPr>
          <w:rFonts w:asciiTheme="minorHAnsi" w:eastAsiaTheme="minorEastAsia" w:hAnsiTheme="minorHAnsi" w:cstheme="minorBidi"/>
          <w:b w:val="0"/>
          <w:caps w:val="0"/>
          <w:noProof/>
          <w:sz w:val="22"/>
          <w:lang w:val="en-US" w:eastAsia="en-US"/>
        </w:rPr>
      </w:pPr>
      <w:hyperlink w:anchor="_Toc401641614" w:history="1">
        <w:r w:rsidRPr="00E82A05">
          <w:rPr>
            <w:rStyle w:val="Hyperlink"/>
            <w:noProof/>
          </w:rPr>
          <w:t>Anhang 2 – Abonnementlizenzen für Suites</w:t>
        </w:r>
        <w:r>
          <w:rPr>
            <w:noProof/>
            <w:webHidden/>
          </w:rPr>
          <w:tab/>
        </w:r>
        <w:r>
          <w:rPr>
            <w:noProof/>
            <w:webHidden/>
          </w:rPr>
          <w:fldChar w:fldCharType="begin"/>
        </w:r>
        <w:r>
          <w:rPr>
            <w:noProof/>
            <w:webHidden/>
          </w:rPr>
          <w:instrText xml:space="preserve"> PAGEREF _Toc401641614 \h </w:instrText>
        </w:r>
        <w:r>
          <w:rPr>
            <w:noProof/>
            <w:webHidden/>
          </w:rPr>
        </w:r>
        <w:r>
          <w:rPr>
            <w:noProof/>
            <w:webHidden/>
          </w:rPr>
          <w:fldChar w:fldCharType="separate"/>
        </w:r>
        <w:r>
          <w:rPr>
            <w:noProof/>
            <w:webHidden/>
          </w:rPr>
          <w:t>29</w:t>
        </w:r>
        <w:r>
          <w:rPr>
            <w:noProof/>
            <w:webHidden/>
          </w:rPr>
          <w:fldChar w:fldCharType="end"/>
        </w:r>
      </w:hyperlink>
    </w:p>
    <w:p w:rsidR="00B36E70" w:rsidRDefault="00B36E70">
      <w:pPr>
        <w:pStyle w:val="TOC1"/>
        <w:tabs>
          <w:tab w:val="right" w:leader="dot" w:pos="5030"/>
        </w:tabs>
        <w:rPr>
          <w:rFonts w:asciiTheme="minorHAnsi" w:eastAsiaTheme="minorEastAsia" w:hAnsiTheme="minorHAnsi" w:cstheme="minorBidi"/>
          <w:b w:val="0"/>
          <w:caps w:val="0"/>
          <w:noProof/>
          <w:sz w:val="22"/>
          <w:lang w:val="en-US" w:eastAsia="en-US"/>
        </w:rPr>
      </w:pPr>
      <w:hyperlink w:anchor="_Toc401641615" w:history="1">
        <w:r w:rsidRPr="00E82A05">
          <w:rPr>
            <w:rStyle w:val="Hyperlink"/>
            <w:noProof/>
          </w:rPr>
          <w:t>Anhang 3 – Die Standardvertragsklauseln (Auftragsverarbeiter)</w:t>
        </w:r>
        <w:r>
          <w:rPr>
            <w:noProof/>
            <w:webHidden/>
          </w:rPr>
          <w:tab/>
        </w:r>
        <w:r>
          <w:rPr>
            <w:noProof/>
            <w:webHidden/>
          </w:rPr>
          <w:fldChar w:fldCharType="begin"/>
        </w:r>
        <w:r>
          <w:rPr>
            <w:noProof/>
            <w:webHidden/>
          </w:rPr>
          <w:instrText xml:space="preserve"> PAGEREF _Toc401641615 \h </w:instrText>
        </w:r>
        <w:r>
          <w:rPr>
            <w:noProof/>
            <w:webHidden/>
          </w:rPr>
        </w:r>
        <w:r>
          <w:rPr>
            <w:noProof/>
            <w:webHidden/>
          </w:rPr>
          <w:fldChar w:fldCharType="separate"/>
        </w:r>
        <w:r>
          <w:rPr>
            <w:noProof/>
            <w:webHidden/>
          </w:rPr>
          <w:t>30</w:t>
        </w:r>
        <w:r>
          <w:rPr>
            <w:noProof/>
            <w:webHidden/>
          </w:rPr>
          <w:fldChar w:fldCharType="end"/>
        </w:r>
      </w:hyperlink>
    </w:p>
    <w:p w:rsidR="00585E19" w:rsidRPr="00444B24" w:rsidRDefault="00585E19" w:rsidP="00A914BF">
      <w:pPr>
        <w:pStyle w:val="ProductList-Body"/>
      </w:pPr>
      <w:r w:rsidRPr="00444B24">
        <w:fldChar w:fldCharType="end"/>
      </w:r>
    </w:p>
    <w:p w:rsidR="00585E19" w:rsidRPr="00444B24" w:rsidRDefault="00585E19" w:rsidP="00A914BF">
      <w:pPr>
        <w:pStyle w:val="ProductList-Body"/>
        <w:sectPr w:rsidR="00585E19" w:rsidRPr="00444B24" w:rsidSect="002931C3">
          <w:type w:val="continuous"/>
          <w:pgSz w:w="12240" w:h="15840"/>
          <w:pgMar w:top="1440" w:right="720" w:bottom="1440" w:left="720" w:header="720" w:footer="720" w:gutter="0"/>
          <w:cols w:num="2" w:space="720"/>
          <w:docGrid w:linePitch="360"/>
        </w:sectPr>
      </w:pPr>
    </w:p>
    <w:p w:rsidR="00585E19" w:rsidRPr="00444B24" w:rsidRDefault="00585E19" w:rsidP="00366C8E">
      <w:pPr>
        <w:pStyle w:val="ProductList-SectionHeading"/>
        <w:outlineLvl w:val="0"/>
      </w:pPr>
      <w:bookmarkStart w:id="3" w:name="Introduction"/>
      <w:bookmarkStart w:id="4" w:name="_Toc401641545"/>
      <w:r w:rsidRPr="00444B24">
        <w:t>Einleitung</w:t>
      </w:r>
      <w:bookmarkEnd w:id="3"/>
      <w:bookmarkEnd w:id="4"/>
    </w:p>
    <w:p w:rsidR="00585E19" w:rsidRPr="00444B24" w:rsidRDefault="00585E19" w:rsidP="00366C8E">
      <w:pPr>
        <w:pStyle w:val="ProductList-Body"/>
        <w:spacing w:after="120"/>
      </w:pPr>
      <w:r w:rsidRPr="00444B24">
        <w:t xml:space="preserve">Zum </w:t>
      </w:r>
      <w:smartTag w:uri="urn:schemas-microsoft-com:office:smarttags" w:element="date">
        <w:smartTagPr>
          <w:attr w:name="Year" w:val="2014"/>
          <w:attr w:name="Day" w:val="1"/>
          <w:attr w:name="Month" w:val="7"/>
          <w:attr w:name="ls" w:val="trans"/>
        </w:smartTagPr>
        <w:r w:rsidRPr="00444B24">
          <w:t>1. Juli 2014</w:t>
        </w:r>
      </w:smartTag>
      <w:r w:rsidRPr="00444B24">
        <w:t xml:space="preserve"> wurden die Nutzungsrechte für Onlinedienste (</w:t>
      </w:r>
      <w:r>
        <w:t xml:space="preserve">Online Services Use Rights oder </w:t>
      </w:r>
      <w:r w:rsidRPr="00444B24">
        <w:t>OLSUR) ausgemustert und durch die Bestimmungen für Onlinedienste (</w:t>
      </w:r>
      <w:r>
        <w:t xml:space="preserve">Online Services Terms oder </w:t>
      </w:r>
      <w:r w:rsidRPr="00444B24">
        <w:t>OST) ersetzt.</w:t>
      </w:r>
      <w:r>
        <w:t> </w:t>
      </w:r>
      <w:r w:rsidRPr="00444B24">
        <w:t>Die OST enthalten Bestimmungen, die für die Nutzung von Onlinediensten durch den Kunden gelten. Separate Bestimmungen, einschließlich anderer Datenschutz- und Sicherheitsbestimmungen, gelten für die Verwendung von Nicht von Microsoft stammenden Produkten</w:t>
      </w:r>
      <w:r>
        <w:t> </w:t>
      </w:r>
      <w:r w:rsidRPr="00444B24">
        <w:t>durch den Kunden (wie unten definiert) sowie für andere Produkte und</w:t>
      </w:r>
      <w:r>
        <w:t xml:space="preserve"> Services </w:t>
      </w:r>
      <w:r w:rsidRPr="00444B24">
        <w:t>von Microsoft.</w:t>
      </w:r>
    </w:p>
    <w:p w:rsidR="00585E19" w:rsidRPr="00444B24" w:rsidRDefault="00585E19" w:rsidP="003F6CEE">
      <w:pPr>
        <w:pStyle w:val="ProductList-Body"/>
      </w:pPr>
      <w:r w:rsidRPr="00444B24">
        <w:t>Die meisten Onlinedienste bieten eine Vereinbarung zum Servicelevel (</w:t>
      </w:r>
      <w:r>
        <w:t xml:space="preserve">Service Level Agreement oder </w:t>
      </w:r>
      <w:r w:rsidRPr="00444B24">
        <w:t>SLA) an. Weitere Informationen zu den Onlinedienst-SLA</w:t>
      </w:r>
      <w:r>
        <w:t>s</w:t>
      </w:r>
      <w:r w:rsidRPr="00444B24">
        <w:t xml:space="preserve"> finden Sie unter </w:t>
      </w:r>
      <w:hyperlink r:id="rId17" w:history="1">
        <w:r w:rsidRPr="00444B24">
          <w:rPr>
            <w:rStyle w:val="Hyperlink"/>
            <w:rFonts w:cs="Arial"/>
          </w:rPr>
          <w:t>http://microsoft.com/licensing/contracts</w:t>
        </w:r>
      </w:hyperlink>
      <w:r w:rsidRPr="00444B24">
        <w:t>.</w:t>
      </w:r>
    </w:p>
    <w:p w:rsidR="00585E19" w:rsidRPr="00444B24" w:rsidRDefault="00585E19" w:rsidP="00A914BF">
      <w:pPr>
        <w:pStyle w:val="ProductList-Body"/>
      </w:pPr>
    </w:p>
    <w:p w:rsidR="00585E19" w:rsidRPr="00444B24" w:rsidRDefault="00585E19" w:rsidP="00366C8E">
      <w:pPr>
        <w:pStyle w:val="ProductList-Offering1Heading"/>
        <w:outlineLvl w:val="1"/>
      </w:pPr>
      <w:bookmarkStart w:id="5" w:name="_Toc401641546"/>
      <w:r w:rsidRPr="00444B24">
        <w:t>Frühere Versionen</w:t>
      </w:r>
      <w:bookmarkEnd w:id="5"/>
    </w:p>
    <w:p w:rsidR="00585E19" w:rsidRPr="00444B24" w:rsidRDefault="00585E19" w:rsidP="00A914BF">
      <w:pPr>
        <w:pStyle w:val="ProductList-Body"/>
      </w:pPr>
      <w:r w:rsidRPr="00444B24">
        <w:t>Die OST enthalten Bestimmungen für aktuell verfügbare Onlinedienste. Um frühere Versionen zu erhalten, kann</w:t>
      </w:r>
      <w:r w:rsidRPr="000143E9">
        <w:t xml:space="preserve"> </w:t>
      </w:r>
      <w:r w:rsidRPr="00444B24">
        <w:t xml:space="preserve">sich der Kunde an </w:t>
      </w:r>
      <w:hyperlink r:id="rId18" w:history="1">
        <w:r w:rsidRPr="00444B24">
          <w:rPr>
            <w:rStyle w:val="Hyperlink"/>
            <w:rFonts w:cs="Arial"/>
          </w:rPr>
          <w:t>http://go.microsoft.com/?linkid=9840733</w:t>
        </w:r>
      </w:hyperlink>
      <w:r w:rsidRPr="00444B24">
        <w:t xml:space="preserve"> oder den zuständigen Handelspartner oder Microsoft-Kundenbetreuer wenden.</w:t>
      </w:r>
    </w:p>
    <w:p w:rsidR="00585E19" w:rsidRPr="00444B24" w:rsidRDefault="00585E19" w:rsidP="00A914BF">
      <w:pPr>
        <w:pStyle w:val="ProductList-Body"/>
      </w:pPr>
    </w:p>
    <w:p w:rsidR="00585E19" w:rsidRPr="00444B24" w:rsidRDefault="00585E19"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1641547"/>
      <w:r w:rsidRPr="00444B24">
        <w:t>Verdeutlichungen und Zusammenfassung der Änderungen</w:t>
      </w:r>
      <w:bookmarkEnd w:id="6"/>
      <w:bookmarkEnd w:id="7"/>
      <w:bookmarkEnd w:id="8"/>
      <w:bookmarkEnd w:id="9"/>
      <w:bookmarkEnd w:id="10"/>
      <w:bookmarkEnd w:id="11"/>
      <w:bookmarkEnd w:id="1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95"/>
        <w:gridCol w:w="5395"/>
      </w:tblGrid>
      <w:tr w:rsidR="00585E19" w:rsidRPr="00D73341" w:rsidTr="00D73341">
        <w:trPr>
          <w:tblHeader/>
        </w:trPr>
        <w:tc>
          <w:tcPr>
            <w:tcW w:w="5395" w:type="dxa"/>
            <w:shd w:val="clear" w:color="auto" w:fill="0072C6"/>
          </w:tcPr>
          <w:p w:rsidR="00585E19" w:rsidRPr="00F038DB" w:rsidRDefault="00585E19" w:rsidP="00D73341">
            <w:pPr>
              <w:pStyle w:val="ProductList-Body"/>
              <w:spacing w:before="20" w:after="20"/>
              <w:rPr>
                <w:rFonts w:cs="Arial"/>
                <w:color w:val="FFFFFF"/>
                <w:szCs w:val="22"/>
              </w:rPr>
            </w:pPr>
            <w:r w:rsidRPr="00F038DB">
              <w:rPr>
                <w:rFonts w:cs="Arial"/>
                <w:color w:val="FFFFFF"/>
                <w:szCs w:val="22"/>
              </w:rPr>
              <w:t>Hinzufügungen</w:t>
            </w:r>
          </w:p>
        </w:tc>
        <w:tc>
          <w:tcPr>
            <w:tcW w:w="5395" w:type="dxa"/>
            <w:shd w:val="clear" w:color="auto" w:fill="0072C6"/>
          </w:tcPr>
          <w:p w:rsidR="00585E19" w:rsidRPr="00F038DB" w:rsidRDefault="00585E19" w:rsidP="00D73341">
            <w:pPr>
              <w:pStyle w:val="ProductList-Body"/>
              <w:spacing w:before="20" w:after="20"/>
              <w:rPr>
                <w:rFonts w:cs="Arial"/>
                <w:color w:val="FFFFFF"/>
                <w:szCs w:val="22"/>
              </w:rPr>
            </w:pPr>
            <w:r w:rsidRPr="00F038DB">
              <w:rPr>
                <w:rFonts w:cs="Arial"/>
                <w:color w:val="FFFFFF"/>
                <w:szCs w:val="22"/>
              </w:rPr>
              <w:t>Streichungen</w:t>
            </w:r>
          </w:p>
        </w:tc>
      </w:tr>
      <w:tr w:rsidR="00585E19" w:rsidRPr="00D73341" w:rsidTr="00D73341">
        <w:tc>
          <w:tcPr>
            <w:tcW w:w="5395" w:type="dxa"/>
          </w:tcPr>
          <w:p w:rsidR="00585E19" w:rsidRPr="00F038DB" w:rsidRDefault="00585E19" w:rsidP="0080135B">
            <w:pPr>
              <w:pStyle w:val="ProductList-Body"/>
              <w:rPr>
                <w:rFonts w:cs="Arial"/>
                <w:szCs w:val="22"/>
              </w:rPr>
            </w:pPr>
            <w:r w:rsidRPr="00F038DB">
              <w:rPr>
                <w:rFonts w:cs="Arial"/>
                <w:szCs w:val="22"/>
              </w:rPr>
              <w:t>Azure Directory Basic</w:t>
            </w:r>
          </w:p>
        </w:tc>
        <w:tc>
          <w:tcPr>
            <w:tcW w:w="5395" w:type="dxa"/>
          </w:tcPr>
          <w:p w:rsidR="00585E19" w:rsidRPr="00F038DB" w:rsidRDefault="00585E19" w:rsidP="0080135B">
            <w:pPr>
              <w:pStyle w:val="ProductList-Body"/>
              <w:rPr>
                <w:rFonts w:cs="Arial"/>
                <w:szCs w:val="22"/>
              </w:rPr>
            </w:pPr>
          </w:p>
        </w:tc>
      </w:tr>
      <w:tr w:rsidR="00585E19" w:rsidRPr="00695BB1" w:rsidTr="00D73341">
        <w:tc>
          <w:tcPr>
            <w:tcW w:w="5395" w:type="dxa"/>
          </w:tcPr>
          <w:p w:rsidR="00585E19" w:rsidRPr="00F038DB" w:rsidRDefault="00585E19" w:rsidP="00FE2524">
            <w:pPr>
              <w:pStyle w:val="ProductList-Body"/>
              <w:rPr>
                <w:rFonts w:cs="Arial"/>
                <w:szCs w:val="22"/>
                <w:lang w:val="en-US"/>
              </w:rPr>
            </w:pPr>
            <w:r w:rsidRPr="00F038DB">
              <w:rPr>
                <w:rFonts w:cs="Arial"/>
                <w:szCs w:val="22"/>
                <w:lang w:val="en-US"/>
              </w:rPr>
              <w:t>Microsoft Dynamics Marketing Sales Collaboration</w:t>
            </w:r>
          </w:p>
        </w:tc>
        <w:tc>
          <w:tcPr>
            <w:tcW w:w="5395" w:type="dxa"/>
          </w:tcPr>
          <w:p w:rsidR="00585E19" w:rsidRPr="00F038DB" w:rsidRDefault="00585E19" w:rsidP="00FE2524">
            <w:pPr>
              <w:pStyle w:val="ProductList-Body"/>
              <w:rPr>
                <w:rFonts w:cs="Arial"/>
                <w:szCs w:val="22"/>
                <w:lang w:val="en-US"/>
              </w:rPr>
            </w:pPr>
          </w:p>
        </w:tc>
      </w:tr>
      <w:tr w:rsidR="00585E19" w:rsidRPr="00D73341" w:rsidTr="00D73341">
        <w:tc>
          <w:tcPr>
            <w:tcW w:w="5395" w:type="dxa"/>
          </w:tcPr>
          <w:p w:rsidR="00585E19" w:rsidRPr="00F038DB" w:rsidRDefault="00585E19" w:rsidP="00FE2524">
            <w:pPr>
              <w:pStyle w:val="ProductList-Body"/>
              <w:rPr>
                <w:rFonts w:cs="Arial"/>
                <w:szCs w:val="22"/>
              </w:rPr>
            </w:pPr>
            <w:r w:rsidRPr="00F038DB">
              <w:rPr>
                <w:rFonts w:cs="Arial"/>
                <w:szCs w:val="22"/>
              </w:rPr>
              <w:t>Office 365 Business</w:t>
            </w:r>
          </w:p>
        </w:tc>
        <w:tc>
          <w:tcPr>
            <w:tcW w:w="5395" w:type="dxa"/>
          </w:tcPr>
          <w:p w:rsidR="00585E19" w:rsidRPr="00F038DB" w:rsidRDefault="00585E19" w:rsidP="00FE2524">
            <w:pPr>
              <w:pStyle w:val="ProductList-Body"/>
              <w:rPr>
                <w:rFonts w:cs="Arial"/>
                <w:szCs w:val="22"/>
              </w:rPr>
            </w:pPr>
          </w:p>
        </w:tc>
      </w:tr>
      <w:tr w:rsidR="00585E19" w:rsidRPr="00D73341" w:rsidTr="00D73341">
        <w:tc>
          <w:tcPr>
            <w:tcW w:w="5395" w:type="dxa"/>
          </w:tcPr>
          <w:p w:rsidR="00585E19" w:rsidRPr="00F038DB" w:rsidRDefault="00585E19" w:rsidP="00FE2524">
            <w:pPr>
              <w:pStyle w:val="ProductList-Body"/>
              <w:rPr>
                <w:rFonts w:cs="Arial"/>
                <w:szCs w:val="22"/>
              </w:rPr>
            </w:pPr>
            <w:r w:rsidRPr="00F038DB">
              <w:rPr>
                <w:rFonts w:cs="Arial"/>
                <w:szCs w:val="22"/>
              </w:rPr>
              <w:t>Parature, von Microsoft</w:t>
            </w:r>
          </w:p>
        </w:tc>
        <w:tc>
          <w:tcPr>
            <w:tcW w:w="5395" w:type="dxa"/>
          </w:tcPr>
          <w:p w:rsidR="00585E19" w:rsidRPr="00F038DB" w:rsidRDefault="00585E19" w:rsidP="00FE2524">
            <w:pPr>
              <w:pStyle w:val="ProductList-Body"/>
              <w:rPr>
                <w:rFonts w:cs="Arial"/>
                <w:szCs w:val="22"/>
              </w:rPr>
            </w:pPr>
          </w:p>
        </w:tc>
      </w:tr>
    </w:tbl>
    <w:p w:rsidR="00585E19" w:rsidRPr="00444B24" w:rsidRDefault="00585E19" w:rsidP="00862C50">
      <w:pPr>
        <w:pStyle w:val="ProductList-Body"/>
      </w:pPr>
    </w:p>
    <w:p w:rsidR="00585E19" w:rsidRDefault="00585E19" w:rsidP="00A914BF">
      <w:pPr>
        <w:pStyle w:val="ProductList-Body"/>
        <w:rPr>
          <w:b/>
          <w:color w:val="00188F"/>
          <w:szCs w:val="18"/>
        </w:rPr>
      </w:pPr>
      <w:r w:rsidRPr="00444B24">
        <w:rPr>
          <w:b/>
          <w:color w:val="00188F"/>
          <w:szCs w:val="18"/>
        </w:rPr>
        <w:t>Änderungen</w:t>
      </w:r>
    </w:p>
    <w:p w:rsidR="00585E19" w:rsidRDefault="00585E19" w:rsidP="00A914BF">
      <w:pPr>
        <w:pStyle w:val="ProductList-Body"/>
        <w:rPr>
          <w:b/>
          <w:color w:val="00188F"/>
          <w:szCs w:val="18"/>
        </w:rPr>
      </w:pPr>
    </w:p>
    <w:p w:rsidR="00585E19" w:rsidRPr="003C7A47" w:rsidRDefault="00585E19" w:rsidP="00D020D8">
      <w:pPr>
        <w:pStyle w:val="ProductList-Body"/>
        <w:rPr>
          <w:b/>
          <w:color w:val="00188F"/>
          <w:szCs w:val="18"/>
        </w:rPr>
      </w:pPr>
      <w:r w:rsidRPr="003C7A47">
        <w:rPr>
          <w:b/>
          <w:color w:val="00188F"/>
          <w:szCs w:val="18"/>
        </w:rPr>
        <w:t>Übersetzung</w:t>
      </w:r>
    </w:p>
    <w:p w:rsidR="00585E19" w:rsidRPr="00444B24" w:rsidRDefault="00585E19" w:rsidP="00D020D8">
      <w:pPr>
        <w:pStyle w:val="ProductList-Body"/>
        <w:spacing w:before="40"/>
      </w:pPr>
      <w:r w:rsidRPr="003C7A47">
        <w:t>Die deutsche Übersetzung der Version vom 1. Oktober 2014 dieser OST wurde verbessert.</w:t>
      </w:r>
    </w:p>
    <w:p w:rsidR="00585E19" w:rsidRPr="00444B24" w:rsidRDefault="00585E19" w:rsidP="00B96540">
      <w:pPr>
        <w:pStyle w:val="ProductList-Body"/>
      </w:pPr>
    </w:p>
    <w:p w:rsidR="00585E19" w:rsidRPr="00444B24" w:rsidRDefault="00585E19" w:rsidP="00B96540">
      <w:pPr>
        <w:pStyle w:val="ProductList-Body"/>
      </w:pPr>
      <w:r w:rsidRPr="00444B24">
        <w:rPr>
          <w:b/>
          <w:color w:val="00188F"/>
        </w:rPr>
        <w:t>Allgemeine Bestimmungen</w:t>
      </w:r>
    </w:p>
    <w:p w:rsidR="00585E19" w:rsidRPr="00444B24" w:rsidRDefault="00585E19" w:rsidP="00FC5782">
      <w:pPr>
        <w:pStyle w:val="ProductList-Body"/>
        <w:spacing w:before="40"/>
      </w:pPr>
      <w:r>
        <w:t>Im Abschnitt „Einhaltung von gesetzlichen Regelungen“ wird verdeutlicht, dass Microsoft nicht ermittelt, ob Kundendaten bestimmten Gesetzen oder Vorschriften unterliegen.</w:t>
      </w:r>
    </w:p>
    <w:p w:rsidR="00585E19" w:rsidRPr="00444B24" w:rsidRDefault="00585E19" w:rsidP="00A914BF">
      <w:pPr>
        <w:pStyle w:val="ProductList-Body"/>
      </w:pPr>
    </w:p>
    <w:p w:rsidR="00585E19" w:rsidRPr="00444B24" w:rsidRDefault="00585E19" w:rsidP="00A914BF">
      <w:pPr>
        <w:pStyle w:val="ProductList-Body"/>
      </w:pPr>
      <w:r w:rsidRPr="00444B24">
        <w:rPr>
          <w:b/>
          <w:color w:val="00188F"/>
        </w:rPr>
        <w:t>Datenschutz- und Sicherheitsbestimmungen</w:t>
      </w:r>
    </w:p>
    <w:p w:rsidR="00585E19" w:rsidRPr="00444B24" w:rsidRDefault="00585E19" w:rsidP="00A769CE">
      <w:pPr>
        <w:pStyle w:val="ProductList-Body"/>
        <w:numPr>
          <w:ilvl w:val="0"/>
          <w:numId w:val="30"/>
        </w:numPr>
        <w:tabs>
          <w:tab w:val="clear" w:pos="158"/>
        </w:tabs>
        <w:ind w:left="360" w:hanging="180"/>
      </w:pPr>
      <w:r w:rsidRPr="00444B24">
        <w:t>Im Abschnitt „Allgemeine Datenschutz- und Sicherheitsbestimmungen</w:t>
      </w:r>
      <w:r>
        <w:t>“</w:t>
      </w:r>
      <w:r w:rsidRPr="00444B24">
        <w:t xml:space="preserve"> wurde Parature, von Microsoft, der Liste der nicht abgedeckten Onlinedienste hinzugefügt.</w:t>
      </w:r>
    </w:p>
    <w:p w:rsidR="00585E19" w:rsidRPr="00444B24" w:rsidRDefault="00585E19" w:rsidP="00A769CE">
      <w:pPr>
        <w:pStyle w:val="ProductList-Body"/>
        <w:numPr>
          <w:ilvl w:val="0"/>
          <w:numId w:val="30"/>
        </w:numPr>
        <w:tabs>
          <w:tab w:val="clear" w:pos="158"/>
        </w:tabs>
        <w:ind w:left="360" w:hanging="180"/>
      </w:pPr>
      <w:r w:rsidRPr="00444B24">
        <w:t>Im Abschnitt „Bestimmungen für die Datenverarbeitung“ wurde Parature der Liste der Elemente hinzugefügt, die</w:t>
      </w:r>
      <w:r>
        <w:t xml:space="preserve"> nicht in den </w:t>
      </w:r>
      <w:r w:rsidRPr="00444B24">
        <w:t>„Onlinedienste</w:t>
      </w:r>
      <w:r>
        <w:t>n</w:t>
      </w:r>
      <w:r w:rsidRPr="00444B24">
        <w:t>“ mit</w:t>
      </w:r>
      <w:r>
        <w:t> </w:t>
      </w:r>
      <w:r w:rsidRPr="00444B24">
        <w:t xml:space="preserve">Microsoft Dynamics CRM Online </w:t>
      </w:r>
      <w:r>
        <w:t>enthalten sind</w:t>
      </w:r>
      <w:r w:rsidRPr="00444B24">
        <w:t>.</w:t>
      </w:r>
    </w:p>
    <w:p w:rsidR="00585E19" w:rsidRPr="00444B24" w:rsidRDefault="00585E19" w:rsidP="00A769CE">
      <w:pPr>
        <w:pStyle w:val="ProductList-Body"/>
        <w:numPr>
          <w:ilvl w:val="0"/>
          <w:numId w:val="30"/>
        </w:numPr>
        <w:tabs>
          <w:tab w:val="clear" w:pos="158"/>
        </w:tabs>
        <w:ind w:left="360" w:hanging="180"/>
      </w:pPr>
      <w:r w:rsidRPr="00444B24">
        <w:t>Im Abschnitt „Bestimmungen für die Datenverarbeitung“ wurde Exchange Online Protection der Liste der Elemente hinzugefügt, die</w:t>
      </w:r>
      <w:r>
        <w:t xml:space="preserve"> </w:t>
      </w:r>
      <w:r w:rsidRPr="00444B24">
        <w:t>in</w:t>
      </w:r>
      <w:r>
        <w:t xml:space="preserve"> den </w:t>
      </w:r>
      <w:r w:rsidRPr="00444B24">
        <w:t>„Onlinedienste</w:t>
      </w:r>
      <w:r>
        <w:t>n</w:t>
      </w:r>
      <w:r w:rsidRPr="00444B24">
        <w:t xml:space="preserve">“ für Office 365 </w:t>
      </w:r>
      <w:r>
        <w:t>enthalten sind</w:t>
      </w:r>
      <w:r w:rsidRPr="00444B24">
        <w:t>.</w:t>
      </w:r>
    </w:p>
    <w:p w:rsidR="00585E19" w:rsidRPr="00444B24" w:rsidRDefault="00585E19" w:rsidP="00A914BF">
      <w:pPr>
        <w:pStyle w:val="ProductList-Body"/>
      </w:pPr>
    </w:p>
    <w:p w:rsidR="00585E19" w:rsidRPr="00444B24" w:rsidRDefault="00585E19" w:rsidP="00A84F89">
      <w:pPr>
        <w:pStyle w:val="ProductList-Body"/>
      </w:pPr>
      <w:r w:rsidRPr="00444B24">
        <w:rPr>
          <w:b/>
          <w:color w:val="00188F"/>
        </w:rPr>
        <w:t xml:space="preserve">Add-Ons für Instanzen und Speicher </w:t>
      </w:r>
    </w:p>
    <w:p w:rsidR="00585E19" w:rsidRPr="00444B24" w:rsidRDefault="00585E19" w:rsidP="00FA7049">
      <w:pPr>
        <w:pStyle w:val="ProductList-Body"/>
      </w:pPr>
      <w:r>
        <w:t>Informationen hinsichtlich der Add-On-ALs für Instanzen und Add-Ons für Speicher sind in den Produktsupportmaterialien enthalten.</w:t>
      </w:r>
    </w:p>
    <w:p w:rsidR="00585E19" w:rsidRPr="00444B24" w:rsidRDefault="00585E19" w:rsidP="00FA7049">
      <w:pPr>
        <w:pStyle w:val="ProductList-Body"/>
      </w:pPr>
    </w:p>
    <w:p w:rsidR="00585E19" w:rsidRPr="00444B24" w:rsidRDefault="00585E19" w:rsidP="00A84F89">
      <w:pPr>
        <w:pStyle w:val="ProductList-Body"/>
      </w:pPr>
      <w:r>
        <w:rPr>
          <w:b/>
          <w:color w:val="00188F"/>
        </w:rPr>
        <w:t xml:space="preserve">Enterprise Mobility-Dienste </w:t>
      </w:r>
    </w:p>
    <w:p w:rsidR="00585E19" w:rsidRPr="00444B24" w:rsidRDefault="00585E19" w:rsidP="00A84F89">
      <w:pPr>
        <w:pStyle w:val="ProductList-Body"/>
      </w:pPr>
      <w:r w:rsidRPr="00444B24">
        <w:t xml:space="preserve">Es wurde eine neue Familie von Onlinediensten geschaffen, die Onlinedienste umfasst, welche als Enterprise Mobility Suite erworben werden können, sowie weitere Onlinedienste, die nicht zur Suite gehören. </w:t>
      </w:r>
    </w:p>
    <w:p w:rsidR="00585E19" w:rsidRPr="00444B24" w:rsidRDefault="00585E19" w:rsidP="00A914BF">
      <w:pPr>
        <w:pStyle w:val="ProductList-Body"/>
      </w:pPr>
    </w:p>
    <w:p w:rsidR="00585E19" w:rsidRPr="00444B24" w:rsidRDefault="00585E19" w:rsidP="00A914BF">
      <w:pPr>
        <w:pStyle w:val="ProductList-Body"/>
      </w:pPr>
      <w:r w:rsidRPr="00444B24">
        <w:rPr>
          <w:b/>
          <w:color w:val="00188F"/>
        </w:rPr>
        <w:t>Microsoft Azure-Dienste</w:t>
      </w:r>
    </w:p>
    <w:p w:rsidR="00585E19" w:rsidRPr="00444B24" w:rsidRDefault="00585E19" w:rsidP="00AA2A25">
      <w:pPr>
        <w:pStyle w:val="ProductList-Body"/>
      </w:pPr>
      <w:r w:rsidRPr="00444B24">
        <w:t>Schreibfehler in den Juli-OST korrigiert:</w:t>
      </w:r>
      <w:r>
        <w:t xml:space="preserve"> </w:t>
      </w:r>
      <w:r w:rsidRPr="00444B24">
        <w:t xml:space="preserve">Der Hyperlink in der Definition der „Microsoft Azure-Dienste“ wurde wieder in den Hyperlink aus dem </w:t>
      </w:r>
      <w:r>
        <w:br/>
      </w:r>
      <w:r w:rsidRPr="00444B24">
        <w:t>April-Dokument der Nutzungsrechte für Onlinedienste (OLSUR) geändert.</w:t>
      </w:r>
    </w:p>
    <w:p w:rsidR="00585E19" w:rsidRPr="00444B24" w:rsidRDefault="00585E19" w:rsidP="00AA2A25">
      <w:pPr>
        <w:pStyle w:val="ProductList-Body"/>
      </w:pPr>
    </w:p>
    <w:p w:rsidR="00585E19" w:rsidRPr="00444B24" w:rsidRDefault="00585E19" w:rsidP="00A914BF">
      <w:pPr>
        <w:pStyle w:val="ProductList-Body"/>
      </w:pPr>
      <w:r w:rsidRPr="00444B24">
        <w:rPr>
          <w:b/>
          <w:color w:val="00188F"/>
        </w:rPr>
        <w:t>Microsoft Dynamics Online</w:t>
      </w:r>
    </w:p>
    <w:p w:rsidR="00585E19" w:rsidRPr="00444B24" w:rsidRDefault="00585E19" w:rsidP="00A769CE">
      <w:pPr>
        <w:pStyle w:val="ProductList-Body"/>
        <w:numPr>
          <w:ilvl w:val="0"/>
          <w:numId w:val="27"/>
        </w:numPr>
        <w:tabs>
          <w:tab w:val="clear" w:pos="158"/>
        </w:tabs>
        <w:ind w:left="360" w:hanging="180"/>
      </w:pPr>
      <w:r w:rsidRPr="00444B24">
        <w:t xml:space="preserve">Der Name der Produktfamilie Microsoft Dynamics Online wurde </w:t>
      </w:r>
      <w:r>
        <w:t>in</w:t>
      </w:r>
      <w:r w:rsidRPr="00444B24">
        <w:t xml:space="preserve"> Microsoft Dynamics-Onlinedienste geändert.</w:t>
      </w:r>
    </w:p>
    <w:p w:rsidR="00585E19" w:rsidRPr="00444B24" w:rsidRDefault="00585E19" w:rsidP="00A769CE">
      <w:pPr>
        <w:pStyle w:val="ProductList-Body"/>
        <w:numPr>
          <w:ilvl w:val="0"/>
          <w:numId w:val="27"/>
        </w:numPr>
        <w:tabs>
          <w:tab w:val="clear" w:pos="158"/>
        </w:tabs>
        <w:ind w:left="360" w:hanging="180"/>
      </w:pPr>
      <w:r w:rsidRPr="00444B24">
        <w:t>Die Produktfamilie wurde in Untergruppen von Onlinediensten organisiert, und es wurde geklärt, welche Bestimmungen für alle Produkte bzw. nur für Untergruppen gelten.</w:t>
      </w:r>
    </w:p>
    <w:p w:rsidR="00585E19" w:rsidRDefault="00585E19" w:rsidP="00A914BF">
      <w:pPr>
        <w:pStyle w:val="ProductList-Body"/>
      </w:pPr>
    </w:p>
    <w:p w:rsidR="00585E19" w:rsidRDefault="00585E19" w:rsidP="00A914BF">
      <w:pPr>
        <w:pStyle w:val="ProductList-Body"/>
      </w:pPr>
    </w:p>
    <w:p w:rsidR="00585E19" w:rsidRDefault="00585E19" w:rsidP="00A914BF">
      <w:pPr>
        <w:pStyle w:val="ProductList-Body"/>
      </w:pPr>
    </w:p>
    <w:p w:rsidR="00585E19" w:rsidRPr="00444B24" w:rsidRDefault="00585E19" w:rsidP="00A914BF">
      <w:pPr>
        <w:pStyle w:val="ProductList-Body"/>
      </w:pPr>
      <w:r w:rsidRPr="00444B24">
        <w:rPr>
          <w:b/>
          <w:color w:val="00188F"/>
        </w:rPr>
        <w:t>Office 365-Dienste</w:t>
      </w:r>
    </w:p>
    <w:p w:rsidR="00585E19" w:rsidRPr="00444B24" w:rsidRDefault="00585E19" w:rsidP="00A769CE">
      <w:pPr>
        <w:pStyle w:val="ProductList-Body"/>
        <w:numPr>
          <w:ilvl w:val="0"/>
          <w:numId w:val="28"/>
        </w:numPr>
        <w:tabs>
          <w:tab w:val="clear" w:pos="158"/>
        </w:tabs>
        <w:ind w:left="360" w:hanging="180"/>
      </w:pPr>
      <w:r w:rsidRPr="00444B24">
        <w:t xml:space="preserve">Office 365 ProPlus wurde der Liste der Office 365-Dienste hinzugefügt, die von der Vereinbarung zum Servicelevel </w:t>
      </w:r>
      <w:r>
        <w:t>abgedeckt werden.</w:t>
      </w:r>
    </w:p>
    <w:p w:rsidR="00585E19" w:rsidRPr="00444B24" w:rsidRDefault="00585E19" w:rsidP="00A769CE">
      <w:pPr>
        <w:pStyle w:val="ProductList-Body"/>
        <w:numPr>
          <w:ilvl w:val="0"/>
          <w:numId w:val="28"/>
        </w:numPr>
        <w:tabs>
          <w:tab w:val="clear" w:pos="158"/>
        </w:tabs>
        <w:ind w:left="360" w:hanging="180"/>
      </w:pPr>
      <w:r w:rsidRPr="00444B24">
        <w:t xml:space="preserve">Im Abschnitt „Rechte zur Installation und Nutzung“ für Office </w:t>
      </w:r>
      <w:r>
        <w:t>365-Anwendungen wurde</w:t>
      </w:r>
      <w:r w:rsidRPr="00444B24">
        <w:t xml:space="preserve"> das Recht der</w:t>
      </w:r>
      <w:r>
        <w:t xml:space="preserve"> Nutzer </w:t>
      </w:r>
      <w:r w:rsidRPr="00444B24">
        <w:t xml:space="preserve">hinzugefügt, Software mit Shared Computer Activation (SCA) auf einem Netzwerkserver oder </w:t>
      </w:r>
      <w:r>
        <w:t xml:space="preserve">auf </w:t>
      </w:r>
      <w:r w:rsidRPr="00444B24">
        <w:t>Microsoft Azure Platform-Diensten zu installieren.</w:t>
      </w:r>
    </w:p>
    <w:p w:rsidR="00585E19" w:rsidRPr="00444B24" w:rsidRDefault="00585E19" w:rsidP="00A914BF">
      <w:pPr>
        <w:pStyle w:val="ProductList-Body"/>
      </w:pPr>
    </w:p>
    <w:p w:rsidR="00585E19" w:rsidRPr="00444B24" w:rsidRDefault="00585E19" w:rsidP="00A84F89">
      <w:pPr>
        <w:pStyle w:val="ProductList-Body"/>
      </w:pPr>
      <w:r w:rsidRPr="00444B24">
        <w:rPr>
          <w:b/>
          <w:color w:val="00188F"/>
        </w:rPr>
        <w:t>Sonstige Onlinedienste</w:t>
      </w:r>
    </w:p>
    <w:p w:rsidR="00585E19" w:rsidRPr="00444B24" w:rsidRDefault="00585E19" w:rsidP="00A769CE">
      <w:pPr>
        <w:pStyle w:val="ProductList-Body"/>
        <w:numPr>
          <w:ilvl w:val="0"/>
          <w:numId w:val="29"/>
        </w:numPr>
        <w:tabs>
          <w:tab w:val="clear" w:pos="158"/>
        </w:tabs>
        <w:ind w:left="360" w:hanging="180"/>
      </w:pPr>
      <w:r w:rsidRPr="00444B24">
        <w:t>Der Name Microsoft Azure Directory Premium wurde</w:t>
      </w:r>
      <w:r>
        <w:t xml:space="preserve"> in </w:t>
      </w:r>
      <w:r w:rsidRPr="00444B24">
        <w:t xml:space="preserve">Azure Active Directory Premium geändert und in die Produktfamilie der </w:t>
      </w:r>
      <w:r>
        <w:t xml:space="preserve">Enterprise Mobility-Dienste </w:t>
      </w:r>
      <w:r w:rsidRPr="00444B24">
        <w:t>verschoben.</w:t>
      </w:r>
    </w:p>
    <w:p w:rsidR="00585E19" w:rsidRPr="00444B24" w:rsidRDefault="00585E19" w:rsidP="00A769CE">
      <w:pPr>
        <w:pStyle w:val="ProductList-Body"/>
        <w:numPr>
          <w:ilvl w:val="0"/>
          <w:numId w:val="29"/>
        </w:numPr>
        <w:tabs>
          <w:tab w:val="clear" w:pos="158"/>
        </w:tabs>
        <w:ind w:left="360" w:hanging="180"/>
      </w:pPr>
      <w:r w:rsidRPr="00444B24">
        <w:t>Der Name Microsoft Rights Management wurde</w:t>
      </w:r>
      <w:r>
        <w:t xml:space="preserve"> in </w:t>
      </w:r>
      <w:r w:rsidRPr="00444B24">
        <w:t xml:space="preserve">Azure Rights Management Service geändert und in die Produktfamilie der </w:t>
      </w:r>
      <w:r>
        <w:t xml:space="preserve">Enterprise Mobility-Dienste </w:t>
      </w:r>
      <w:r w:rsidRPr="00444B24">
        <w:t xml:space="preserve">verschoben. </w:t>
      </w:r>
    </w:p>
    <w:p w:rsidR="00585E19" w:rsidRPr="00444B24" w:rsidRDefault="00585E19" w:rsidP="00A914BF">
      <w:pPr>
        <w:pStyle w:val="ProductList-Body"/>
      </w:pPr>
    </w:p>
    <w:p w:rsidR="00585E19" w:rsidRPr="00444B24" w:rsidRDefault="00585E19" w:rsidP="00A914BF">
      <w:pPr>
        <w:pStyle w:val="ProductList-Body"/>
      </w:pPr>
      <w:r w:rsidRPr="00444B24">
        <w:rPr>
          <w:b/>
          <w:color w:val="00188F"/>
        </w:rPr>
        <w:t>Windows Intune</w:t>
      </w:r>
    </w:p>
    <w:p w:rsidR="00585E19" w:rsidRPr="00444B24" w:rsidRDefault="00585E19" w:rsidP="00A914BF">
      <w:pPr>
        <w:pStyle w:val="ProductList-Body"/>
      </w:pPr>
      <w:r w:rsidRPr="00444B24">
        <w:t xml:space="preserve">In die Produktfamilie der </w:t>
      </w:r>
      <w:r>
        <w:t xml:space="preserve">Enterprise Mobility-Dienste </w:t>
      </w:r>
      <w:r w:rsidRPr="00444B24">
        <w:t>verschoben.</w:t>
      </w:r>
    </w:p>
    <w:p w:rsidR="00585E19" w:rsidRPr="00444B24" w:rsidRDefault="00585E19" w:rsidP="00A914BF">
      <w:pPr>
        <w:pStyle w:val="ProductList-Body"/>
      </w:pPr>
    </w:p>
    <w:p w:rsidR="00585E19" w:rsidRPr="00444B24" w:rsidRDefault="00585E19" w:rsidP="00AC73FD">
      <w:pPr>
        <w:pStyle w:val="ProductList-Body"/>
        <w:keepNext/>
        <w:keepLines/>
      </w:pPr>
      <w:r w:rsidRPr="00444B24">
        <w:rPr>
          <w:b/>
          <w:color w:val="00188F"/>
        </w:rPr>
        <w:t>Yammer</w:t>
      </w:r>
    </w:p>
    <w:p w:rsidR="00585E19" w:rsidRPr="00444B24" w:rsidRDefault="00585E19" w:rsidP="00ED0B1B">
      <w:pPr>
        <w:pStyle w:val="ProductList-Body"/>
      </w:pPr>
      <w:r w:rsidRPr="00444B24">
        <w:t xml:space="preserve">Das Verbot der Nutzung durch Kinder unter 13 Jahren wurde </w:t>
      </w:r>
      <w:r>
        <w:t>aufgehoben</w:t>
      </w:r>
      <w:r w:rsidRPr="00444B24">
        <w:t>.</w:t>
      </w:r>
    </w:p>
    <w:p w:rsidR="00585E19" w:rsidRPr="00444B24" w:rsidRDefault="00585E19" w:rsidP="00ED0B1B">
      <w:pPr>
        <w:pStyle w:val="ProductList-Body"/>
      </w:pPr>
    </w:p>
    <w:p w:rsidR="00585E19" w:rsidRPr="00444B24" w:rsidRDefault="00585E19" w:rsidP="00ED0B1B">
      <w:pPr>
        <w:pStyle w:val="ProductList-Body"/>
      </w:pPr>
      <w:r w:rsidRPr="00444B24">
        <w:rPr>
          <w:b/>
          <w:color w:val="00188F"/>
        </w:rPr>
        <w:t>Anhang 1, Hinweise</w:t>
      </w:r>
    </w:p>
    <w:p w:rsidR="00585E19" w:rsidRPr="00444B24" w:rsidRDefault="00585E19" w:rsidP="0084659C">
      <w:pPr>
        <w:pStyle w:val="ProductList-Body"/>
      </w:pPr>
      <w:r w:rsidRPr="00444B24">
        <w:t>Im Hinweis zum H.264/AVC Visual</w:t>
      </w:r>
      <w:r>
        <w:t xml:space="preserve"> </w:t>
      </w:r>
      <w:r w:rsidRPr="00444B24">
        <w:t>Standard, dem VC-1 Video</w:t>
      </w:r>
      <w:r>
        <w:t xml:space="preserve"> </w:t>
      </w:r>
      <w:r w:rsidRPr="00444B24">
        <w:t>Standard, dem MPEG-4</w:t>
      </w:r>
      <w:r>
        <w:t xml:space="preserve"> Part</w:t>
      </w:r>
      <w:r w:rsidRPr="00444B24">
        <w:t xml:space="preserve"> Visual</w:t>
      </w:r>
      <w:r>
        <w:t xml:space="preserve"> </w:t>
      </w:r>
      <w:r w:rsidRPr="00444B24">
        <w:t xml:space="preserve">Standard und dem </w:t>
      </w:r>
      <w:r w:rsidRPr="0084659C">
        <w:t>MPEG-2</w:t>
      </w:r>
      <w:r>
        <w:t xml:space="preserve"> </w:t>
      </w:r>
      <w:r w:rsidRPr="00444B24">
        <w:t>Video</w:t>
      </w:r>
      <w:r>
        <w:t xml:space="preserve"> S</w:t>
      </w:r>
      <w:r w:rsidRPr="00444B24">
        <w:t>tandard wurde der</w:t>
      </w:r>
      <w:r>
        <w:t> </w:t>
      </w:r>
      <w:r w:rsidRPr="00444B24">
        <w:t>Hyperlink korrigiert.</w:t>
      </w:r>
    </w:p>
    <w:p w:rsidR="00585E19" w:rsidRPr="00444B24" w:rsidRDefault="00585E19" w:rsidP="00ED0B1B">
      <w:pPr>
        <w:pStyle w:val="ProductList-Body"/>
      </w:pPr>
    </w:p>
    <w:p w:rsidR="00585E19" w:rsidRPr="00172A00" w:rsidRDefault="00585E19" w:rsidP="00ED0B1B">
      <w:pPr>
        <w:pStyle w:val="ProductList-Body"/>
      </w:pPr>
      <w:r w:rsidRPr="00172A00">
        <w:rPr>
          <w:b/>
          <w:color w:val="00188F"/>
        </w:rPr>
        <w:t>Anhang 2, Abonnementlizenzen für Suites</w:t>
      </w:r>
    </w:p>
    <w:p w:rsidR="00585E19" w:rsidRPr="00A426CD" w:rsidRDefault="00585E19" w:rsidP="00AC73FD">
      <w:pPr>
        <w:pStyle w:val="ProductList-Body"/>
        <w:numPr>
          <w:ilvl w:val="0"/>
          <w:numId w:val="32"/>
        </w:numPr>
        <w:tabs>
          <w:tab w:val="clear" w:pos="158"/>
        </w:tabs>
        <w:ind w:left="360" w:hanging="180"/>
        <w:rPr>
          <w:lang w:val="en-US"/>
        </w:rPr>
      </w:pPr>
      <w:r w:rsidRPr="00A426CD">
        <w:rPr>
          <w:lang w:val="en-US"/>
        </w:rPr>
        <w:t>ALs</w:t>
      </w:r>
      <w:r w:rsidRPr="006D6310">
        <w:rPr>
          <w:lang w:val="en-US"/>
        </w:rPr>
        <w:t xml:space="preserve"> </w:t>
      </w:r>
      <w:r w:rsidRPr="00A426CD">
        <w:rPr>
          <w:lang w:val="en-US"/>
        </w:rPr>
        <w:t>für Office 365 Small Business und Office 365 Small Business Premium Suite</w:t>
      </w:r>
      <w:r>
        <w:rPr>
          <w:lang w:val="en-US"/>
        </w:rPr>
        <w:t>s</w:t>
      </w:r>
      <w:r w:rsidRPr="00A426CD">
        <w:rPr>
          <w:lang w:val="en-US"/>
        </w:rPr>
        <w:t xml:space="preserve"> wurden gelöscht.</w:t>
      </w:r>
    </w:p>
    <w:p w:rsidR="00585E19" w:rsidRPr="00A426CD" w:rsidRDefault="00585E19" w:rsidP="00AC73FD">
      <w:pPr>
        <w:pStyle w:val="ProductList-Body"/>
        <w:numPr>
          <w:ilvl w:val="0"/>
          <w:numId w:val="32"/>
        </w:numPr>
        <w:tabs>
          <w:tab w:val="clear" w:pos="158"/>
        </w:tabs>
        <w:ind w:left="360" w:hanging="180"/>
        <w:rPr>
          <w:lang w:val="en-US"/>
        </w:rPr>
      </w:pPr>
      <w:r w:rsidRPr="00A426CD">
        <w:rPr>
          <w:lang w:val="en-US"/>
        </w:rPr>
        <w:t>ALs für Office 365 Business Essentials, Office 365 Business Premium, Microsoft Dynamics CRM Online Professional und Microsoft Dynamics CRM Online Enterprise Suite</w:t>
      </w:r>
      <w:r>
        <w:rPr>
          <w:lang w:val="en-US"/>
        </w:rPr>
        <w:t>s</w:t>
      </w:r>
      <w:r w:rsidRPr="00A426CD">
        <w:rPr>
          <w:lang w:val="en-US"/>
        </w:rPr>
        <w:t xml:space="preserve"> wurden hinzugefügt.</w:t>
      </w:r>
    </w:p>
    <w:p w:rsidR="00585E19" w:rsidRPr="00A426CD" w:rsidRDefault="00585E19" w:rsidP="00A914BF">
      <w:pPr>
        <w:pStyle w:val="ProductList-Body"/>
        <w:rPr>
          <w:lang w:val="en-US"/>
        </w:rPr>
      </w:pPr>
    </w:p>
    <w:p w:rsidR="00585E19" w:rsidRPr="00A426CD" w:rsidRDefault="00585E19" w:rsidP="00A914BF">
      <w:pPr>
        <w:pStyle w:val="ProductList-Body"/>
        <w:rPr>
          <w:b/>
          <w:color w:val="00188F"/>
          <w:lang w:val="en-US"/>
        </w:rPr>
        <w:sectPr w:rsidR="00585E19" w:rsidRPr="00A426CD" w:rsidSect="00A61B2A">
          <w:footerReference w:type="default" r:id="rId19"/>
          <w:footerReference w:type="first" r:id="rId20"/>
          <w:pgSz w:w="12240" w:h="15840"/>
          <w:pgMar w:top="1440" w:right="720" w:bottom="1440" w:left="720" w:header="720" w:footer="720" w:gutter="0"/>
          <w:cols w:space="720"/>
          <w:titlePg/>
          <w:docGrid w:linePitch="360"/>
        </w:sectPr>
      </w:pPr>
    </w:p>
    <w:p w:rsidR="00585E19" w:rsidRPr="00444B24" w:rsidRDefault="00585E19" w:rsidP="00366C8E">
      <w:pPr>
        <w:pStyle w:val="ProductList-SectionHeading"/>
        <w:outlineLvl w:val="0"/>
      </w:pPr>
      <w:bookmarkStart w:id="13" w:name="GeneralTerms"/>
      <w:bookmarkStart w:id="14" w:name="_Toc401641548"/>
      <w:r w:rsidRPr="00444B24">
        <w:t>Allgemeine Bestimmungen</w:t>
      </w:r>
      <w:bookmarkEnd w:id="13"/>
      <w:bookmarkEnd w:id="14"/>
    </w:p>
    <w:p w:rsidR="00585E19" w:rsidRPr="00444B24" w:rsidRDefault="00585E19" w:rsidP="00A914BF">
      <w:pPr>
        <w:pStyle w:val="ProductList-Body"/>
      </w:pPr>
      <w:r>
        <w:t xml:space="preserve"> Der Kunde ist </w:t>
      </w:r>
      <w:r w:rsidRPr="00444B24">
        <w:t>berechtigt, die Onlinedienste und die zugehörige Software wie im Volumenlizenzvertrag des Kunden ausdrücklich erlaubt zu verwenden. Microsoft behält sich alle anderen Rechte vor.</w:t>
      </w:r>
      <w:r>
        <w:t xml:space="preserve"> Der Kunde ist </w:t>
      </w:r>
      <w:r w:rsidRPr="00444B24">
        <w:t xml:space="preserve">verpflichtet, die entsprechenden Abonnementlizenzen, die für die Nutzung jedes einzelnen Onlinedienstes erforderlich sind, zu erwerben und zuzuweisen. Eine Nutzer-AL ist für jeden Nutzer erforderlich, der auf den Onlinedienst zugreift, sofern nichts Gegenteiliges in den </w:t>
      </w:r>
      <w:hyperlink w:anchor="OnlineServiceSpecificTerms" w:tooltip="Dienstspezifischen Bestimmungen für Onlinedienste" w:history="1">
        <w:r w:rsidRPr="00444B24">
          <w:rPr>
            <w:rStyle w:val="Hyperlink"/>
            <w:rFonts w:cs="Arial"/>
          </w:rPr>
          <w:t>Dienstspezifischen Bestimmungen für Onlinedienste</w:t>
        </w:r>
      </w:hyperlink>
      <w:r w:rsidRPr="00444B24">
        <w:t xml:space="preserve"> festgelegt ist. </w:t>
      </w:r>
      <w:hyperlink w:anchor="Attachment2" w:tooltip="Anhang 2" w:history="1">
        <w:r w:rsidRPr="00444B24">
          <w:rPr>
            <w:rStyle w:val="Hyperlink"/>
            <w:rFonts w:cs="Arial"/>
          </w:rPr>
          <w:t>Anhang 2</w:t>
        </w:r>
      </w:hyperlink>
      <w:r w:rsidRPr="00444B24">
        <w:t xml:space="preserve"> beschreibt AL</w:t>
      </w:r>
      <w:r>
        <w:t xml:space="preserve">s für </w:t>
      </w:r>
      <w:r w:rsidRPr="00444B24">
        <w:t>Suites, die ebenfalls die Anforderungen an Nutzer-ALs erfüllen. Der Kunde ist nicht berechtigt, einen Onlinedienst nach Ablauf der SL für diesen Onlinedienst zu nutzen.</w:t>
      </w:r>
    </w:p>
    <w:p w:rsidR="00585E19" w:rsidRPr="00444B24" w:rsidRDefault="00585E19" w:rsidP="00A914BF">
      <w:pPr>
        <w:pStyle w:val="ProductList-Body"/>
      </w:pPr>
    </w:p>
    <w:p w:rsidR="00585E19" w:rsidRPr="00444B24" w:rsidRDefault="00585E19" w:rsidP="00366C8E">
      <w:pPr>
        <w:pStyle w:val="ProductList-SubSubSectionHeading"/>
        <w:outlineLvl w:val="1"/>
      </w:pPr>
      <w:bookmarkStart w:id="15" w:name="_Toc401641549"/>
      <w:r w:rsidRPr="00444B24">
        <w:t>Definitionen</w:t>
      </w:r>
      <w:bookmarkEnd w:id="15"/>
    </w:p>
    <w:p w:rsidR="00585E19" w:rsidRPr="00444B24" w:rsidRDefault="00585E19" w:rsidP="00337870">
      <w:pPr>
        <w:pStyle w:val="ProductList-Body"/>
        <w:spacing w:after="120"/>
      </w:pPr>
      <w:r w:rsidRPr="00444B24">
        <w:t>Wenn</w:t>
      </w:r>
      <w:r>
        <w:t xml:space="preserve"> einer </w:t>
      </w:r>
      <w:r w:rsidRPr="00444B24">
        <w:t xml:space="preserve">der folgenden Begriffe nicht im Volumenlizenzvertrag des Kunden definiert </w:t>
      </w:r>
      <w:r>
        <w:t>ist</w:t>
      </w:r>
      <w:r w:rsidRPr="00444B24">
        <w:t>, gelten die folgenden Definitionen:</w:t>
      </w:r>
    </w:p>
    <w:p w:rsidR="00585E19" w:rsidRPr="00444B24" w:rsidRDefault="00585E19" w:rsidP="00337870">
      <w:pPr>
        <w:pStyle w:val="ProductList-Body"/>
        <w:spacing w:after="120"/>
      </w:pPr>
      <w:r w:rsidRPr="00444B24">
        <w:t>„Kundendaten“ sind alle Daten, einschließlich sämtlicher Text-, Ton-, Video- oder Bilddateien</w:t>
      </w:r>
      <w:r>
        <w:t>,</w:t>
      </w:r>
      <w:r w:rsidRPr="00444B24">
        <w:t xml:space="preserve"> und Software, die Microsoft vom oder im Namen des</w:t>
      </w:r>
      <w:r>
        <w:t> </w:t>
      </w:r>
      <w:r w:rsidRPr="00444B24">
        <w:t>Kunden durch die Nutzung der Onlinedienste bereitgestellt werden.</w:t>
      </w:r>
    </w:p>
    <w:p w:rsidR="00585E19" w:rsidRPr="00444B24" w:rsidRDefault="00585E19" w:rsidP="00337870">
      <w:pPr>
        <w:pStyle w:val="ProductList-Body"/>
        <w:spacing w:after="120"/>
      </w:pPr>
      <w:r w:rsidRPr="00444B24">
        <w:t>„Externer Nutzer“ ist ein Nutzer eines Onlinedienstes, der weder Mitarbeiter, Vertragspartner noch Vertreter vor Ort</w:t>
      </w:r>
      <w:r>
        <w:t xml:space="preserve"> eines </w:t>
      </w:r>
      <w:r w:rsidRPr="00444B24">
        <w:t>Kunden oder</w:t>
      </w:r>
      <w:r>
        <w:t xml:space="preserve"> dessen </w:t>
      </w:r>
      <w:r w:rsidRPr="00444B24">
        <w:t>verbundenen Unternehmen ist.</w:t>
      </w:r>
    </w:p>
    <w:p w:rsidR="00585E19" w:rsidRPr="00444B24" w:rsidRDefault="00585E19" w:rsidP="00337870">
      <w:pPr>
        <w:pStyle w:val="ProductList-Body"/>
        <w:spacing w:after="120"/>
      </w:pPr>
      <w:r w:rsidRPr="00444B24">
        <w:t>„Instanz“ ist ein Software-Image, das durch die Ausführung der Setup- oder Installationsprozedur der Software oder durch Duplizieren eines solchen Image erstellt wird.</w:t>
      </w:r>
    </w:p>
    <w:p w:rsidR="00585E19" w:rsidRPr="00444B24" w:rsidRDefault="00585E19" w:rsidP="00337870">
      <w:pPr>
        <w:pStyle w:val="ProductList-Body"/>
        <w:spacing w:after="120"/>
      </w:pPr>
      <w:r w:rsidRPr="00444B24">
        <w:t xml:space="preserve">„Lizenziertes Gerät“ ist das jeweilige physische Hardwaresystem, dem eine Lizenz zugewiesen </w:t>
      </w:r>
      <w:r>
        <w:t>ist</w:t>
      </w:r>
      <w:r w:rsidRPr="00444B24">
        <w:t>. Im Sinne dieser Definition wird eine Hardwarepartition oder ein Blade als separates Gerät betrachtet.</w:t>
      </w:r>
    </w:p>
    <w:p w:rsidR="00585E19" w:rsidRPr="00444B24" w:rsidRDefault="00585E19" w:rsidP="00337870">
      <w:pPr>
        <w:pStyle w:val="ProductList-Body"/>
        <w:spacing w:after="120"/>
      </w:pPr>
      <w:r w:rsidRPr="00444B24">
        <w:t>„Nicht von Microsoft stammendes Produkt“ bezeichnet Software, Daten, Dienste, Websites oder Produkte von Dritten.</w:t>
      </w:r>
    </w:p>
    <w:p w:rsidR="00585E19" w:rsidRPr="00444B24" w:rsidRDefault="00585E19" w:rsidP="00337870">
      <w:pPr>
        <w:pStyle w:val="ProductList-Body"/>
        <w:spacing w:after="120"/>
      </w:pPr>
      <w:r w:rsidRPr="00444B24">
        <w:t>„Onlinedienste“ sind die von Microsoft gehosteten Dienste, die der Kunde gemäß des Microsoft-Volumenlizenzvertrages abonniert</w:t>
      </w:r>
      <w:r>
        <w:t xml:space="preserve">, </w:t>
      </w:r>
      <w:r w:rsidRPr="00444B24">
        <w:t>einschließlich der</w:t>
      </w:r>
      <w:r>
        <w:t> </w:t>
      </w:r>
      <w:r w:rsidRPr="00444B24">
        <w:t>Dienste,</w:t>
      </w:r>
      <w:r>
        <w:t> </w:t>
      </w:r>
      <w:r w:rsidRPr="00444B24">
        <w:t xml:space="preserve">die im Abschnitt „Onlinedienste“ der Produktliste aufgeführt sind. Die Produktliste finden Sie unter </w:t>
      </w:r>
      <w:hyperlink r:id="rId21" w:history="1">
        <w:r w:rsidRPr="00444B24">
          <w:rPr>
            <w:rStyle w:val="Hyperlink"/>
            <w:rFonts w:cs="Arial"/>
          </w:rPr>
          <w:t>http://go.microsoft.com/?linkid=9839207</w:t>
        </w:r>
      </w:hyperlink>
      <w:r w:rsidRPr="00C06428">
        <w:rPr>
          <w:rStyle w:val="Hyperlink"/>
          <w:rFonts w:cs="Arial"/>
          <w:color w:val="auto"/>
          <w:u w:val="none"/>
        </w:rPr>
        <w:t>.</w:t>
      </w:r>
    </w:p>
    <w:p w:rsidR="00585E19" w:rsidRPr="00444B24" w:rsidRDefault="00585E19" w:rsidP="00337870">
      <w:pPr>
        <w:pStyle w:val="ProductList-Body"/>
        <w:spacing w:after="120"/>
      </w:pPr>
      <w:r w:rsidRPr="00444B24">
        <w:t>„Betriebssystemumgebung“ (</w:t>
      </w:r>
      <w:r>
        <w:t xml:space="preserve">Operating System Environment oder </w:t>
      </w:r>
      <w:r w:rsidRPr="00444B24">
        <w:t>OSE) ist eine Betriebssysteminstanz als Ganzes oder in Teilen oder eine virtuelle (oder anderweitig emulierte) Betriebssysteminstanz als Ganzes oder in Teilen, die eine separate Computeridentität (primärer Computername oder eine ähnliche einzigartige ID)</w:t>
      </w:r>
      <w:r>
        <w:t> </w:t>
      </w:r>
      <w:r w:rsidRPr="00444B24">
        <w:t>oder separate Verwaltungsrechte ermöglicht, sowie ggf. Instanzen von Anwendungen, die für die Ausführung</w:t>
      </w:r>
      <w:r>
        <w:t xml:space="preserve"> auf </w:t>
      </w:r>
      <w:r w:rsidRPr="00444B24">
        <w:t>der entsprechenden Betriebssysteminstanz als Ganzes oder in Teilen konfiguriert sind. Es gibt zwei Typen von OSE</w:t>
      </w:r>
      <w:r>
        <w:t>s</w:t>
      </w:r>
      <w:r w:rsidRPr="00444B24">
        <w:t>: physische und virtuelle. Ein physisches Hardwaresystem kann über eine physische OSE und/oder eine oder mehrere virtuelle OSE</w:t>
      </w:r>
      <w:r>
        <w:t>s</w:t>
      </w:r>
      <w:r w:rsidRPr="00444B24">
        <w:t xml:space="preserve"> verfügen. Die Betriebssysteminstanz, die für die Ausführung der Hardware-Virtualisierungssoftware oder zur Bereitstellung von Hardware-Virtualisierungsdiensten verwendet wird, gilt als Bestandteil der </w:t>
      </w:r>
      <w:r>
        <w:t>p</w:t>
      </w:r>
      <w:r w:rsidRPr="00444B24">
        <w:t>hysischen OSE.</w:t>
      </w:r>
    </w:p>
    <w:p w:rsidR="00585E19" w:rsidRPr="00444B24" w:rsidRDefault="00585E19" w:rsidP="00103924">
      <w:pPr>
        <w:pStyle w:val="ProductList-Body"/>
      </w:pPr>
      <w:r w:rsidRPr="00444B24">
        <w:t>„AL“ steht für Abonnementlizenz.</w:t>
      </w:r>
    </w:p>
    <w:p w:rsidR="00585E19" w:rsidRPr="00444B24" w:rsidRDefault="00585E19" w:rsidP="00103924">
      <w:pPr>
        <w:pStyle w:val="ProductList-Body"/>
      </w:pPr>
    </w:p>
    <w:p w:rsidR="00585E19" w:rsidRPr="00444B24" w:rsidRDefault="00585E19" w:rsidP="00366C8E">
      <w:pPr>
        <w:pStyle w:val="ProductList-SubSubSectionHeading"/>
        <w:outlineLvl w:val="1"/>
      </w:pPr>
      <w:bookmarkStart w:id="16" w:name="_Toc401641550"/>
      <w:r w:rsidRPr="00444B24">
        <w:t>Aktualisierungen der Bestimmungen für Onlinedienste</w:t>
      </w:r>
      <w:bookmarkEnd w:id="16"/>
    </w:p>
    <w:p w:rsidR="00585E19" w:rsidRPr="00444B24" w:rsidRDefault="00585E19" w:rsidP="002940E2">
      <w:pPr>
        <w:pStyle w:val="ProductList-Body"/>
      </w:pPr>
      <w:r w:rsidRPr="00444B24">
        <w:t xml:space="preserve">Wenn ein Kunde das Abonnement eines Onlinedienstes verlängert oder ein neues Abonnement erwirbt, gelten die </w:t>
      </w:r>
      <w:r>
        <w:t xml:space="preserve">dann </w:t>
      </w:r>
      <w:r w:rsidRPr="00444B24">
        <w:t>aktuellen OST und ändern</w:t>
      </w:r>
      <w:r>
        <w:t> </w:t>
      </w:r>
      <w:r w:rsidRPr="00444B24">
        <w:t xml:space="preserve">sich während des Kundenabonnements für diesen Onlinedienst nicht. Wenn Microsoft neue Feature, Ergänzungen oder damit verbundene Software einführt (d.h., dass diese zuvor nicht im Abonnement enthalten waren), ist Microsoft dazu berechtigt, </w:t>
      </w:r>
      <w:r>
        <w:t xml:space="preserve">neue Bestimmungen bereitzustellen oder </w:t>
      </w:r>
      <w:r w:rsidRPr="00444B24">
        <w:t>die OST zu aktualisieren, die auf die Verwendung dieser neuen Feature</w:t>
      </w:r>
      <w:r>
        <w:t>, Ergänzungen oder damit verbundene Software</w:t>
      </w:r>
      <w:r w:rsidRPr="00444B24">
        <w:t xml:space="preserve"> durch den Kunden </w:t>
      </w:r>
      <w:r>
        <w:t>anwendbar sind</w:t>
      </w:r>
      <w:r w:rsidRPr="00444B24">
        <w:t>.</w:t>
      </w:r>
    </w:p>
    <w:p w:rsidR="00585E19" w:rsidRPr="00444B24" w:rsidRDefault="00585E19" w:rsidP="00103924">
      <w:pPr>
        <w:pStyle w:val="ProductList-Body"/>
      </w:pPr>
    </w:p>
    <w:p w:rsidR="00585E19" w:rsidRPr="00444B24" w:rsidRDefault="00585E19" w:rsidP="00366C8E">
      <w:pPr>
        <w:pStyle w:val="ProductList-SubSubSectionHeading"/>
        <w:outlineLvl w:val="1"/>
      </w:pPr>
      <w:bookmarkStart w:id="17" w:name="_Toc401641551"/>
      <w:r>
        <w:t xml:space="preserve">Regulatorische Veränderungen </w:t>
      </w:r>
      <w:r w:rsidRPr="00444B24">
        <w:t>und Internationale Verfügbarkeit</w:t>
      </w:r>
      <w:bookmarkEnd w:id="17"/>
    </w:p>
    <w:p w:rsidR="00585E19" w:rsidRPr="00444B24" w:rsidRDefault="00585E19" w:rsidP="00103924">
      <w:pPr>
        <w:pStyle w:val="ProductList-Body"/>
      </w:pPr>
      <w:r w:rsidRPr="00444B24">
        <w:t>Microsoft ist berechtigt, von Zeit zu Zeit wirtschaftlich angemessene Änderungen an</w:t>
      </w:r>
      <w:r>
        <w:t xml:space="preserve"> den </w:t>
      </w:r>
      <w:r w:rsidRPr="00444B24">
        <w:t>Onlinedienst</w:t>
      </w:r>
      <w:r>
        <w:t>en</w:t>
      </w:r>
      <w:r w:rsidRPr="00444B24">
        <w:t xml:space="preserve"> vorzunehmen. Microsoft ist berechtigt,</w:t>
      </w:r>
      <w:r>
        <w:t xml:space="preserve"> einen </w:t>
      </w:r>
      <w:r w:rsidRPr="00444B24">
        <w:t xml:space="preserve">Onlinedienst in Ländern zu beenden, in denen Microsoft einer behördlichen Regelung, Verpflichtung oder </w:t>
      </w:r>
      <w:r>
        <w:t xml:space="preserve">sonstigen </w:t>
      </w:r>
      <w:r w:rsidRPr="00444B24">
        <w:t xml:space="preserve">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sidRPr="00444B24">
          <w:rPr>
            <w:rStyle w:val="Hyperlink"/>
            <w:rFonts w:cs="Arial"/>
          </w:rPr>
          <w:t>www.microsoft.com/online/international-availability.aspx</w:t>
        </w:r>
      </w:hyperlink>
      <w:r w:rsidRPr="00444B24">
        <w:t>.</w:t>
      </w:r>
    </w:p>
    <w:p w:rsidR="00585E19" w:rsidRPr="00444B24" w:rsidRDefault="00585E19" w:rsidP="00103924">
      <w:pPr>
        <w:pStyle w:val="ProductList-Body"/>
      </w:pPr>
    </w:p>
    <w:p w:rsidR="00585E19" w:rsidRPr="00444B24" w:rsidRDefault="00585E19" w:rsidP="00366C8E">
      <w:pPr>
        <w:pStyle w:val="ProductList-SubSubSectionHeading"/>
        <w:outlineLvl w:val="1"/>
      </w:pPr>
      <w:bookmarkStart w:id="18" w:name="_Toc401641552"/>
      <w:r w:rsidRPr="00444B24">
        <w:t>Datenaufbewahrung</w:t>
      </w:r>
      <w:bookmarkEnd w:id="18"/>
    </w:p>
    <w:p w:rsidR="00585E19" w:rsidRPr="00444B24" w:rsidRDefault="00585E19" w:rsidP="00337870">
      <w:pPr>
        <w:pStyle w:val="ProductList-Body"/>
        <w:spacing w:after="120"/>
      </w:pPr>
      <w:r w:rsidRPr="00444B24">
        <w:t>Microsoft bewahrt im Onlinedienst gespeicherte Kundendaten in einem Account mit eingeschränkter Funktionalität mindestens 90 Tage lang nach Ablauf oder Kündigung des Kundenabonnements auf, damit der Kunde die Daten extrahieren kann. Nach Ablauf des Aufbewahrungszeitraums von 90 Tagen wird Microsoft den Account des Kunden deaktivieren und die Kundendaten löschen.</w:t>
      </w:r>
    </w:p>
    <w:p w:rsidR="00585E19" w:rsidRPr="00444B24" w:rsidRDefault="00585E19" w:rsidP="00103924">
      <w:pPr>
        <w:pStyle w:val="ProductList-Body"/>
      </w:pPr>
      <w:r w:rsidRPr="00444B24">
        <w:t>Der Onlinedienst unterstützt die Aufbewahrung und Extrahierung von Software, die der Kunde bereitgestellt hat, möglicherweise nicht. Microsoft haftet nicht für die Löschung von Kundendaten wie in diesem Abschnitt beschrieben.</w:t>
      </w:r>
    </w:p>
    <w:p w:rsidR="00585E19" w:rsidRPr="0086005A" w:rsidRDefault="00585E19" w:rsidP="00103924">
      <w:pPr>
        <w:pStyle w:val="ProductList-Body"/>
        <w:rPr>
          <w:sz w:val="2"/>
          <w:szCs w:val="2"/>
        </w:rPr>
      </w:pPr>
    </w:p>
    <w:p w:rsidR="00585E19" w:rsidRPr="00444B24" w:rsidRDefault="00585E19" w:rsidP="00366C8E">
      <w:pPr>
        <w:pStyle w:val="ProductList-SubSubSectionHeading"/>
        <w:outlineLvl w:val="1"/>
      </w:pPr>
      <w:bookmarkStart w:id="19" w:name="_Toc401641553"/>
      <w:r w:rsidRPr="00444B24">
        <w:t>Verwendung von Software mit dem Onlinedienst</w:t>
      </w:r>
      <w:bookmarkEnd w:id="19"/>
    </w:p>
    <w:p w:rsidR="00585E19" w:rsidRPr="00444B24" w:rsidRDefault="00585E19" w:rsidP="00103924">
      <w:pPr>
        <w:pStyle w:val="ProductList-Body"/>
      </w:pPr>
      <w:r>
        <w:t xml:space="preserve">Der Kunde muss </w:t>
      </w:r>
      <w:r w:rsidRPr="00444B24">
        <w:t>möglicherweise bestimmte Microsoft-Software installieren, um den Onlinedienst zu verwenden. In diesem Fall gelten die nachfolgenden Bestimmungen:</w:t>
      </w:r>
    </w:p>
    <w:p w:rsidR="00585E19" w:rsidRPr="00444B24" w:rsidRDefault="00585E19" w:rsidP="00103924">
      <w:pPr>
        <w:pStyle w:val="ProductList-Body"/>
      </w:pPr>
    </w:p>
    <w:p w:rsidR="00585E19" w:rsidRPr="00444B24" w:rsidRDefault="00585E19" w:rsidP="00366C8E">
      <w:pPr>
        <w:pStyle w:val="ProductList-Body"/>
        <w:ind w:left="180"/>
        <w:outlineLvl w:val="2"/>
      </w:pPr>
      <w:r w:rsidRPr="00444B24">
        <w:rPr>
          <w:b/>
          <w:color w:val="0072C6"/>
        </w:rPr>
        <w:t>Microsoft-Software</w:t>
      </w:r>
      <w:r>
        <w:rPr>
          <w:b/>
          <w:color w:val="0072C6"/>
        </w:rPr>
        <w:t>l</w:t>
      </w:r>
      <w:r w:rsidRPr="00444B24">
        <w:rPr>
          <w:b/>
          <w:color w:val="0072C6"/>
        </w:rPr>
        <w:t>izenzbestimmungen</w:t>
      </w:r>
    </w:p>
    <w:p w:rsidR="00585E19" w:rsidRPr="00444B24" w:rsidRDefault="00585E19" w:rsidP="00AD5F09">
      <w:pPr>
        <w:pStyle w:val="ProductList-Body"/>
        <w:ind w:left="180"/>
      </w:pPr>
      <w:r>
        <w:t xml:space="preserve">Der Kunde ist </w:t>
      </w:r>
      <w:r w:rsidRPr="00444B24">
        <w:t>nur berechtigt, die Software ausschließlich zur Verwendung mit dem Onlinedienst zu installieren</w:t>
      </w:r>
      <w:r>
        <w:t xml:space="preserve"> und zu nutzen</w:t>
      </w:r>
      <w:r w:rsidRPr="00444B24">
        <w:t xml:space="preserve">. Gemäß </w:t>
      </w:r>
      <w:hyperlink w:anchor="OnlineServiceSpecificTerms" w:tooltip="der Dienstspezifischen Bestimmungen für Onlinedienste" w:history="1">
        <w:r w:rsidRPr="00444B24">
          <w:rPr>
            <w:rStyle w:val="Hyperlink"/>
            <w:rFonts w:cs="Arial"/>
          </w:rPr>
          <w:t>der Dienstspezifischen Bestimmungen für Onlinedienste</w:t>
        </w:r>
      </w:hyperlink>
      <w:r w:rsidRPr="00444B24">
        <w:t xml:space="preserve"> kann die Anzahl der Kopien der Software, zu deren Verwendung der Kunde berechtigt ist</w:t>
      </w:r>
      <w:r>
        <w:t>,</w:t>
      </w:r>
      <w:r w:rsidRPr="00444B24">
        <w:t xml:space="preserve"> oder die Anzahl der</w:t>
      </w:r>
      <w:r>
        <w:t> </w:t>
      </w:r>
      <w:r w:rsidRPr="00444B24">
        <w:t>Geräte, auf denen der Kunde die Software nutzen darf, beschränkt werden. Das Recht des Kunden zur Nutzung der Software beginnt mit</w:t>
      </w:r>
      <w:r>
        <w:t> </w:t>
      </w:r>
      <w:r w:rsidRPr="00444B24">
        <w:t>Aktivierung des Onlinedienstes und endet mit Ablauf des Rechts des Kunden zur Nutzung des Onlinedienstes. Der Kunde ist verpflichtet, die</w:t>
      </w:r>
      <w:r>
        <w:t> </w:t>
      </w:r>
      <w:r w:rsidRPr="00444B24">
        <w:t>Software zu deinstallieren, wenn das</w:t>
      </w:r>
      <w:r>
        <w:t xml:space="preserve"> das Recht </w:t>
      </w:r>
      <w:r w:rsidRPr="00444B24">
        <w:t xml:space="preserve">des Kunden </w:t>
      </w:r>
      <w:r>
        <w:t xml:space="preserve">zur Nutzung der Software </w:t>
      </w:r>
      <w:r w:rsidRPr="00444B24">
        <w:t>endet. Außerdem ist Microsoft berechtigt, sie zu diesem Zeitpunkt zu</w:t>
      </w:r>
      <w:r>
        <w:t> </w:t>
      </w:r>
      <w:r w:rsidRPr="00444B24">
        <w:t>deaktivieren.</w:t>
      </w:r>
    </w:p>
    <w:p w:rsidR="00585E19" w:rsidRPr="00444B24" w:rsidRDefault="00585E19" w:rsidP="00AD5F09">
      <w:pPr>
        <w:pStyle w:val="ProductList-Body"/>
        <w:ind w:left="180"/>
      </w:pPr>
    </w:p>
    <w:p w:rsidR="00585E19" w:rsidRPr="00444B24" w:rsidRDefault="00585E19" w:rsidP="00366C8E">
      <w:pPr>
        <w:pStyle w:val="ProductList-Body"/>
        <w:ind w:left="180"/>
        <w:outlineLvl w:val="2"/>
      </w:pPr>
      <w:r w:rsidRPr="00444B24">
        <w:rPr>
          <w:b/>
          <w:color w:val="0072C6"/>
        </w:rPr>
        <w:t>Validierung, Automatische Updates und Erfassung für Software</w:t>
      </w:r>
    </w:p>
    <w:p w:rsidR="00585E19" w:rsidRPr="00444B24" w:rsidRDefault="00585E19" w:rsidP="00AD5F09">
      <w:pPr>
        <w:pStyle w:val="ProductList-Body"/>
        <w:ind w:left="180"/>
      </w:pPr>
      <w:r w:rsidRPr="00444B24">
        <w:t xml:space="preserve">Microsoft ist berechtigt, die Version ihrer Software automatisch zu überprüfen. Geräte, auf denen die Software installiert ist, stellen in regelmäßigen Abständen Informationen bereit, damit Microsoft überprüfen kann, </w:t>
      </w:r>
      <w:r w:rsidRPr="000E6920">
        <w:t>ob die Software ordnungsgemäß lizenziert ist. Zu diesen bereitgestellten Informationen gehören beispielsweise die Softwareversion</w:t>
      </w:r>
      <w:r w:rsidRPr="00444B24">
        <w:t>, das Nutzer-Account des Endbenutzers, Produkt-ID-Informationen, eine Computer-ID und die Internetprotokolladresse des Gerä</w:t>
      </w:r>
      <w:r w:rsidRPr="000E6920">
        <w:t>ts. Wenn die Software nicht ordnungsgemäß lizenziert ist,</w:t>
      </w:r>
      <w:r w:rsidRPr="008E1564">
        <w:t xml:space="preserve"> ist </w:t>
      </w:r>
      <w:r w:rsidRPr="000E6920">
        <w:t>ihre Funktionalität beeinträchtigt. Kunden dürfen Updates und Upgrade</w:t>
      </w:r>
      <w:r w:rsidRPr="00444B24">
        <w:t>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w:t>
      </w:r>
      <w:r>
        <w:t> </w:t>
      </w:r>
      <w:r w:rsidRPr="00444B24">
        <w:t>Onlinedienste erfordern die Installation lokaler Software – z. B. Agents, Anwendungen zur Geräteverwaltung – („Apps“) bzw. werden durch solche Software erweitert. Die Apps können Daten zur Nutzung und Leistung der Apps erfassen, die an Microsoft weitergeleitet und die für</w:t>
      </w:r>
      <w:r>
        <w:t> </w:t>
      </w:r>
      <w:r w:rsidRPr="00444B24">
        <w:t>in diese</w:t>
      </w:r>
      <w:r>
        <w:t>n</w:t>
      </w:r>
      <w:r w:rsidRPr="00444B24">
        <w:t xml:space="preserve"> OST beschriebenen Zwecke verwendet werden</w:t>
      </w:r>
      <w:r>
        <w:t xml:space="preserve"> können</w:t>
      </w:r>
      <w:r w:rsidRPr="00444B24">
        <w:t>.</w:t>
      </w:r>
    </w:p>
    <w:p w:rsidR="00585E19" w:rsidRPr="00444B24" w:rsidRDefault="00585E19" w:rsidP="00AD5F09">
      <w:pPr>
        <w:pStyle w:val="ProductList-Body"/>
        <w:ind w:left="180"/>
      </w:pPr>
    </w:p>
    <w:p w:rsidR="00585E19" w:rsidRPr="00444B24" w:rsidRDefault="00585E19" w:rsidP="00366C8E">
      <w:pPr>
        <w:pStyle w:val="ProductList-Body"/>
        <w:ind w:left="180"/>
        <w:outlineLvl w:val="2"/>
      </w:pPr>
      <w:r w:rsidRPr="00444B24">
        <w:rPr>
          <w:b/>
          <w:color w:val="0072C6"/>
        </w:rPr>
        <w:t>Softwarekomponenten von Dritten</w:t>
      </w:r>
    </w:p>
    <w:p w:rsidR="00585E19" w:rsidRPr="00444B24" w:rsidRDefault="00585E19" w:rsidP="00AD5F09">
      <w:pPr>
        <w:pStyle w:val="ProductList-Body"/>
        <w:ind w:left="180"/>
      </w:pPr>
      <w:r w:rsidRPr="00444B24">
        <w:t>Die Software kann Softwarekomponenten von Dritten enthalten. Soweit in dieser Software nicht anders angegeben, lizenzieren nicht</w:t>
      </w:r>
      <w:r>
        <w:t xml:space="preserve"> diese Dritten, </w:t>
      </w:r>
      <w:r w:rsidRPr="00444B24">
        <w:t>sondern Microsoft diese Komponenten</w:t>
      </w:r>
      <w:r>
        <w:t xml:space="preserve"> an </w:t>
      </w:r>
      <w:r w:rsidRPr="00444B24">
        <w:t>den Kunden gemäß den Lizenzbestimmungen und Hinweisen von Microsoft.</w:t>
      </w:r>
    </w:p>
    <w:p w:rsidR="00585E19" w:rsidRPr="00444B24" w:rsidRDefault="00585E19" w:rsidP="00AD5F09">
      <w:pPr>
        <w:pStyle w:val="ProductList-Body"/>
      </w:pPr>
    </w:p>
    <w:p w:rsidR="00585E19" w:rsidRPr="00444B24" w:rsidRDefault="00585E19" w:rsidP="00366C8E">
      <w:pPr>
        <w:pStyle w:val="ProductList-SubSubSectionHeading"/>
        <w:outlineLvl w:val="1"/>
      </w:pPr>
      <w:bookmarkStart w:id="20" w:name="_Toc401641554"/>
      <w:r w:rsidRPr="00444B24">
        <w:t>Nicht von Microsoft stammende Produkte</w:t>
      </w:r>
      <w:bookmarkEnd w:id="20"/>
    </w:p>
    <w:p w:rsidR="00585E19" w:rsidRPr="00444B24" w:rsidRDefault="00585E19" w:rsidP="00AD5F09">
      <w:pPr>
        <w:pStyle w:val="ProductList-Body"/>
      </w:pPr>
      <w:r w:rsidRPr="00444B24">
        <w:t>Microsoft</w:t>
      </w:r>
      <w:r>
        <w:t xml:space="preserve"> stellt</w:t>
      </w:r>
      <w:r w:rsidRPr="00444B24">
        <w:t xml:space="preserve"> </w:t>
      </w:r>
      <w:r>
        <w:t xml:space="preserve">den </w:t>
      </w:r>
      <w:r w:rsidRPr="00444B24">
        <w:t xml:space="preserve">Kunden </w:t>
      </w:r>
      <w:r>
        <w:t xml:space="preserve">möglicherweise </w:t>
      </w:r>
      <w:r w:rsidRPr="00444B24">
        <w:t>Nicht von Microsoft stammende Produkte über die Verwendung der Onlinedienste durch den Kunden (z. B. über einen Store o</w:t>
      </w:r>
      <w:r>
        <w:t>der eine Galerie) zur Verfügung</w:t>
      </w:r>
      <w:r w:rsidRPr="00444B24">
        <w:t xml:space="preserve">. Wenn der Kunde </w:t>
      </w:r>
      <w:r>
        <w:t>N</w:t>
      </w:r>
      <w:r w:rsidRPr="00444B24">
        <w:t>icht von Microsoft stammende</w:t>
      </w:r>
      <w:r>
        <w:t xml:space="preserve"> Produkte mit einem </w:t>
      </w:r>
      <w:r w:rsidRPr="00444B24">
        <w:t xml:space="preserve">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w:t>
      </w:r>
      <w:r>
        <w:t xml:space="preserve">Zur Vereinfachung für den Kunden ist </w:t>
      </w:r>
      <w:r w:rsidRPr="00444B24">
        <w:t>Microsoft berechtigt, Gebühren für das Nicht von Microsoft stammende Produkt</w:t>
      </w:r>
      <w:r>
        <w:t xml:space="preserve"> in der Rechnung des </w:t>
      </w:r>
      <w:r w:rsidRPr="00444B24">
        <w:t xml:space="preserve">Kunden </w:t>
      </w:r>
      <w:r>
        <w:br/>
      </w:r>
      <w:r w:rsidRPr="00444B24">
        <w:t>für</w:t>
      </w:r>
      <w:r>
        <w:t xml:space="preserve"> die</w:t>
      </w:r>
      <w:r w:rsidRPr="00444B24">
        <w:t xml:space="preserv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585E19" w:rsidRPr="00444B24" w:rsidRDefault="00585E19" w:rsidP="00103924">
      <w:pPr>
        <w:pStyle w:val="ProductList-Body"/>
      </w:pPr>
    </w:p>
    <w:p w:rsidR="00585E19" w:rsidRPr="00444B24" w:rsidRDefault="00585E19" w:rsidP="00366C8E">
      <w:pPr>
        <w:pStyle w:val="ProductList-SubSubSectionHeading"/>
        <w:outlineLvl w:val="1"/>
      </w:pPr>
      <w:bookmarkStart w:id="21" w:name="_Toc401641555"/>
      <w:r w:rsidRPr="00444B24">
        <w:t>Richtlinie für zulässige Verwendung</w:t>
      </w:r>
      <w:bookmarkEnd w:id="21"/>
    </w:p>
    <w:p w:rsidR="00585E19" w:rsidRPr="00444B24" w:rsidRDefault="00585E19" w:rsidP="00AD5F09">
      <w:pPr>
        <w:pStyle w:val="ProductList-Body"/>
      </w:pPr>
      <w:r w:rsidRPr="00444B24">
        <w:t xml:space="preserve">Weder </w:t>
      </w:r>
      <w:r>
        <w:t xml:space="preserve">der </w:t>
      </w:r>
      <w:r w:rsidRPr="00444B24">
        <w:t xml:space="preserve">Kunde noch diejenigen, die über </w:t>
      </w:r>
      <w:r>
        <w:t xml:space="preserve">den </w:t>
      </w:r>
      <w:r w:rsidRPr="00444B24">
        <w:t>Kunden auf einen Onlinedienst zugreifen, sind berechtigt, den Onlinedienst auf folgende Weise oder für folgende Zwecke zu verwenden:</w:t>
      </w:r>
    </w:p>
    <w:p w:rsidR="00585E19" w:rsidRPr="00444B24" w:rsidRDefault="00585E19" w:rsidP="00985C0E">
      <w:pPr>
        <w:pStyle w:val="ProductList-Body"/>
        <w:numPr>
          <w:ilvl w:val="0"/>
          <w:numId w:val="2"/>
        </w:numPr>
        <w:ind w:left="461" w:hanging="274"/>
      </w:pPr>
      <w:r w:rsidRPr="00444B24">
        <w:t>auf eine Weise, die durch Gesetze, Vorschriften oder behördliche Anordnungen oder Verordnung verboten ist,</w:t>
      </w:r>
    </w:p>
    <w:p w:rsidR="00585E19" w:rsidRPr="00444B24" w:rsidRDefault="00585E19" w:rsidP="00985C0E">
      <w:pPr>
        <w:pStyle w:val="ProductList-Body"/>
        <w:numPr>
          <w:ilvl w:val="0"/>
          <w:numId w:val="2"/>
        </w:numPr>
        <w:spacing w:before="40"/>
        <w:ind w:left="461" w:hanging="274"/>
      </w:pPr>
      <w:r w:rsidRPr="00444B24">
        <w:t xml:space="preserve">um die Rechte anderer zu verletzen, </w:t>
      </w:r>
    </w:p>
    <w:p w:rsidR="00585E19" w:rsidRPr="00444B24" w:rsidRDefault="00585E19" w:rsidP="00985C0E">
      <w:pPr>
        <w:pStyle w:val="ProductList-Body"/>
        <w:numPr>
          <w:ilvl w:val="0"/>
          <w:numId w:val="2"/>
        </w:numPr>
        <w:spacing w:before="40"/>
        <w:ind w:left="461" w:hanging="274"/>
      </w:pPr>
      <w:r w:rsidRPr="00444B24">
        <w:t xml:space="preserve">um zu versuchen, unbefugt auf Dienste, Geräte, Daten, Accounts oder Netzwerke zuzugreifen oder diese zu stören, </w:t>
      </w:r>
    </w:p>
    <w:p w:rsidR="00585E19" w:rsidRPr="00444B24" w:rsidRDefault="00585E19" w:rsidP="00985C0E">
      <w:pPr>
        <w:pStyle w:val="ProductList-Body"/>
        <w:numPr>
          <w:ilvl w:val="0"/>
          <w:numId w:val="2"/>
        </w:numPr>
        <w:spacing w:before="40"/>
        <w:ind w:left="461" w:hanging="274"/>
      </w:pPr>
      <w:r w:rsidRPr="00444B24">
        <w:t>um Spam oder Malware zu verbreiten,</w:t>
      </w:r>
    </w:p>
    <w:p w:rsidR="00585E19" w:rsidRPr="00444B24" w:rsidRDefault="00585E19" w:rsidP="00985C0E">
      <w:pPr>
        <w:pStyle w:val="ProductList-Body"/>
        <w:numPr>
          <w:ilvl w:val="0"/>
          <w:numId w:val="2"/>
        </w:numPr>
        <w:spacing w:before="40"/>
        <w:ind w:left="461" w:hanging="274"/>
      </w:pPr>
      <w:r w:rsidRPr="00444B24">
        <w:t xml:space="preserve">auf eine Weise, die den Onlinedienst beschädigen oder seine Verwendung durch andere beeinträchtigen könnte, oder </w:t>
      </w:r>
    </w:p>
    <w:p w:rsidR="00585E19" w:rsidRPr="00444B24" w:rsidRDefault="00585E19" w:rsidP="00985C0E">
      <w:pPr>
        <w:pStyle w:val="ProductList-Body"/>
        <w:numPr>
          <w:ilvl w:val="0"/>
          <w:numId w:val="2"/>
        </w:numPr>
        <w:spacing w:before="40" w:after="120"/>
        <w:ind w:left="461" w:hanging="274"/>
      </w:pPr>
      <w:r w:rsidRPr="00444B24">
        <w:t>in einer Anwendung oder Situation, in der ein Fehler des Onlinedienstes zum Tod oder zu schweren Verletzungen des Körpers oder der Gesundheit oder zu schwerwiegenden Sach- oder Umweltschäden führen kann.</w:t>
      </w:r>
    </w:p>
    <w:p w:rsidR="00585E19" w:rsidRPr="00444B24" w:rsidRDefault="00585E19" w:rsidP="00AD5F09">
      <w:pPr>
        <w:pStyle w:val="ProductList-Body"/>
      </w:pPr>
      <w:r w:rsidRPr="00444B24">
        <w:t xml:space="preserve">Ein Verstoß gegen die Bestimmungen in diesem Abschnitt kann zur Aussetzung des Onlinedienstes führen. Microsoft wird den Onlinedienst nur in einem vernünftigerweise erforderlichen Rahmen aussetzen. Microsoft wird </w:t>
      </w:r>
      <w:r>
        <w:t xml:space="preserve">mit angemessener Frist </w:t>
      </w:r>
      <w:r w:rsidRPr="00444B24">
        <w:t>im Voraus über die Aussetzung eines Onlinedienstes informieren, es sei denn, Microsoft hat Grund zu der Annahme, dass eine unmittelbare Aussetzung erforderlich ist.</w:t>
      </w:r>
    </w:p>
    <w:p w:rsidR="00585E19" w:rsidRPr="00444B24" w:rsidRDefault="00585E19" w:rsidP="003C35CD">
      <w:pPr>
        <w:pStyle w:val="ProductList-Body"/>
      </w:pPr>
    </w:p>
    <w:p w:rsidR="00585E19" w:rsidRPr="00444B24" w:rsidRDefault="00585E19" w:rsidP="003C35CD">
      <w:pPr>
        <w:pStyle w:val="ProductList-SubSubSectionHeading"/>
        <w:outlineLvl w:val="1"/>
      </w:pPr>
      <w:bookmarkStart w:id="22" w:name="_Toc401641556"/>
      <w:r w:rsidRPr="00444B24">
        <w:t>Technische Beschränkungen</w:t>
      </w:r>
      <w:bookmarkEnd w:id="22"/>
    </w:p>
    <w:p w:rsidR="00585E19" w:rsidRPr="00444B24" w:rsidRDefault="00585E19" w:rsidP="003C35CD">
      <w:pPr>
        <w:pStyle w:val="ProductList-Body"/>
      </w:pPr>
      <w:r w:rsidRPr="00444B24">
        <w:t>Der Kunde ist verpflichtet, alle technischen Beschränkungen in einem Onlinedienst, die dem Kunden nur eine spezielle Verwendung des Onlinedienstes gestatten, einzuhalten und diese auch nicht zu umgehen.</w:t>
      </w:r>
    </w:p>
    <w:p w:rsidR="00585E19" w:rsidRPr="00444B24" w:rsidRDefault="00585E19" w:rsidP="00103924">
      <w:pPr>
        <w:pStyle w:val="ProductList-Body"/>
      </w:pPr>
    </w:p>
    <w:p w:rsidR="00585E19" w:rsidRDefault="00585E19" w:rsidP="00366C8E">
      <w:pPr>
        <w:pStyle w:val="ProductList-SubSubSectionHeading"/>
        <w:outlineLvl w:val="1"/>
      </w:pPr>
    </w:p>
    <w:p w:rsidR="00585E19" w:rsidRPr="00444B24" w:rsidRDefault="00585E19" w:rsidP="00366C8E">
      <w:pPr>
        <w:pStyle w:val="ProductList-SubSubSectionHeading"/>
        <w:outlineLvl w:val="1"/>
      </w:pPr>
      <w:bookmarkStart w:id="23" w:name="_Toc401641557"/>
      <w:r w:rsidRPr="00444B24">
        <w:t>Einhaltung von gesetzlichen Regelungen</w:t>
      </w:r>
      <w:bookmarkEnd w:id="23"/>
    </w:p>
    <w:p w:rsidR="00585E19" w:rsidRPr="00444B24" w:rsidRDefault="00585E1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w:t>
      </w:r>
      <w:r w:rsidRPr="004A2882">
        <w:t>tzen oder Vorschriften unterliegen. Alle Sicherheitsvorfälle unterliegen den Bestimmungen für die Meldung von Sicherheitsvorfällen weit</w:t>
      </w:r>
      <w:r>
        <w:t>er unten.</w:t>
      </w:r>
    </w:p>
    <w:p w:rsidR="00585E19" w:rsidRPr="00444B24" w:rsidRDefault="00585E19" w:rsidP="00AD5F09">
      <w:pPr>
        <w:pStyle w:val="ProductList-Body"/>
      </w:pPr>
      <w:r w:rsidRPr="00444B24">
        <w:t>Der Kunde muss alle Gesetze und Regelungen</w:t>
      </w:r>
      <w:r>
        <w:t xml:space="preserve"> einhalten, die für seine Nutzung der Onlinedienst gelten,</w:t>
      </w:r>
      <w:r w:rsidRPr="00444B24">
        <w:t xml:space="preserve"> einschließlich der Gesetze zu Privacy, Datenschutz und Vertraulichkeit von Kommunikation. Der Kunde ist für die Umsetzung und Aufrechterhaltung von</w:t>
      </w:r>
      <w:r>
        <w:t> </w:t>
      </w:r>
      <w:r w:rsidRPr="00444B24">
        <w:t>Datenschutz- und Sicherheitsmaßnahmen für Komponenten verantwortlich, die der Kunde bereitstellt oder kontrolliert (wie z. B. Geräte mit</w:t>
      </w:r>
      <w:r>
        <w:t xml:space="preserve"> Registrierung bei </w:t>
      </w:r>
      <w:r w:rsidRPr="00444B24">
        <w:t xml:space="preserve">Windows Intune oder innerhalb eines virtuellen Microsoft Azure-Computers oder einer </w:t>
      </w:r>
      <w:r>
        <w:t xml:space="preserve">virtuellen </w:t>
      </w:r>
      <w:r w:rsidRPr="00444B24">
        <w:t>Microsoft Azure-Anwendung des Kunden), sowie</w:t>
      </w:r>
      <w:r>
        <w:t> </w:t>
      </w:r>
      <w:r w:rsidRPr="00444B24">
        <w:t xml:space="preserve">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w:t>
      </w:r>
      <w:r>
        <w:t xml:space="preserve">U.S. </w:t>
      </w:r>
      <w:r w:rsidRPr="00444B24">
        <w:t>Digital Millennium Copyright Act oder gemäß anderer geltender Gesetze zu entfernen.</w:t>
      </w:r>
    </w:p>
    <w:p w:rsidR="00585E19" w:rsidRPr="00444B24" w:rsidRDefault="00585E19" w:rsidP="003C35CD">
      <w:pPr>
        <w:pStyle w:val="ProductList-Body"/>
      </w:pPr>
    </w:p>
    <w:p w:rsidR="00585E19" w:rsidRPr="00FD18F4" w:rsidRDefault="00585E19" w:rsidP="003C35CD">
      <w:pPr>
        <w:pStyle w:val="ProductList-SubSubSectionHeading"/>
        <w:outlineLvl w:val="1"/>
      </w:pPr>
      <w:bookmarkStart w:id="24" w:name="_Toc401641558"/>
      <w:r>
        <w:t xml:space="preserve">Kein </w:t>
      </w:r>
      <w:r w:rsidRPr="008E1564">
        <w:t>Betriebsübergang</w:t>
      </w:r>
      <w:bookmarkEnd w:id="24"/>
    </w:p>
    <w:p w:rsidR="00585E19" w:rsidRPr="00E95CB7" w:rsidRDefault="00585E19" w:rsidP="003C35CD">
      <w:pPr>
        <w:pStyle w:val="ProductList-Body"/>
      </w:pPr>
      <w:r w:rsidRPr="00E95CB7">
        <w:t xml:space="preserve">Microsoft und der Kunde vereinbaren, dass durch die Bereitstellung und Nutzung der Onlinedienste keine Haftung gemäß der Betriebsübergangsrichtlinie (Richtlinie 2001/23/EG des Rates, ehemals Richtlinie 77/187/EG des Rates in der durch Richtlinie 98/50/EG des Rates geänderten Fassung) oder aus nationalen Gesetzen oder </w:t>
      </w:r>
      <w:r w:rsidRPr="008E1564">
        <w:t>Regelungen/</w:t>
      </w:r>
      <w:r w:rsidRPr="00E95CB7">
        <w:t>Verordnungen, durch die diese Richtlinie umgesetzt wird, oder ähnlichen Gesetzen oder Regelungen/Verordnungen (einschließlich der Transfer of Undertakings (Protection of Employment) Regulations 2006 im Vereinigten Königreich) (zusammenfassend als "</w:t>
      </w:r>
      <w:r w:rsidRPr="008E1564">
        <w:t>Acquired Rights Directive</w:t>
      </w:r>
      <w:r w:rsidRPr="00E95CB7">
        <w:t xml:space="preserve">" oder „ARD“ bezeichnet) entsteht. Der Kunde </w:t>
      </w:r>
      <w:r>
        <w:t xml:space="preserve">wird </w:t>
      </w:r>
      <w:r w:rsidRPr="00E95CB7">
        <w:t xml:space="preserve">Microsoft gegen jegliche Ansprüche gemäß der ARD bezüglich eines behaupteten Übergangs (oder angeblichen Übergangs) eines Mitarbeiters oder Vertragspartners zu Microsoft infolge der Bereitstellung der Onlinedienste verteidigen. Microsoft </w:t>
      </w:r>
      <w:r>
        <w:t xml:space="preserve">wird </w:t>
      </w:r>
      <w:r w:rsidRPr="00E95CB7">
        <w:t>den Kunden gegen jegliche Ansprüche gemäß der ARD bezüglich eines behaupteten Übergangs (oder angeblichen Übergangs) eines Mitarbeiters oder Vertragspartners zum Kunden infolge der Beendigung der Onlinedienste verteidigen. In jedem Fall muss die verteidigende Partei die Summe eines hieraus resultierenden nachteiligen rechtskräftigen Urteils (oder eines Vergleichs, dem sie zustimmt) bezahlen. Die andere Partei muss die verteidigende Partei über</w:t>
      </w:r>
      <w:r>
        <w:t xml:space="preserve"> den </w:t>
      </w:r>
      <w:r w:rsidRPr="00E95CB7">
        <w:t>Anspruch in Kenntnis setzen ihr die alleinige Kontrolle über die Verteidigung gegen den und die Beilegung des Anspruchs überlassen und sie in angemessenem Umfang bei der Verteidigung gegen den Anspruch unterstützen (mit angemessenen Ausgaben, die im Rahmen einer solchen Unterstützung geleistet werden und die von der verteidigenden Partei erstattet werden müssen).</w:t>
      </w:r>
    </w:p>
    <w:p w:rsidR="00585E19" w:rsidRPr="00444B24" w:rsidRDefault="00585E19" w:rsidP="00AD5F09">
      <w:pPr>
        <w:pStyle w:val="ProductList-Body"/>
      </w:pPr>
    </w:p>
    <w:p w:rsidR="00585E19" w:rsidRPr="00444B24" w:rsidRDefault="00585E19" w:rsidP="00366C8E">
      <w:pPr>
        <w:pStyle w:val="ProductList-SubSubSectionHeading"/>
        <w:outlineLvl w:val="1"/>
      </w:pPr>
      <w:bookmarkStart w:id="25" w:name="_Toc401641559"/>
      <w:r w:rsidRPr="00444B24">
        <w:t>Elektronische Benachrichtigungen</w:t>
      </w:r>
      <w:bookmarkEnd w:id="25"/>
    </w:p>
    <w:p w:rsidR="00585E19" w:rsidRPr="00444B24" w:rsidRDefault="00585E19" w:rsidP="00AD5F09">
      <w:pPr>
        <w:pStyle w:val="ProductList-Body"/>
      </w:pPr>
      <w:r w:rsidRPr="00444B24">
        <w:t>Microsoft kann Kunden Informationen und Mitteilungen über Onlinedienste elektronisch, auch per E-Mail, über das Portal des Onlinedienstes oder</w:t>
      </w:r>
      <w:r>
        <w:t> </w:t>
      </w:r>
      <w:r w:rsidRPr="00444B24">
        <w:t>über eine von Microsoft zu benennende Website zur Verfügung stellen. Eine Benachrichtigung gilt</w:t>
      </w:r>
      <w:r>
        <w:t xml:space="preserve"> an </w:t>
      </w:r>
      <w:r w:rsidRPr="00444B24">
        <w:t>dem Datum als erteilt, ab dem diese von</w:t>
      </w:r>
      <w:r>
        <w:t> </w:t>
      </w:r>
      <w:r w:rsidRPr="00444B24">
        <w:t xml:space="preserve">Microsoft zur Verfügung gestellt wurde. </w:t>
      </w:r>
    </w:p>
    <w:p w:rsidR="00585E19" w:rsidRPr="00444B24" w:rsidRDefault="00585E19" w:rsidP="00AD5F09">
      <w:pPr>
        <w:pStyle w:val="ProductList-SubSubSectionHeading"/>
      </w:pPr>
    </w:p>
    <w:p w:rsidR="00585E19" w:rsidRPr="00444B24" w:rsidRDefault="00585E19" w:rsidP="00366C8E">
      <w:pPr>
        <w:pStyle w:val="ProductList-SubSubSectionHeading"/>
        <w:outlineLvl w:val="1"/>
      </w:pPr>
      <w:bookmarkStart w:id="26" w:name="_Toc401641560"/>
      <w:r w:rsidRPr="00444B24">
        <w:t>Neuzuweisung von Lizenzen</w:t>
      </w:r>
      <w:bookmarkEnd w:id="26"/>
    </w:p>
    <w:p w:rsidR="00585E19" w:rsidRPr="00444B24" w:rsidRDefault="00585E19" w:rsidP="00AD5F09">
      <w:pPr>
        <w:pStyle w:val="ProductList-Body"/>
      </w:pPr>
      <w:r w:rsidRPr="000E6920">
        <w:t xml:space="preserve">Die meisten, jedoch nicht alle ALs können neu zugewiesen werden. Außer wie in diesem Absatz oder in den </w:t>
      </w:r>
      <w:hyperlink w:anchor="OnlineServiceSpecificTerms" w:tooltip="Dienstspezifischen Bestimmungen für Onlinedienste" w:history="1">
        <w:r w:rsidRPr="000E6920">
          <w:rPr>
            <w:rStyle w:val="Hyperlink"/>
            <w:rFonts w:cs="Arial"/>
          </w:rPr>
          <w:t>Dienstspezifischen Bestimmungen für Onlinedienste</w:t>
        </w:r>
      </w:hyperlink>
      <w:r w:rsidRPr="000E6920">
        <w:t xml:space="preserve"> zugelassen, ist der Kunde nicht berechtigt, eine AL kurzfristig neu zuzuweisen (d.h.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585E19" w:rsidRPr="00444B24" w:rsidRDefault="00585E19" w:rsidP="00AD5F09">
      <w:pPr>
        <w:pStyle w:val="ProductList-SubSubSectionHeading"/>
      </w:pPr>
    </w:p>
    <w:p w:rsidR="00585E19" w:rsidRPr="00444B24" w:rsidRDefault="00585E19" w:rsidP="00366C8E">
      <w:pPr>
        <w:pStyle w:val="ProductList-SubSubSectionHeading"/>
        <w:outlineLvl w:val="1"/>
      </w:pPr>
      <w:bookmarkStart w:id="27" w:name="_Toc401641561"/>
      <w:r w:rsidRPr="00444B24">
        <w:t>Schriftartkomponenten</w:t>
      </w:r>
      <w:bookmarkEnd w:id="27"/>
    </w:p>
    <w:p w:rsidR="00585E19" w:rsidRPr="00444B24" w:rsidRDefault="00585E19" w:rsidP="00AD5F09">
      <w:pPr>
        <w:pStyle w:val="ProductList-Body"/>
      </w:pPr>
      <w:r w:rsidRPr="00444B24">
        <w:t>Wenn ein Kunde einen Onlinedienst nutzt, ist er berechtigt, zum Anzeigen und Drucken von Inhalten die Schriftarten zu verwenden, die</w:t>
      </w:r>
      <w:r>
        <w:t xml:space="preserve"> von diesem </w:t>
      </w:r>
      <w:r w:rsidRPr="00444B24">
        <w:t xml:space="preserve">Onlinedienst installiert wurden. </w:t>
      </w:r>
      <w:r>
        <w:t xml:space="preserve">Der </w:t>
      </w:r>
      <w:r w:rsidRPr="00444B24">
        <w:t>Kunde</w:t>
      </w:r>
      <w:r>
        <w:t xml:space="preserve"> darf </w:t>
      </w:r>
      <w:r w:rsidRPr="00444B24">
        <w:t>Schriftarten nur wie in den Einbettungsbeschränkungen in den Schriftarten gestattet in Inhalte einbetten und sie vorübergehend auf einen Drucker oder ein anderes Ausgabegerät herunterladen, um Inhalte zu drucken.</w:t>
      </w:r>
    </w:p>
    <w:p w:rsidR="00585E19" w:rsidRPr="00444B24" w:rsidRDefault="00585E19" w:rsidP="00AD5F09">
      <w:pPr>
        <w:pStyle w:val="ProductList-SubSubSectionHeading"/>
      </w:pPr>
    </w:p>
    <w:p w:rsidR="00585E19" w:rsidRPr="00444B24" w:rsidRDefault="00585E19" w:rsidP="00366C8E">
      <w:pPr>
        <w:pStyle w:val="ProductList-SubSubSectionHeading"/>
        <w:outlineLvl w:val="1"/>
      </w:pPr>
      <w:bookmarkStart w:id="28" w:name="_Toc401641562"/>
      <w:r w:rsidRPr="00444B24">
        <w:t>Multiplexing</w:t>
      </w:r>
      <w:bookmarkEnd w:id="28"/>
    </w:p>
    <w:p w:rsidR="00585E19" w:rsidRPr="00444B24" w:rsidRDefault="00585E19" w:rsidP="00AD5F09">
      <w:pPr>
        <w:pStyle w:val="ProductList-Body"/>
      </w:pPr>
      <w:r w:rsidRPr="00444B24">
        <w:t>Vom Kunden verwendete Hardware oder Software für das Zusammenfassen von Verbindungen, das Umleiten von Informationen, das Verringern</w:t>
      </w:r>
      <w:r>
        <w:t> </w:t>
      </w:r>
      <w:r w:rsidRPr="00444B24">
        <w:t xml:space="preserve">der Anzahl der Geräte oder Nutzer, die direkt auf den Onlinedienst </w:t>
      </w:r>
      <w:r>
        <w:t xml:space="preserve">(oder zugehörige Software) </w:t>
      </w:r>
      <w:r w:rsidRPr="00444B24">
        <w:t>zugreifen oder ihn</w:t>
      </w:r>
      <w:r>
        <w:t>/sie</w:t>
      </w:r>
      <w:r w:rsidRPr="00444B24">
        <w:t xml:space="preserve"> verwenden, oder das Verringern der Anzahl der</w:t>
      </w:r>
      <w:r>
        <w:t> </w:t>
      </w:r>
      <w:r w:rsidRPr="00444B24">
        <w:t>Betriebssystemumgebungen, Geräte oder Nutzer, die der Onlinedienst direkt verwaltet, (manchmal als „Multiplexing“ oder „Pooling“ bezeichnet)</w:t>
      </w:r>
      <w:r>
        <w:t xml:space="preserve"> verringert</w:t>
      </w:r>
      <w:r w:rsidRPr="00444B24">
        <w:t xml:space="preserve"> nicht die Anzahl der für den Kunden erforderlichen Lizenzen irgendeines Typs (einschließlich ALs).</w:t>
      </w:r>
    </w:p>
    <w:p w:rsidR="00585E19" w:rsidRPr="00444B24" w:rsidRDefault="00585E19" w:rsidP="00103924">
      <w:pPr>
        <w:pStyle w:val="ProductList-Body"/>
      </w:pPr>
    </w:p>
    <w:p w:rsidR="00585E19" w:rsidRPr="00444B24" w:rsidRDefault="00585E19" w:rsidP="00A914BF">
      <w:pPr>
        <w:pStyle w:val="ProductList-Body"/>
      </w:pPr>
    </w:p>
    <w:p w:rsidR="00585E19" w:rsidRPr="00444B24" w:rsidRDefault="00585E19" w:rsidP="00A914BF">
      <w:pPr>
        <w:pStyle w:val="ProductList-Body"/>
        <w:sectPr w:rsidR="00585E19" w:rsidRPr="00444B24" w:rsidSect="00A61B2A">
          <w:footerReference w:type="default" r:id="rId23"/>
          <w:footerReference w:type="first" r:id="rId24"/>
          <w:pgSz w:w="12240" w:h="15840"/>
          <w:pgMar w:top="1440" w:right="720" w:bottom="1440" w:left="720" w:header="720" w:footer="720" w:gutter="0"/>
          <w:cols w:space="720"/>
          <w:titlePg/>
          <w:docGrid w:linePitch="360"/>
        </w:sectPr>
      </w:pPr>
    </w:p>
    <w:p w:rsidR="00585E19" w:rsidRPr="00444B24" w:rsidRDefault="00585E19" w:rsidP="00366C8E">
      <w:pPr>
        <w:pStyle w:val="ProductList-SectionHeading"/>
        <w:outlineLvl w:val="0"/>
      </w:pPr>
      <w:bookmarkStart w:id="29" w:name="PrivacyandSecurityTerms"/>
      <w:bookmarkStart w:id="30" w:name="_Toc401641563"/>
      <w:r w:rsidRPr="00444B24">
        <w:t>Datenschutz- und Sicherheitsbestimmungen</w:t>
      </w:r>
      <w:bookmarkEnd w:id="29"/>
      <w:bookmarkEnd w:id="30"/>
    </w:p>
    <w:p w:rsidR="00585E19" w:rsidRPr="00444B24" w:rsidRDefault="00585E19" w:rsidP="00F77036">
      <w:pPr>
        <w:pStyle w:val="ProductList-Body"/>
      </w:pPr>
      <w:r w:rsidRPr="00444B24">
        <w:t xml:space="preserve">Dieser Abschnitt der Bestimmungen für Onlinedienste besteht aus zwei Unterabschnitten: </w:t>
      </w:r>
    </w:p>
    <w:p w:rsidR="00585E19" w:rsidRPr="00444B24" w:rsidRDefault="00585E19" w:rsidP="00E51F7B">
      <w:pPr>
        <w:pStyle w:val="ProductList-Body"/>
        <w:numPr>
          <w:ilvl w:val="0"/>
          <w:numId w:val="3"/>
        </w:numPr>
        <w:ind w:left="461" w:hanging="274"/>
      </w:pPr>
      <w:r w:rsidRPr="00444B24">
        <w:t>Allgemeine Datenschutz- und Sicherheitsbestimmungen, die für alle Onlinedienste gelten.</w:t>
      </w:r>
    </w:p>
    <w:p w:rsidR="00585E19" w:rsidRPr="00444B24" w:rsidRDefault="00585E19" w:rsidP="00E51F7B">
      <w:pPr>
        <w:pStyle w:val="ProductList-Body"/>
        <w:numPr>
          <w:ilvl w:val="0"/>
          <w:numId w:val="3"/>
        </w:numPr>
        <w:spacing w:before="40"/>
        <w:ind w:left="461" w:hanging="274"/>
      </w:pPr>
      <w:r w:rsidRPr="00444B24">
        <w:t xml:space="preserve">Bestimmungen für die Datenverarbeitung, die für bestimmte Onlinedienste zusätzliche Verpflichtungen </w:t>
      </w:r>
      <w:r>
        <w:t>beinhalten</w:t>
      </w:r>
      <w:r w:rsidRPr="00444B24">
        <w:t>.</w:t>
      </w:r>
    </w:p>
    <w:p w:rsidR="00585E19" w:rsidRPr="00444B24" w:rsidRDefault="00585E19" w:rsidP="009B62B0">
      <w:pPr>
        <w:pStyle w:val="ProductList-Body"/>
      </w:pPr>
    </w:p>
    <w:p w:rsidR="00585E19" w:rsidRPr="00444B24" w:rsidRDefault="00585E19" w:rsidP="00366C8E">
      <w:pPr>
        <w:pStyle w:val="ProductList-Offering2Heading"/>
        <w:outlineLvl w:val="1"/>
      </w:pPr>
      <w:bookmarkStart w:id="31" w:name="_Toc401641564"/>
      <w:r w:rsidRPr="00444B24">
        <w:t>Allgemeine Datenschutz- und Sicherheitsbestimmungen</w:t>
      </w:r>
      <w:bookmarkEnd w:id="31"/>
    </w:p>
    <w:p w:rsidR="00585E19" w:rsidRPr="00444B24" w:rsidRDefault="00585E19" w:rsidP="00366C8E">
      <w:pPr>
        <w:pStyle w:val="ProductList-SubSubSectionHeading"/>
        <w:outlineLvl w:val="2"/>
      </w:pPr>
      <w:bookmarkStart w:id="32" w:name="_Toc401641565"/>
      <w:r w:rsidRPr="00444B24">
        <w:t>Anwendungsbereich</w:t>
      </w:r>
      <w:bookmarkEnd w:id="32"/>
    </w:p>
    <w:p w:rsidR="00585E19" w:rsidRPr="00444B24" w:rsidRDefault="00585E19" w:rsidP="00F77036">
      <w:pPr>
        <w:pStyle w:val="ProductList-Body"/>
      </w:pPr>
      <w:r w:rsidRPr="00444B24">
        <w:t xml:space="preserve">Die Bestimmungen in diesem Abschnitt gelten für alle Onlinedienste außer für Bing Maps Enterprise Platform, Bing Maps Mobile Asset Management Platform, Translator API, Yammer und Parature von Microsoft, für die die nachfolgend aufgeführten Datenschutz- und/oder Sicherheitsbestimmungen in den anwendbaren </w:t>
      </w:r>
      <w:hyperlink w:anchor="OnlineServiceSpecificTerms" w:tooltip="Dienstspezifischen Bestimmungen für Onlinedienste" w:history="1">
        <w:r w:rsidRPr="00444B24">
          <w:rPr>
            <w:rStyle w:val="Hyperlink"/>
            <w:rFonts w:cs="Arial"/>
          </w:rPr>
          <w:t>Dienstspezifischen Bestimmungen für Onlinedienste</w:t>
        </w:r>
      </w:hyperlink>
      <w:r w:rsidRPr="002424DB">
        <w:rPr>
          <w:rStyle w:val="Hyperlink"/>
          <w:rFonts w:cs="Arial"/>
          <w:color w:val="auto"/>
          <w:u w:val="none"/>
        </w:rPr>
        <w:t xml:space="preserve"> </w:t>
      </w:r>
      <w:r w:rsidRPr="00444B24">
        <w:t>maßgebend sind.</w:t>
      </w:r>
    </w:p>
    <w:p w:rsidR="00585E19" w:rsidRPr="00444B24" w:rsidRDefault="00585E19" w:rsidP="00F77036">
      <w:pPr>
        <w:pStyle w:val="ProductList-Body"/>
      </w:pPr>
    </w:p>
    <w:p w:rsidR="00585E19" w:rsidRPr="00444B24" w:rsidRDefault="00585E19" w:rsidP="00366C8E">
      <w:pPr>
        <w:pStyle w:val="ProductList-SubSubSectionHeading"/>
        <w:outlineLvl w:val="2"/>
      </w:pPr>
      <w:bookmarkStart w:id="33" w:name="_Toc401641566"/>
      <w:r w:rsidRPr="00444B24">
        <w:t>Verwendung von Kundendaten</w:t>
      </w:r>
      <w:bookmarkEnd w:id="33"/>
    </w:p>
    <w:p w:rsidR="00585E19" w:rsidRPr="00444B24" w:rsidRDefault="00585E19" w:rsidP="00F77036">
      <w:pPr>
        <w:pStyle w:val="ProductList-Body"/>
      </w:pPr>
      <w:r w:rsidRPr="00444B24">
        <w:t xml:space="preserve">Kundendaten werden </w:t>
      </w:r>
      <w:r>
        <w:t>nur</w:t>
      </w:r>
      <w:r w:rsidRPr="00444B24">
        <w:t xml:space="preserve"> zur Bereitstellung der Onlinedienste für den Kunden</w:t>
      </w:r>
      <w:r>
        <w:t xml:space="preserve"> verwendet, einschließlich für Zwecke </w:t>
      </w:r>
      <w:r w:rsidRPr="00444B24">
        <w:t xml:space="preserve">die mit </w:t>
      </w:r>
      <w:r>
        <w:t>dem Zweck der</w:t>
      </w:r>
      <w:r w:rsidRPr="00444B24">
        <w:t xml:space="preserve"> Bereitstellung dieser Dienste </w:t>
      </w:r>
      <w:r>
        <w:t>vereinbar sind</w:t>
      </w:r>
      <w:r w:rsidRPr="00444B24">
        <w:t>.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585E19" w:rsidRPr="00444B24" w:rsidRDefault="00585E19" w:rsidP="00F77036">
      <w:pPr>
        <w:pStyle w:val="ProductList-Body"/>
      </w:pPr>
    </w:p>
    <w:p w:rsidR="00585E19" w:rsidRPr="00444B24" w:rsidRDefault="00585E19" w:rsidP="00366C8E">
      <w:pPr>
        <w:pStyle w:val="ProductList-SubSubSectionHeading"/>
        <w:outlineLvl w:val="2"/>
      </w:pPr>
      <w:bookmarkStart w:id="34" w:name="_Toc401641567"/>
      <w:r w:rsidRPr="00444B24">
        <w:t>Offenlegung von Kundendaten</w:t>
      </w:r>
      <w:bookmarkEnd w:id="34"/>
    </w:p>
    <w:p w:rsidR="00585E19" w:rsidRPr="00444B24" w:rsidRDefault="00585E19" w:rsidP="00F824AC">
      <w:pPr>
        <w:pStyle w:val="ProductList-Body"/>
        <w:spacing w:after="120"/>
      </w:pPr>
      <w:r w:rsidRPr="00444B24">
        <w:t xml:space="preserve">Microsoft legt keine Kundendaten außerhalb von Microsoft oder ihren kontrollierten Tochtergesellschaften und verbundenen Unternehmen offen, außer es geschieht (1) auf Anweisung des Kunden, (2) mit Zustimmung des Endbenutzers, (3) wie in den OST beschrieben oder (4) wie gesetzlich vorgeschrieben. </w:t>
      </w:r>
    </w:p>
    <w:p w:rsidR="00585E19" w:rsidRPr="00444B24" w:rsidRDefault="00585E19">
      <w:pPr>
        <w:pStyle w:val="ProductList-Body"/>
        <w:spacing w:after="120"/>
      </w:pPr>
      <w:r w:rsidRPr="00444B24">
        <w:t>Microsoft wird Kundendaten nicht gegenüber Strafverfolgungsbehörden offenlegen. sofern nicht gesetzlich vorgeschrieben. Sollte sich eine Strafverfolgungsbehörde mit Microsoft in Verbindung setzen und Kundendaten anfordern, versucht Microsoft, die Strafverfolgungsbehörde an</w:t>
      </w:r>
      <w:r>
        <w:t xml:space="preserve"> den Kunden </w:t>
      </w:r>
      <w:r w:rsidRPr="00444B24">
        <w:t>zu verweisen, damit sie diese Daten direkt beim Kunden anfordert. Wenn Microsoft verpflichtet ist, Kundendaten gegenüber einer Strafverfolgungsbehörde offenzulegen, wird Microsoft den Kunden unverzüglich darüber informieren und ihm eine Kopie der Aufforderung zukommen lassen, sofern dies nicht gesetzlich verboten ist.</w:t>
      </w:r>
    </w:p>
    <w:p w:rsidR="00585E19" w:rsidRPr="00444B24" w:rsidRDefault="00585E19" w:rsidP="00F824AC">
      <w:pPr>
        <w:pStyle w:val="ProductList-Body"/>
        <w:spacing w:after="120"/>
      </w:pPr>
      <w:r w:rsidRPr="00444B24">
        <w:t>Wenn Microsoft</w:t>
      </w:r>
      <w:r>
        <w:t xml:space="preserve"> von sonstigen </w:t>
      </w:r>
      <w:r w:rsidRPr="00444B24">
        <w:t>Dritte</w:t>
      </w:r>
      <w:r>
        <w:t>n</w:t>
      </w:r>
      <w:r w:rsidRPr="00444B24">
        <w:t xml:space="preserve"> eine</w:t>
      </w:r>
      <w:r>
        <w:t xml:space="preserve"> Anfrage nach </w:t>
      </w:r>
      <w:r w:rsidRPr="00444B24">
        <w:t>Kundendaten erhält (wie beispielsweise</w:t>
      </w:r>
      <w:r>
        <w:t xml:space="preserve"> Anfragen </w:t>
      </w:r>
      <w:r w:rsidRPr="00444B24">
        <w:t xml:space="preserve">von den Endbenutzern des Kunden), wird Microsoft den Kunden unverzüglich darüber informieren, sofern dies nicht gesetzlich verboten ist. Wenn Microsoft nicht </w:t>
      </w:r>
      <w:r>
        <w:t xml:space="preserve">gesetzlich </w:t>
      </w:r>
      <w:r w:rsidRPr="00444B24">
        <w:t>zur Offenlegung der Kundendaten verpflichtet ist, wird Microsoft die Weitergabe ablehnen. Wenn eine Anfrage</w:t>
      </w:r>
      <w:r>
        <w:t> </w:t>
      </w:r>
      <w:r w:rsidRPr="00444B24">
        <w:t>berechtigt ist und Microsoft zur Offenlegung der angeforderten Informationen</w:t>
      </w:r>
      <w:r>
        <w:t xml:space="preserve"> gezwungen werden </w:t>
      </w:r>
      <w:r w:rsidRPr="00444B24">
        <w:t>könnte, wird Microsoft sich bemühen, den</w:t>
      </w:r>
      <w:r>
        <w:t> </w:t>
      </w:r>
      <w:r w:rsidRPr="00444B24">
        <w:t xml:space="preserve">Dritten </w:t>
      </w:r>
      <w:r>
        <w:t>an den Kunden zu verweisen</w:t>
      </w:r>
      <w:r w:rsidRPr="00444B24">
        <w:t xml:space="preserve">, </w:t>
      </w:r>
      <w:r>
        <w:t xml:space="preserve">um </w:t>
      </w:r>
      <w:r w:rsidRPr="00444B24">
        <w:t>die Kundendaten vom Kunden einzufordern.</w:t>
      </w:r>
    </w:p>
    <w:p w:rsidR="00585E19" w:rsidRPr="00444B24" w:rsidRDefault="00585E19" w:rsidP="00AE69BA">
      <w:pPr>
        <w:pStyle w:val="ProductList-Body"/>
        <w:spacing w:after="120"/>
      </w:pPr>
      <w:r w:rsidRPr="00444B24">
        <w:t>Microsoft wird, außer auf Anweisung des Kunden, keinem Dritten Folgendes zur Verfügung stellen: (1) direkten, indirekten, umfassenden oder</w:t>
      </w:r>
      <w:r>
        <w:t> </w:t>
      </w:r>
      <w:r w:rsidRPr="00444B24">
        <w:t>uneingeschränkten Zugriff auf Kundendaten, (2)</w:t>
      </w:r>
      <w:r>
        <w:t xml:space="preserve"> </w:t>
      </w:r>
      <w:r w:rsidRPr="00444B24">
        <w:t>zur Sicherung von Kundendaten verwendete Verschlüsselungsschlüssel der Plattform</w:t>
      </w:r>
      <w:r>
        <w:t xml:space="preserve"> </w:t>
      </w:r>
      <w:r w:rsidRPr="00444B24">
        <w:t xml:space="preserve">oder </w:t>
      </w:r>
      <w:r>
        <w:t>die Möglichkeit</w:t>
      </w:r>
      <w:r w:rsidRPr="00444B24">
        <w:t>, eine solche Verschlüsselung zu umgehen, oder (3)</w:t>
      </w:r>
      <w:r>
        <w:t xml:space="preserve"> </w:t>
      </w:r>
      <w:r w:rsidRPr="00444B24">
        <w:t>Zugriff auf Kundendaten, wenn</w:t>
      </w:r>
      <w:r>
        <w:t> </w:t>
      </w:r>
      <w:r w:rsidRPr="00444B24">
        <w:t>Microsoft</w:t>
      </w:r>
      <w:r>
        <w:t xml:space="preserve"> bewusst ist</w:t>
      </w:r>
      <w:r w:rsidRPr="00444B24">
        <w:t xml:space="preserve">, dass diese Daten für andere als die in der betreffenden Anfrage angegebenen Zwecke verwendet werden. </w:t>
      </w:r>
    </w:p>
    <w:p w:rsidR="00585E19" w:rsidRPr="00444B24" w:rsidRDefault="00585E19" w:rsidP="00F77036">
      <w:pPr>
        <w:pStyle w:val="ProductList-Body"/>
      </w:pPr>
      <w:r w:rsidRPr="00444B24">
        <w:t xml:space="preserve">In diesem Zusammenhang ist Microsoft berechtigt, dem Dritten die grundlegenden Kontaktinformationen des Kunden zur Verfügung zu stellen. </w:t>
      </w:r>
    </w:p>
    <w:p w:rsidR="00585E19" w:rsidRPr="00444B24" w:rsidRDefault="00585E19" w:rsidP="00F77036">
      <w:pPr>
        <w:pStyle w:val="ProductList-Body"/>
      </w:pPr>
    </w:p>
    <w:p w:rsidR="00585E19" w:rsidRPr="00444B24" w:rsidRDefault="00585E19" w:rsidP="00366C8E">
      <w:pPr>
        <w:pStyle w:val="ProductList-SubSubSectionHeading"/>
        <w:outlineLvl w:val="2"/>
      </w:pPr>
      <w:bookmarkStart w:id="35" w:name="_Toc401641568"/>
      <w:r w:rsidRPr="00444B24">
        <w:t>Bildungseinrichtungen</w:t>
      </w:r>
      <w:bookmarkEnd w:id="35"/>
    </w:p>
    <w:p w:rsidR="00585E19" w:rsidRPr="00B60C4D" w:rsidRDefault="00585E19" w:rsidP="00F824AC">
      <w:pPr>
        <w:pStyle w:val="ProductList-Body"/>
        <w:spacing w:after="120"/>
      </w:pPr>
      <w:r w:rsidRPr="00B60C4D">
        <w:t xml:space="preserve">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w:t>
      </w:r>
      <w:r>
        <w:t xml:space="preserve">den ihn umsetzenden Vorschriften </w:t>
      </w:r>
      <w:r w:rsidRPr="00B60C4D">
        <w:t>definiert wurden, und Microsoft verpflichtet sich, die Einschränkungen und Anforderungen gemäß 34 CFR 99.33(a) in Bezug auf Schulbedienstete einzuhalten.</w:t>
      </w:r>
    </w:p>
    <w:p w:rsidR="00585E19" w:rsidRPr="00B60C4D" w:rsidRDefault="00585E19" w:rsidP="00F77036">
      <w:pPr>
        <w:pStyle w:val="ProductList-Body"/>
      </w:pPr>
      <w:r w:rsidRPr="00B60C4D">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585E19" w:rsidRDefault="00585E19" w:rsidP="00F77036">
      <w:pPr>
        <w:pStyle w:val="ProductList-Body"/>
      </w:pPr>
    </w:p>
    <w:p w:rsidR="00585E19" w:rsidRDefault="00585E19" w:rsidP="00F77036">
      <w:pPr>
        <w:pStyle w:val="ProductList-Body"/>
      </w:pPr>
    </w:p>
    <w:p w:rsidR="00585E19" w:rsidRPr="00444B24" w:rsidRDefault="00585E19" w:rsidP="00366C8E">
      <w:pPr>
        <w:pStyle w:val="ProductList-SubSubSectionHeading"/>
        <w:outlineLvl w:val="2"/>
      </w:pPr>
      <w:bookmarkStart w:id="36" w:name="_Toc401641569"/>
      <w:r w:rsidRPr="00444B24">
        <w:t>Sicherheit</w:t>
      </w:r>
      <w:bookmarkEnd w:id="36"/>
    </w:p>
    <w:p w:rsidR="00585E19" w:rsidRPr="00444B24" w:rsidRDefault="00585E19" w:rsidP="00F77036">
      <w:pPr>
        <w:pStyle w:val="ProductList-Body"/>
      </w:pPr>
      <w:r w:rsidRPr="00444B24">
        <w:t xml:space="preserve">Microsoft hat sich zum Ziel gesetzt, </w:t>
      </w:r>
      <w:r>
        <w:t xml:space="preserve">die Sicherheit </w:t>
      </w:r>
      <w:r w:rsidRPr="00444B24">
        <w:t xml:space="preserve">der Kundeninformationen zu </w:t>
      </w:r>
      <w:r>
        <w:t>schützen</w:t>
      </w:r>
      <w:r w:rsidRPr="00444B24">
        <w:t>. Microsoft hat geeignete technische und organisatorische Maßnahmen ergriffen, die dazu dienen, Kundendaten vor zufälligem, unbefugtem oder rechtswidrigem Zugriff sowie vor einer</w:t>
      </w:r>
      <w:r>
        <w:t> </w:t>
      </w:r>
      <w:r w:rsidRPr="00444B24">
        <w:t>solchen Offenlegung</w:t>
      </w:r>
      <w:r>
        <w:t xml:space="preserve">, </w:t>
      </w:r>
      <w:r w:rsidRPr="00444B24">
        <w:t>Veränderung</w:t>
      </w:r>
      <w:r>
        <w:t xml:space="preserve">, </w:t>
      </w:r>
      <w:r w:rsidRPr="00444B24">
        <w:t xml:space="preserve">Zerstörung oder Verlust zu schützen, und wird diese beibehalten und ihnen folgen. </w:t>
      </w:r>
    </w:p>
    <w:p w:rsidR="00585E19" w:rsidRPr="00444B24" w:rsidRDefault="00585E19" w:rsidP="00F77036">
      <w:pPr>
        <w:pStyle w:val="ProductList-Body"/>
      </w:pPr>
    </w:p>
    <w:p w:rsidR="00585E19" w:rsidRPr="00444B24" w:rsidRDefault="00585E19" w:rsidP="00366C8E">
      <w:pPr>
        <w:pStyle w:val="ProductList-SubSubSectionHeading"/>
        <w:outlineLvl w:val="2"/>
      </w:pPr>
      <w:bookmarkStart w:id="37" w:name="_Toc401641570"/>
      <w:r w:rsidRPr="00444B24">
        <w:t>Meldung von Sicherheitsvorfällen</w:t>
      </w:r>
      <w:bookmarkEnd w:id="37"/>
    </w:p>
    <w:p w:rsidR="00585E19" w:rsidRPr="00444B24" w:rsidRDefault="00585E19" w:rsidP="00F824AC">
      <w:pPr>
        <w:pStyle w:val="ProductList-Body"/>
        <w:spacing w:after="120"/>
      </w:pPr>
      <w:r w:rsidRPr="00444B24">
        <w:t>Wenn Microsoft Kenntnis</w:t>
      </w:r>
      <w:r>
        <w:t xml:space="preserve"> von einem </w:t>
      </w:r>
      <w:r w:rsidRPr="00444B24">
        <w:t>unrechtmäßigen Zugriff auf Kundendaten, die auf Geräten von Microsoft oder in Einrichtungen von Microsoft</w:t>
      </w:r>
      <w:r>
        <w:t> </w:t>
      </w:r>
      <w:r w:rsidRPr="00444B24">
        <w:t>gespeichert sind, oder</w:t>
      </w:r>
      <w:r>
        <w:t xml:space="preserve"> von einem </w:t>
      </w:r>
      <w:r w:rsidRPr="00444B24">
        <w:t>unbefugten Zugriff auf derartige Geräte oder Einrichtungen, durch den es zu einem Verlust, einer Offenlegung oder Änderung von Kundendaten kommt, erlangt (jeweils ein „Sicherheitsvorfall“), wird Microsoft unverzüglich (1) den Kunden über</w:t>
      </w:r>
      <w:r>
        <w:t> </w:t>
      </w:r>
      <w:r w:rsidRPr="00444B24">
        <w:t>den Sicherheitsvorfall informieren, (2) den Sicherheitsvorfall untersuchen und dem Kunden detaillierte Informationen über den Sicherheitsvorfall bereitstellen und (3) angemessene Maßnahmen zur Abmilderung der Auswirkungen und Minimierung der Schäden</w:t>
      </w:r>
      <w:r>
        <w:t>, die aus dem Sicherheitsvorfall entstehen,</w:t>
      </w:r>
      <w:r w:rsidRPr="00444B24">
        <w:t xml:space="preserve"> ergreifen.</w:t>
      </w:r>
    </w:p>
    <w:p w:rsidR="00585E19" w:rsidRPr="00444B24" w:rsidRDefault="00585E19" w:rsidP="00F824AC">
      <w:pPr>
        <w:pStyle w:val="ProductList-Body"/>
        <w:spacing w:after="120"/>
      </w:pPr>
      <w:r w:rsidRPr="00444B24">
        <w:t>Benachrichtigungen über Sicherheitsvorfälle müssen mindestens einem Administrator des Kunden auf die von Microsoft gewünschte Art und Weise,</w:t>
      </w:r>
      <w:r>
        <w:t xml:space="preserve"> beispielsweise </w:t>
      </w:r>
      <w:r w:rsidRPr="00444B24">
        <w:t>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585E19" w:rsidRPr="00444B24" w:rsidRDefault="00585E19" w:rsidP="00F77036">
      <w:pPr>
        <w:pStyle w:val="ProductList-Body"/>
      </w:pPr>
      <w:r w:rsidRPr="00444B24">
        <w:t>Der Kunde ist verpflichtet, Microsoft einen möglichen Missbrauch seiner Accounts oder Authentifizierungsdaten</w:t>
      </w:r>
      <w:r>
        <w:t xml:space="preserve"> sowie </w:t>
      </w:r>
      <w:r w:rsidRPr="00444B24">
        <w:t>sicherheitsrelevante Vorfälle</w:t>
      </w:r>
      <w:r>
        <w:t> </w:t>
      </w:r>
      <w:r w:rsidRPr="00444B24">
        <w:t>im Zusammenhang mit dem Onlinedienst unverzüglich mitzuteilen.</w:t>
      </w:r>
    </w:p>
    <w:p w:rsidR="00585E19" w:rsidRPr="00444B24" w:rsidRDefault="00585E19" w:rsidP="00F77036">
      <w:pPr>
        <w:pStyle w:val="ProductList-Body"/>
      </w:pPr>
    </w:p>
    <w:p w:rsidR="00585E19" w:rsidRPr="00444B24" w:rsidRDefault="00585E19" w:rsidP="00233C87">
      <w:pPr>
        <w:pStyle w:val="ProductList-SubSubSectionHeading"/>
        <w:outlineLvl w:val="2"/>
      </w:pPr>
      <w:bookmarkStart w:id="38" w:name="_Toc401641571"/>
      <w:r w:rsidRPr="00444B24">
        <w:t>Ort der Datenverarbeitung</w:t>
      </w:r>
      <w:bookmarkEnd w:id="38"/>
    </w:p>
    <w:p w:rsidR="00585E19" w:rsidRPr="00444B24" w:rsidRDefault="00585E19" w:rsidP="00F77036">
      <w:pPr>
        <w:pStyle w:val="ProductList-Body"/>
      </w:pPr>
      <w:r w:rsidRPr="00444B24">
        <w:t>Vorbehaltlich einer anderweitigen Regelung in den OST dürfen Kundendaten, die Microsoft im Namen des Kunden verarbeitet, in die USA oder ein</w:t>
      </w:r>
      <w:r>
        <w:t> </w:t>
      </w:r>
      <w:r w:rsidRPr="00444B24">
        <w:t>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hält die Safe-Harbor-Abkommen der EU und der Schweiz ein, wie es vom US-Handelsministerium bezüglich der Erhebung, Nutzung und Aufbewahrung von Daten aus der Europäischen Union, dem Europäischen Wirtschaftsraum und der Schweiz bestimmt wurde.</w:t>
      </w:r>
    </w:p>
    <w:p w:rsidR="00585E19" w:rsidRPr="00444B24" w:rsidRDefault="00585E19" w:rsidP="00F77036">
      <w:pPr>
        <w:pStyle w:val="ProductList-Body"/>
      </w:pPr>
    </w:p>
    <w:p w:rsidR="00585E19" w:rsidRPr="00444B24" w:rsidRDefault="00585E19" w:rsidP="00233C87">
      <w:pPr>
        <w:pStyle w:val="ProductList-SubSubSectionHeading"/>
        <w:outlineLvl w:val="2"/>
      </w:pPr>
      <w:bookmarkStart w:id="39" w:name="_Toc401641572"/>
      <w:r w:rsidRPr="00444B24">
        <w:t>Vorschauversionen</w:t>
      </w:r>
      <w:bookmarkEnd w:id="39"/>
    </w:p>
    <w:p w:rsidR="00585E19" w:rsidRPr="00444B24" w:rsidRDefault="00585E19" w:rsidP="00F77036">
      <w:pPr>
        <w:pStyle w:val="ProductList-Body"/>
      </w:pPr>
      <w:r w:rsidRPr="00444B24">
        <w:t>Microsoft ist berechtigt, Vorschau-, Beta- oder andere</w:t>
      </w:r>
      <w:r>
        <w:t xml:space="preserve"> Vorabversionen von Feature </w:t>
      </w:r>
      <w:r w:rsidRPr="00444B24">
        <w:t xml:space="preserve">oder </w:t>
      </w:r>
      <w:r>
        <w:t>D</w:t>
      </w:r>
      <w:r w:rsidRPr="00444B24">
        <w:t>ienste</w:t>
      </w:r>
      <w:r>
        <w:t>n</w:t>
      </w:r>
      <w:r w:rsidRPr="00444B24">
        <w:t xml:space="preserve"> („</w:t>
      </w:r>
      <w:r>
        <w:t xml:space="preserve"> Previews</w:t>
      </w:r>
      <w:r w:rsidRPr="00444B24">
        <w:t xml:space="preserve">“) zwecks optionaler Bewertungen anzubieten. Bei Vorschauen werden unter Umständen weniger oder andere Datenschutz- und Sicherheitsmaßnahmen ergriffen als dies bei Onlinediensten normalerweise der Fall ist. Sofern nicht anders dargelegt sind </w:t>
      </w:r>
      <w:r>
        <w:t>Previews</w:t>
      </w:r>
      <w:r w:rsidRPr="00444B24">
        <w:t xml:space="preserve"> nicht in der SLA des betreffenden Onlinedienstes enthalten.</w:t>
      </w:r>
    </w:p>
    <w:p w:rsidR="00585E19" w:rsidRPr="00444B24" w:rsidRDefault="00585E19" w:rsidP="00F77036">
      <w:pPr>
        <w:pStyle w:val="ProductList-Body"/>
      </w:pPr>
    </w:p>
    <w:p w:rsidR="00585E19" w:rsidRPr="00444B24" w:rsidRDefault="00585E19" w:rsidP="00233C87">
      <w:pPr>
        <w:pStyle w:val="ProductList-SubSubSectionHeading"/>
        <w:outlineLvl w:val="2"/>
      </w:pPr>
      <w:bookmarkStart w:id="40" w:name="_Toc401641573"/>
      <w:r w:rsidRPr="00444B24">
        <w:t>Einsatz von Vertragspartnern</w:t>
      </w:r>
      <w:bookmarkEnd w:id="40"/>
    </w:p>
    <w:p w:rsidR="00585E19" w:rsidRPr="00444B24" w:rsidRDefault="00585E19" w:rsidP="00F77036">
      <w:pPr>
        <w:pStyle w:val="ProductList-Body"/>
      </w:pPr>
      <w:r w:rsidRPr="00444B24">
        <w:t xml:space="preserve">Microsoft ist berechtigt, Vertragspartner mit der Bereitstellung von Diensten in ihrem Namen zu beauftragen. Solchen Vertragspartnern ist es gestattet, Kundendaten nur für die Bereitstellung der Dienste zu </w:t>
      </w:r>
      <w:r>
        <w:t>erhalten</w:t>
      </w:r>
      <w:r w:rsidRPr="00444B24">
        <w:t>, mit deren Bereitstellung Microsoft sie beauftragt hat, und es ist ihnen untersagt, Kundendaten für andere Zwecke zu nutzen. Microsoft bleibt dafür verantwortlich, dass</w:t>
      </w:r>
      <w:r>
        <w:t xml:space="preserve"> ihre </w:t>
      </w:r>
      <w:r w:rsidRPr="00444B24">
        <w:t xml:space="preserve">Vertragspartner die in den </w:t>
      </w:r>
      <w:r>
        <w:t xml:space="preserve">OST </w:t>
      </w:r>
      <w:r w:rsidRPr="00444B24">
        <w:t>festgelegten Verpflichtungen</w:t>
      </w:r>
      <w:r>
        <w:t xml:space="preserve"> von Microsoft</w:t>
      </w:r>
      <w:r w:rsidRPr="00444B24">
        <w:t xml:space="preserve"> einhalten. Der Kunde hat der Übertragung von Kundendaten durch Microsoft an Vertragspartner wie in</w:t>
      </w:r>
      <w:r>
        <w:t xml:space="preserve"> den </w:t>
      </w:r>
      <w:r w:rsidRPr="00444B24">
        <w:t xml:space="preserve">OST beschrieben </w:t>
      </w:r>
      <w:r>
        <w:t>vorab</w:t>
      </w:r>
      <w:r w:rsidRPr="00444B24">
        <w:t xml:space="preserve"> zugestimmt.</w:t>
      </w:r>
    </w:p>
    <w:p w:rsidR="00585E19" w:rsidRPr="00444B24" w:rsidRDefault="00585E19" w:rsidP="00A914BF">
      <w:pPr>
        <w:pStyle w:val="ProductList-Body"/>
      </w:pPr>
    </w:p>
    <w:p w:rsidR="00585E19" w:rsidRPr="00444B24" w:rsidRDefault="00585E19" w:rsidP="00233C87">
      <w:pPr>
        <w:pStyle w:val="ProductList-SubSubSectionHeading"/>
        <w:outlineLvl w:val="2"/>
      </w:pPr>
      <w:bookmarkStart w:id="41" w:name="_Toc401641574"/>
      <w:r w:rsidRPr="00444B24">
        <w:t>So kontaktieren Sie Microsoft</w:t>
      </w:r>
      <w:bookmarkEnd w:id="41"/>
    </w:p>
    <w:p w:rsidR="00585E19" w:rsidRPr="00695BB1" w:rsidRDefault="00585E19" w:rsidP="00F77036">
      <w:pPr>
        <w:pStyle w:val="ProductList-Body"/>
      </w:pPr>
      <w:r w:rsidRPr="00444B24">
        <w:t>Wenn der Kunde der Ansicht ist, dass Microsoft ihren Datenschutz- und Sicherheitsverpflichtungen nicht nachkommt, kann der Kunde</w:t>
      </w:r>
      <w:r>
        <w:t xml:space="preserve"> Microsoft </w:t>
      </w:r>
      <w:r w:rsidRPr="00444B24">
        <w:t xml:space="preserve">über </w:t>
      </w:r>
      <w:r>
        <w:t xml:space="preserve">den Kundensupport oder über das Datenschutzformular unter </w:t>
      </w:r>
      <w:hyperlink r:id="rId25" w:history="1">
        <w:r w:rsidRPr="00444B24">
          <w:rPr>
            <w:rStyle w:val="Hyperlink"/>
            <w:rFonts w:cs="Arial"/>
          </w:rPr>
          <w:t>http://go.microsoft.com/?linkid=9846224</w:t>
        </w:r>
      </w:hyperlink>
      <w:r w:rsidRPr="00444B24">
        <w:t xml:space="preserve"> kontaktieren. </w:t>
      </w:r>
      <w:r w:rsidRPr="00695BB1">
        <w:t xml:space="preserve">Microsofts Postanschrift: </w:t>
      </w:r>
    </w:p>
    <w:p w:rsidR="00585E19" w:rsidRPr="00695BB1" w:rsidRDefault="00585E19" w:rsidP="0010435E">
      <w:pPr>
        <w:pStyle w:val="ProductList-Body"/>
        <w:tabs>
          <w:tab w:val="clear" w:pos="158"/>
        </w:tabs>
        <w:spacing w:before="120"/>
        <w:ind w:left="187"/>
      </w:pPr>
      <w:r w:rsidRPr="00695BB1">
        <w:rPr>
          <w:b/>
        </w:rPr>
        <w:t>Microsoft Enterprise Service Privacy</w:t>
      </w:r>
    </w:p>
    <w:p w:rsidR="00585E19" w:rsidRPr="00695BB1" w:rsidRDefault="00585E19" w:rsidP="00F77036">
      <w:pPr>
        <w:pStyle w:val="ProductList-Body"/>
        <w:ind w:left="180"/>
      </w:pPr>
      <w:r w:rsidRPr="00695BB1">
        <w:t>Microsoft Corporation</w:t>
      </w:r>
    </w:p>
    <w:p w:rsidR="00585E19" w:rsidRPr="00695BB1" w:rsidRDefault="00585E19" w:rsidP="00F77036">
      <w:pPr>
        <w:pStyle w:val="ProductList-Body"/>
        <w:ind w:left="180"/>
      </w:pPr>
      <w:r w:rsidRPr="00695BB1">
        <w:t>One Microsoft Way</w:t>
      </w:r>
    </w:p>
    <w:p w:rsidR="00585E19" w:rsidRPr="00444B24" w:rsidRDefault="00585E19" w:rsidP="00F77036">
      <w:pPr>
        <w:pStyle w:val="ProductList-Body"/>
        <w:ind w:left="180"/>
      </w:pPr>
      <w:r w:rsidRPr="00444B24">
        <w:t>Redmond, Washington 98052, USA</w:t>
      </w:r>
    </w:p>
    <w:p w:rsidR="00585E19" w:rsidRPr="00444B24" w:rsidRDefault="00585E19" w:rsidP="00F77036">
      <w:pPr>
        <w:pStyle w:val="ProductList-Body"/>
      </w:pPr>
    </w:p>
    <w:p w:rsidR="00585E19" w:rsidRPr="00444B24" w:rsidRDefault="00585E19" w:rsidP="00F77036">
      <w:pPr>
        <w:pStyle w:val="ProductList-Body"/>
      </w:pPr>
      <w:r w:rsidRPr="00444B24">
        <w:t>Microsoft Ireland Operations Limited ist der Datenschutzvertreter von Microsoft für den Europäischen Wirtschaftsraum und die Schweiz. Der</w:t>
      </w:r>
      <w:r>
        <w:t> </w:t>
      </w:r>
      <w:r w:rsidRPr="00444B24">
        <w:t>Datenschutzvertreter von Microsoft Ireland Operations Limited ist unter folgender Anschrift zu erreichen:</w:t>
      </w:r>
    </w:p>
    <w:p w:rsidR="00585E19" w:rsidRPr="008E1564" w:rsidRDefault="00585E19" w:rsidP="0088164F">
      <w:pPr>
        <w:pStyle w:val="ProductList-Body"/>
        <w:spacing w:before="120"/>
        <w:ind w:left="187"/>
        <w:rPr>
          <w:lang w:val="en-US"/>
        </w:rPr>
      </w:pPr>
      <w:r w:rsidRPr="008E1564">
        <w:rPr>
          <w:b/>
          <w:lang w:val="en-US"/>
        </w:rPr>
        <w:t>Microsoft Ireland Operations Ltd.</w:t>
      </w:r>
    </w:p>
    <w:p w:rsidR="00585E19" w:rsidRPr="008E1564" w:rsidRDefault="00585E19" w:rsidP="00F77036">
      <w:pPr>
        <w:pStyle w:val="ProductList-Body"/>
        <w:ind w:left="180"/>
        <w:rPr>
          <w:lang w:val="en-US"/>
        </w:rPr>
      </w:pPr>
      <w:r w:rsidRPr="008E1564">
        <w:rPr>
          <w:lang w:val="en-US"/>
        </w:rPr>
        <w:t>Attn: Data Protection</w:t>
      </w:r>
    </w:p>
    <w:p w:rsidR="00585E19" w:rsidRPr="00444B24" w:rsidRDefault="00585E19" w:rsidP="00F77036">
      <w:pPr>
        <w:pStyle w:val="ProductList-Body"/>
        <w:ind w:left="180"/>
      </w:pPr>
      <w:r w:rsidRPr="00444B24">
        <w:t>Carmenhall Road</w:t>
      </w:r>
    </w:p>
    <w:p w:rsidR="00585E19" w:rsidRPr="00444B24" w:rsidRDefault="00585E19" w:rsidP="00F77036">
      <w:pPr>
        <w:pStyle w:val="ProductList-Body"/>
        <w:ind w:left="180"/>
      </w:pPr>
      <w:r w:rsidRPr="00444B24">
        <w:t>Sandyford, Dublin 18, Irland</w:t>
      </w:r>
    </w:p>
    <w:p w:rsidR="00585E19" w:rsidRPr="00444B24" w:rsidRDefault="00585E19" w:rsidP="00366C8E">
      <w:pPr>
        <w:pStyle w:val="ProductList-Body"/>
      </w:pPr>
    </w:p>
    <w:p w:rsidR="00585E19" w:rsidRPr="00444B24" w:rsidRDefault="00585E19" w:rsidP="00233C87">
      <w:pPr>
        <w:pStyle w:val="ProductList-Offering2Heading"/>
        <w:outlineLvl w:val="1"/>
      </w:pPr>
      <w:bookmarkStart w:id="42" w:name="_Toc401641575"/>
      <w:r w:rsidRPr="00444B24">
        <w:t>Bestimmungen für die Datenverarbeitung</w:t>
      </w:r>
      <w:bookmarkEnd w:id="42"/>
    </w:p>
    <w:p w:rsidR="00585E19" w:rsidRPr="00444B24" w:rsidRDefault="00585E19" w:rsidP="00F824AC">
      <w:pPr>
        <w:pStyle w:val="ProductList-Body"/>
        <w:spacing w:after="120"/>
      </w:pPr>
      <w:r w:rsidRPr="00444B24">
        <w:t>Die Bestimmungen für die Datenverarbeitung (</w:t>
      </w:r>
      <w:r>
        <w:t xml:space="preserve">Data Processing Terms oder </w:t>
      </w:r>
      <w:r w:rsidRPr="00444B24">
        <w:t>DPT) beinhalten die Bestimmungen dieses Abschnitts.</w:t>
      </w:r>
    </w:p>
    <w:p w:rsidR="00585E19" w:rsidRPr="00444B24" w:rsidRDefault="00585E19" w:rsidP="00F77036">
      <w:pPr>
        <w:pStyle w:val="ProductList-Body"/>
      </w:pPr>
      <w:r w:rsidRPr="00444B24">
        <w:t>Die Bestimmungen für die Datenverarbeitung</w:t>
      </w:r>
      <w:r>
        <w:t xml:space="preserve"> umfassen </w:t>
      </w:r>
      <w:r w:rsidRPr="00444B24">
        <w:t xml:space="preserve">auch die „Standardvertragsklauseln“ </w:t>
      </w:r>
      <w:r>
        <w:t xml:space="preserve">gemäß </w:t>
      </w:r>
      <w:r w:rsidRPr="00444B24">
        <w:t xml:space="preserve">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tooltip="Anhang 3" w:history="1">
        <w:r>
          <w:rPr>
            <w:rStyle w:val="Hyperlink"/>
            <w:rFonts w:cs="Arial"/>
          </w:rPr>
          <w:t>Anhang 3</w:t>
        </w:r>
      </w:hyperlink>
      <w:r w:rsidRPr="00444B24">
        <w:t xml:space="preserve">. </w:t>
      </w:r>
      <w:r>
        <w:t>Darüber hinaus</w:t>
      </w:r>
    </w:p>
    <w:p w:rsidR="00585E19" w:rsidRPr="00444B24" w:rsidRDefault="00585E19" w:rsidP="00F82E3A">
      <w:pPr>
        <w:pStyle w:val="ProductList-Body"/>
        <w:numPr>
          <w:ilvl w:val="0"/>
          <w:numId w:val="4"/>
        </w:numPr>
        <w:ind w:left="461" w:hanging="274"/>
      </w:pPr>
      <w:r>
        <w:t xml:space="preserve">Umfasst die Unterzeichnung </w:t>
      </w:r>
      <w:r w:rsidRPr="00444B24">
        <w:t>des Volumenlizenzvertrages die</w:t>
      </w:r>
      <w:r>
        <w:t xml:space="preserve"> Unterzeichnung </w:t>
      </w:r>
      <w:r w:rsidRPr="00444B24">
        <w:t xml:space="preserve">von </w:t>
      </w:r>
      <w:hyperlink w:anchor="Attachment3" w:tooltip="Anhang 3" w:history="1">
        <w:r>
          <w:rPr>
            <w:rStyle w:val="Hyperlink"/>
            <w:rFonts w:cs="Arial"/>
          </w:rPr>
          <w:t>Anhang 3</w:t>
        </w:r>
      </w:hyperlink>
      <w:r w:rsidRPr="00444B24">
        <w:t>, die von Microsoft Corporation gegengezeichnet ist.</w:t>
      </w:r>
    </w:p>
    <w:p w:rsidR="00585E19" w:rsidRPr="00444B24" w:rsidRDefault="00585E19" w:rsidP="00F82E3A">
      <w:pPr>
        <w:pStyle w:val="ProductList-Body"/>
        <w:numPr>
          <w:ilvl w:val="0"/>
          <w:numId w:val="4"/>
        </w:numPr>
        <w:spacing w:before="40"/>
        <w:ind w:left="461" w:hanging="274"/>
      </w:pPr>
      <w:r>
        <w:t xml:space="preserve">Bilden die </w:t>
      </w:r>
      <w:r w:rsidRPr="00444B24">
        <w:t>Bestimmungen im Volumenlizenzvertrag des Kunden, einschließlich der DPT, einen Datenverarbeitungsvertrag, unter dem Microsoft Auftragsverarbeiter ist.</w:t>
      </w:r>
    </w:p>
    <w:p w:rsidR="00585E19" w:rsidRPr="00444B24" w:rsidRDefault="00585E19" w:rsidP="0088164F">
      <w:pPr>
        <w:pStyle w:val="ProductList-Body"/>
        <w:numPr>
          <w:ilvl w:val="0"/>
          <w:numId w:val="4"/>
        </w:numPr>
        <w:spacing w:before="40" w:after="120"/>
        <w:ind w:left="461" w:hanging="274"/>
      </w:pPr>
      <w:r>
        <w:t xml:space="preserve">Haben die </w:t>
      </w:r>
      <w:r w:rsidRPr="00444B24">
        <w:t>DPT Vorrang vor uneinheitlichen oder widersprüchlichen Bestimmungen im Volumenlizenzvertrag des Kunden und</w:t>
      </w:r>
      <w:r>
        <w:t xml:space="preserve"> bleiben </w:t>
      </w:r>
      <w:r w:rsidRPr="00444B24">
        <w:t>vollständig für jedes Abonnement wirksam, bis alle zugehörigen Kundendaten von den Microsoft-Systemen in Übereinstimmung mit den DPT</w:t>
      </w:r>
      <w:r>
        <w:t> </w:t>
      </w:r>
      <w:r w:rsidRPr="00444B24">
        <w:t>gelöscht worden sind.</w:t>
      </w:r>
    </w:p>
    <w:p w:rsidR="00585E19" w:rsidRPr="00444B24" w:rsidRDefault="00585E19" w:rsidP="00F77036">
      <w:pPr>
        <w:pStyle w:val="ProductList-Body"/>
      </w:pPr>
      <w:r w:rsidRPr="00444B24">
        <w:t>Der Kunde kann</w:t>
      </w:r>
      <w:r>
        <w:t xml:space="preserve"> die </w:t>
      </w:r>
      <w:r w:rsidRPr="00444B24">
        <w:t xml:space="preserve">„Standardvertragsklauseln“ oder Bestimmungen für die Datenverarbeitung vollständig </w:t>
      </w:r>
      <w:r>
        <w:t>ausschließen</w:t>
      </w:r>
      <w:r w:rsidRPr="00444B24">
        <w:t>.</w:t>
      </w:r>
      <w:r>
        <w:t xml:space="preserve"> Hierfür </w:t>
      </w:r>
      <w:r w:rsidRPr="00444B24">
        <w:t>muss der Kunde folgende Informationen in Form einer schriftlichen Mitteilung (gemäß den Bestimmungen des Volumenlizenzvertrages des Kunden) an Microsoft senden:</w:t>
      </w:r>
    </w:p>
    <w:p w:rsidR="00585E19" w:rsidRPr="00444B24" w:rsidRDefault="00585E19" w:rsidP="00F042C2">
      <w:pPr>
        <w:pStyle w:val="ProductList-Body"/>
        <w:numPr>
          <w:ilvl w:val="0"/>
          <w:numId w:val="5"/>
        </w:numPr>
        <w:ind w:left="461" w:hanging="274"/>
      </w:pPr>
      <w:r w:rsidRPr="00444B24">
        <w:t>Den vollständigen rechtlichen Namen des Kunden und</w:t>
      </w:r>
      <w:r>
        <w:t xml:space="preserve"> der </w:t>
      </w:r>
      <w:r w:rsidRPr="00444B24">
        <w:t xml:space="preserve">Verbundenen Unternehmen, </w:t>
      </w:r>
      <w:r>
        <w:t>die diese Bestimmungen ausschließen möchten.</w:t>
      </w:r>
    </w:p>
    <w:p w:rsidR="00585E19" w:rsidRPr="00444B24" w:rsidRDefault="00585E19" w:rsidP="00F042C2">
      <w:pPr>
        <w:pStyle w:val="ProductList-Body"/>
        <w:numPr>
          <w:ilvl w:val="0"/>
          <w:numId w:val="5"/>
        </w:numPr>
        <w:spacing w:before="40"/>
        <w:ind w:left="461" w:hanging="274"/>
      </w:pPr>
      <w:r w:rsidRPr="00444B24">
        <w:t>Wenn der Kunde mehrere Volumenlizenzverträge hat, muss mitgeteilt werden, für welchen Volumenlizenzvertrag</w:t>
      </w:r>
      <w:r>
        <w:t xml:space="preserve"> der Ausschluss </w:t>
      </w:r>
      <w:r w:rsidRPr="00444B24">
        <w:t xml:space="preserve">gilt. </w:t>
      </w:r>
    </w:p>
    <w:p w:rsidR="00585E19" w:rsidRPr="00444B24" w:rsidRDefault="00585E19" w:rsidP="00F042C2">
      <w:pPr>
        <w:pStyle w:val="ProductList-Body"/>
        <w:numPr>
          <w:ilvl w:val="0"/>
          <w:numId w:val="5"/>
        </w:numPr>
        <w:spacing w:before="40"/>
        <w:ind w:left="461" w:hanging="274"/>
      </w:pPr>
      <w:r w:rsidRPr="00444B24">
        <w:t xml:space="preserve">Wenn der Kunde </w:t>
      </w:r>
      <w:r>
        <w:t xml:space="preserve">die gesamten </w:t>
      </w:r>
      <w:r w:rsidRPr="00444B24">
        <w:t>DPT vollständig</w:t>
      </w:r>
      <w:r>
        <w:t xml:space="preserve"> ausschließen </w:t>
      </w:r>
      <w:r w:rsidRPr="00444B24">
        <w:t>möchte, muss vom Kunden (oder dem verbundenen Unternehmen) eine Erklärung</w:t>
      </w:r>
      <w:r>
        <w:t xml:space="preserve"> zum </w:t>
      </w:r>
      <w:r w:rsidRPr="00444B24">
        <w:t>vollständigen</w:t>
      </w:r>
      <w:r>
        <w:t xml:space="preserve"> Ausschluss </w:t>
      </w:r>
      <w:r w:rsidRPr="00444B24">
        <w:t>der Bestimmungen für die Datenverarbeitung abgegeben werden.</w:t>
      </w:r>
    </w:p>
    <w:p w:rsidR="00585E19" w:rsidRPr="00444B24" w:rsidRDefault="00585E19" w:rsidP="0088164F">
      <w:pPr>
        <w:pStyle w:val="ProductList-Body"/>
        <w:numPr>
          <w:ilvl w:val="0"/>
          <w:numId w:val="5"/>
        </w:numPr>
        <w:spacing w:before="40" w:after="120"/>
        <w:ind w:left="461" w:hanging="274"/>
      </w:pPr>
      <w:r w:rsidRPr="00444B24">
        <w:t>Wenn der Kunde nur</w:t>
      </w:r>
      <w:r>
        <w:t xml:space="preserve"> die </w:t>
      </w:r>
      <w:r w:rsidRPr="00444B24">
        <w:t>Standardvertragsklauseln</w:t>
      </w:r>
      <w:r>
        <w:t xml:space="preserve"> ausschließen </w:t>
      </w:r>
      <w:r w:rsidRPr="00444B24">
        <w:t>möchte, muss vom Kunden (oder dem Verbundenen Unternehmen) eine Erklärung abgegeben werden, dass nur</w:t>
      </w:r>
      <w:r>
        <w:t xml:space="preserve"> die </w:t>
      </w:r>
      <w:r w:rsidRPr="00444B24">
        <w:t>Standardvertragsklauseln</w:t>
      </w:r>
      <w:r>
        <w:t xml:space="preserve"> ausgeschlossen werden</w:t>
      </w:r>
      <w:r w:rsidRPr="00444B24">
        <w:t xml:space="preserve">. </w:t>
      </w:r>
    </w:p>
    <w:p w:rsidR="00585E19" w:rsidRPr="00444B24" w:rsidRDefault="00585E19" w:rsidP="00F824AC">
      <w:pPr>
        <w:pStyle w:val="ProductList-Body"/>
        <w:spacing w:after="120"/>
      </w:pPr>
      <w:r w:rsidRPr="00444B24">
        <w:t>In Ländern, in denen eine behördliche Zulassung für</w:t>
      </w:r>
      <w:r>
        <w:t xml:space="preserve"> die Verwendung der </w:t>
      </w:r>
      <w:r w:rsidRPr="00444B24">
        <w:t xml:space="preserve">Standardvertragsklauseln erforderlich ist, </w:t>
      </w:r>
      <w:r>
        <w:t xml:space="preserve">kann der Datenexport aus dem Land nicht auf Grundlage der </w:t>
      </w:r>
      <w:r w:rsidRPr="00444B24">
        <w:t>Standardvertragsklauseln gemäß</w:t>
      </w:r>
      <w:r>
        <w:t xml:space="preserve"> dem Beschluss</w:t>
      </w:r>
      <w:r w:rsidRPr="00444B24">
        <w:t xml:space="preserve"> der Europäischen Kommission 2010/87/EU (vom Februar 2010) </w:t>
      </w:r>
      <w:r>
        <w:t>legitimiert werden</w:t>
      </w:r>
      <w:r w:rsidRPr="00444B24">
        <w:t xml:space="preserve">, es sei denn, der Kunde </w:t>
      </w:r>
      <w:r w:rsidRPr="007534FC">
        <w:t xml:space="preserve">verfügt </w:t>
      </w:r>
      <w:r w:rsidRPr="00444B24">
        <w:t>über die erforderliche behördliche Genehmigung.</w:t>
      </w:r>
    </w:p>
    <w:p w:rsidR="00585E19" w:rsidRPr="00444B24" w:rsidRDefault="00585E19" w:rsidP="00F824AC">
      <w:pPr>
        <w:pStyle w:val="ProductList-Body"/>
      </w:pPr>
      <w:r w:rsidRPr="00444B24">
        <w:rPr>
          <w:b/>
        </w:rPr>
        <w:t>In den DP</w:t>
      </w:r>
      <w:r>
        <w:rPr>
          <w:b/>
        </w:rPr>
        <w:t>T</w:t>
      </w:r>
      <w:r w:rsidRPr="00444B24">
        <w:rPr>
          <w:b/>
        </w:rPr>
        <w:t xml:space="preserve"> bezieht sich der Begriff „Onlinedienste“ nur auf die in der nachstehenden Tabelle angegebenen Onlinedienste – </w:t>
      </w:r>
      <w:r>
        <w:rPr>
          <w:b/>
        </w:rPr>
        <w:t xml:space="preserve">Preview-Feature oder -Dienste </w:t>
      </w:r>
      <w:r w:rsidRPr="00444B24">
        <w:rPr>
          <w:b/>
        </w:rPr>
        <w:t>sind ausgenommen –, und „Kundendaten“ umfassen lediglich jene Kundendaten, die im Rahmen der Verwendung dieser Onlinedienste bereitgestellt werden.</w:t>
      </w:r>
    </w:p>
    <w:p w:rsidR="00585E19" w:rsidRPr="00444B24" w:rsidRDefault="00585E19" w:rsidP="00A914BF">
      <w:pPr>
        <w:pStyle w:val="ProductList-Body"/>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0"/>
        <w:gridCol w:w="8190"/>
      </w:tblGrid>
      <w:tr w:rsidR="00585E19" w:rsidRPr="00D73341" w:rsidTr="00D73341">
        <w:trPr>
          <w:tblHeader/>
        </w:trPr>
        <w:tc>
          <w:tcPr>
            <w:tcW w:w="10800" w:type="dxa"/>
            <w:gridSpan w:val="2"/>
            <w:shd w:val="clear" w:color="auto" w:fill="0072C6"/>
          </w:tcPr>
          <w:p w:rsidR="00585E19" w:rsidRPr="00F038DB" w:rsidRDefault="00585E19" w:rsidP="00D73341">
            <w:pPr>
              <w:pStyle w:val="ProductList-Body"/>
              <w:spacing w:before="20" w:after="20"/>
              <w:rPr>
                <w:rFonts w:cs="Arial"/>
                <w:color w:val="FFFFFF"/>
                <w:szCs w:val="22"/>
              </w:rPr>
            </w:pPr>
            <w:r w:rsidRPr="00F038DB">
              <w:rPr>
                <w:rFonts w:cs="Arial"/>
                <w:color w:val="FFFFFF"/>
                <w:szCs w:val="22"/>
              </w:rPr>
              <w:t>Onlinedienste</w:t>
            </w:r>
          </w:p>
        </w:tc>
      </w:tr>
      <w:tr w:rsidR="00585E19" w:rsidRPr="00D73341" w:rsidTr="00D73341">
        <w:tc>
          <w:tcPr>
            <w:tcW w:w="2610" w:type="dxa"/>
            <w:vAlign w:val="center"/>
          </w:tcPr>
          <w:p w:rsidR="00585E19" w:rsidRPr="00F038DB" w:rsidRDefault="00585E19" w:rsidP="00CF560D">
            <w:pPr>
              <w:pStyle w:val="ProductList-Body"/>
              <w:rPr>
                <w:rFonts w:cs="Arial"/>
                <w:szCs w:val="22"/>
              </w:rPr>
            </w:pPr>
            <w:r w:rsidRPr="00F038DB">
              <w:rPr>
                <w:rFonts w:cs="Arial"/>
                <w:szCs w:val="22"/>
              </w:rPr>
              <w:t>Microsoft Dynamics-Onlinedienste</w:t>
            </w:r>
          </w:p>
        </w:tc>
        <w:tc>
          <w:tcPr>
            <w:tcW w:w="8190" w:type="dxa"/>
          </w:tcPr>
          <w:p w:rsidR="00585E19" w:rsidRPr="00F038DB" w:rsidRDefault="00585E19" w:rsidP="00B36E70">
            <w:pPr>
              <w:pStyle w:val="ProductList-Body"/>
              <w:rPr>
                <w:rFonts w:cs="Arial"/>
                <w:szCs w:val="22"/>
              </w:rPr>
            </w:pPr>
            <w:r w:rsidRPr="00F038DB">
              <w:rPr>
                <w:rFonts w:cs="Arial"/>
                <w:szCs w:val="22"/>
              </w:rPr>
              <w:t xml:space="preserve">Microsoft Dynamics-Onlinedienste werden per Volumenlizenzierung oder über das Microsoft Onlinedienste-Portal bereitgestellt. Davon ausgenommen sind (1) Microsoft Dynamics CRM für unterstützte Geräte, darunter Microsoft Dynamics CRM-Onlinedienste für Tablets und/oder Smartphones, sowie (2) jegliche als separate Marken ausgewiesene Dienste, die zusammen mit Microsoft Dynamics CRM Online verfügbar bzw. damit verbunden sind, beispielsweise Microsoft Social </w:t>
            </w:r>
            <w:r w:rsidR="00B36E70">
              <w:rPr>
                <w:rFonts w:cs="Arial"/>
                <w:szCs w:val="22"/>
              </w:rPr>
              <w:t>Listening</w:t>
            </w:r>
            <w:r w:rsidRPr="00F038DB">
              <w:rPr>
                <w:rFonts w:cs="Arial"/>
                <w:szCs w:val="22"/>
              </w:rPr>
              <w:t>, Parature, von Microsoft, und Microsoft Dynamics Marketing.</w:t>
            </w:r>
          </w:p>
        </w:tc>
      </w:tr>
      <w:tr w:rsidR="00585E19" w:rsidRPr="00D73341" w:rsidTr="00D73341">
        <w:tc>
          <w:tcPr>
            <w:tcW w:w="2610" w:type="dxa"/>
            <w:vAlign w:val="center"/>
          </w:tcPr>
          <w:p w:rsidR="00585E19" w:rsidRPr="00F038DB" w:rsidRDefault="00585E19" w:rsidP="003B7142">
            <w:pPr>
              <w:pStyle w:val="ProductList-Body"/>
              <w:rPr>
                <w:rFonts w:cs="Arial"/>
                <w:szCs w:val="22"/>
              </w:rPr>
            </w:pPr>
            <w:r w:rsidRPr="00F038DB">
              <w:rPr>
                <w:rFonts w:cs="Arial"/>
                <w:szCs w:val="22"/>
              </w:rPr>
              <w:t>Office 365-Dienste</w:t>
            </w:r>
          </w:p>
        </w:tc>
        <w:tc>
          <w:tcPr>
            <w:tcW w:w="8190" w:type="dxa"/>
          </w:tcPr>
          <w:p w:rsidR="00585E19" w:rsidRPr="00F038DB" w:rsidRDefault="00585E19" w:rsidP="008E1EAF">
            <w:pPr>
              <w:pStyle w:val="ProductList-Body"/>
              <w:rPr>
                <w:rFonts w:cs="Arial"/>
                <w:szCs w:val="22"/>
              </w:rPr>
            </w:pPr>
            <w:r w:rsidRPr="00F038DB">
              <w:rPr>
                <w:rFonts w:cs="Arial"/>
                <w:szCs w:val="22"/>
              </w:rPr>
              <w:t xml:space="preserve">1. Exchange Online, Exchange Online-Archivierung, Exchange Online Protection, SharePoint Online, OneDrive for Business, Lync Online und das in Office 365 Enterprise Plan E1, E2, E3, E4, K1 und K2 enthaltene Office Online, und </w:t>
            </w:r>
          </w:p>
          <w:p w:rsidR="00585E19" w:rsidRPr="00F038DB" w:rsidRDefault="00585E19">
            <w:pPr>
              <w:pStyle w:val="ProductList-Body"/>
              <w:rPr>
                <w:rFonts w:cs="Arial"/>
                <w:szCs w:val="22"/>
              </w:rPr>
            </w:pPr>
            <w:r w:rsidRPr="00F038DB">
              <w:rPr>
                <w:rFonts w:cs="Arial"/>
                <w:szCs w:val="22"/>
              </w:rPr>
              <w:t xml:space="preserve">2. Exchange Online Plan 1, 2, Basic und Kiosk; SharePoint Online Plan 1, 2 und Kiosk; OneDrive for Business, Office Online Plan 1 und 2, und Lync Online Plan 1, 2 und </w:t>
            </w:r>
          </w:p>
          <w:p w:rsidR="00585E19" w:rsidRPr="00F038DB" w:rsidRDefault="00585E19">
            <w:pPr>
              <w:pStyle w:val="ProductList-Body"/>
              <w:rPr>
                <w:rFonts w:cs="Arial"/>
                <w:szCs w:val="22"/>
              </w:rPr>
            </w:pPr>
            <w:r w:rsidRPr="00F038DB">
              <w:rPr>
                <w:rFonts w:cs="Arial"/>
                <w:szCs w:val="22"/>
              </w:rPr>
              <w:t>3. Office 365-Dienste umfassen nicht Office 365 ProPlus oder jegliche als separate Marken ausgewiesene Dienste, die mit einem/einer mit der Marke Office 365 versehenen Plan oder Suite, beispielsweise Bing oder Yammer oder einen Dienst mit der Marke Office 365, zur Verfügung gestellt werden.</w:t>
            </w:r>
          </w:p>
        </w:tc>
      </w:tr>
      <w:tr w:rsidR="00585E19" w:rsidRPr="00D73341" w:rsidTr="00D73341">
        <w:tc>
          <w:tcPr>
            <w:tcW w:w="2610" w:type="dxa"/>
            <w:vAlign w:val="center"/>
          </w:tcPr>
          <w:p w:rsidR="00585E19" w:rsidRPr="00F038DB" w:rsidRDefault="00585E19">
            <w:pPr>
              <w:pStyle w:val="ProductList-Body"/>
              <w:rPr>
                <w:rFonts w:cs="Arial"/>
                <w:szCs w:val="22"/>
              </w:rPr>
            </w:pPr>
            <w:r w:rsidRPr="00F038DB">
              <w:rPr>
                <w:rFonts w:cs="Arial"/>
                <w:szCs w:val="22"/>
              </w:rPr>
              <w:t xml:space="preserve">Microsoft Azure-Core-Dienste </w:t>
            </w:r>
          </w:p>
        </w:tc>
        <w:tc>
          <w:tcPr>
            <w:tcW w:w="8190" w:type="dxa"/>
          </w:tcPr>
          <w:p w:rsidR="00585E19" w:rsidRPr="00F038DB" w:rsidRDefault="00585E19">
            <w:pPr>
              <w:pStyle w:val="ProductList-Body"/>
              <w:rPr>
                <w:rFonts w:cs="Arial"/>
                <w:szCs w:val="22"/>
              </w:rPr>
            </w:pPr>
            <w:r w:rsidRPr="00F038DB">
              <w:rPr>
                <w:rFonts w:cs="Arial"/>
                <w:szCs w:val="22"/>
              </w:rPr>
              <w:t>Cloud-Dienste (Web- und Workerrollen), Virtuelle Computer (einschließlich mit SQL Server), Storage (Blobs, Tabellen, Warteschlangen), Virtual Network, Traffic Manager, Websites, BizTalk-Dienste, Mediendienste, Mobile Services, Servicebus, Multi-Factor Authentication, Active Directory,Rights Management-Dienste, SQL-Datenbank und alle anderen Feature, die im Microsoft Azure Trust Center als inbegriffen angegeben werden.</w:t>
            </w:r>
          </w:p>
        </w:tc>
      </w:tr>
      <w:tr w:rsidR="00585E19" w:rsidRPr="00D73341" w:rsidTr="00D73341">
        <w:tc>
          <w:tcPr>
            <w:tcW w:w="2610" w:type="dxa"/>
            <w:vAlign w:val="center"/>
          </w:tcPr>
          <w:p w:rsidR="00585E19" w:rsidRPr="00F038DB" w:rsidRDefault="00585E19" w:rsidP="003B7142">
            <w:pPr>
              <w:pStyle w:val="ProductList-Body"/>
              <w:rPr>
                <w:rFonts w:cs="Arial"/>
                <w:szCs w:val="22"/>
              </w:rPr>
            </w:pPr>
            <w:r w:rsidRPr="00F038DB">
              <w:rPr>
                <w:rFonts w:cs="Arial"/>
                <w:szCs w:val="22"/>
              </w:rPr>
              <w:t>Windows Intune-Onlinedienste</w:t>
            </w:r>
          </w:p>
        </w:tc>
        <w:tc>
          <w:tcPr>
            <w:tcW w:w="8190" w:type="dxa"/>
          </w:tcPr>
          <w:p w:rsidR="00585E19" w:rsidRPr="00F038DB" w:rsidRDefault="00585E19" w:rsidP="008E1EAF">
            <w:pPr>
              <w:pStyle w:val="ProductList-Body"/>
              <w:rPr>
                <w:rFonts w:cs="Arial"/>
                <w:szCs w:val="22"/>
              </w:rPr>
            </w:pPr>
            <w:r w:rsidRPr="00F038DB">
              <w:rPr>
                <w:rFonts w:cs="Arial"/>
                <w:szCs w:val="22"/>
              </w:rPr>
              <w:t>Der Cloud-Dienst von Windows Intune wie beispielsweise das Add-On für Windows Intune (Volumenlizenz-SKU-Nr. U7U-00007). Vor-Ort-Software, die unter einem Abonnement für Windows Intune verfügbar gemacht wird, ist darin nicht enthalten.</w:t>
            </w:r>
          </w:p>
        </w:tc>
      </w:tr>
    </w:tbl>
    <w:p w:rsidR="00585E19" w:rsidRDefault="00585E19" w:rsidP="00A914BF">
      <w:pPr>
        <w:pStyle w:val="ProductList-Body"/>
      </w:pPr>
    </w:p>
    <w:p w:rsidR="00585E19" w:rsidRDefault="00585E19" w:rsidP="00A914BF">
      <w:pPr>
        <w:pStyle w:val="ProductList-Body"/>
      </w:pPr>
    </w:p>
    <w:p w:rsidR="00585E19" w:rsidRPr="00444B24" w:rsidRDefault="00585E19" w:rsidP="00233C87">
      <w:pPr>
        <w:pStyle w:val="ProductList-SubSubSectionHeading"/>
        <w:outlineLvl w:val="2"/>
      </w:pPr>
      <w:bookmarkStart w:id="43" w:name="_Toc401641576"/>
      <w:r w:rsidRPr="00444B24">
        <w:t>Speicherorte von Kundendaten-at-rest</w:t>
      </w:r>
      <w:bookmarkEnd w:id="43"/>
    </w:p>
    <w:p w:rsidR="00585E19" w:rsidRPr="00444B24" w:rsidRDefault="00585E19" w:rsidP="00086F17">
      <w:pPr>
        <w:pStyle w:val="ProductList-Body"/>
      </w:pPr>
      <w:r w:rsidRPr="00444B24">
        <w:t xml:space="preserve">Microsoft speichert Kundendaten-at-rest innerhalb bestimmter </w:t>
      </w:r>
      <w:r>
        <w:t>geographisch</w:t>
      </w:r>
      <w:r w:rsidRPr="00444B24">
        <w:t>er Gebiete (jedes ein Geo) wie folgt:</w:t>
      </w:r>
    </w:p>
    <w:p w:rsidR="00585E19" w:rsidRPr="00172A00" w:rsidRDefault="00585E19" w:rsidP="00C34E45">
      <w:pPr>
        <w:pStyle w:val="ProductList-Body"/>
        <w:numPr>
          <w:ilvl w:val="0"/>
          <w:numId w:val="6"/>
        </w:numPr>
        <w:ind w:left="461" w:hanging="274"/>
      </w:pPr>
      <w:r w:rsidRPr="00444B24">
        <w:rPr>
          <w:b/>
        </w:rPr>
        <w:t>Office </w:t>
      </w:r>
      <w:r w:rsidRPr="00172A00">
        <w:rPr>
          <w:b/>
        </w:rPr>
        <w:t>365-Dienste.</w:t>
      </w:r>
      <w:r w:rsidRPr="00172A00">
        <w:t xml:space="preserve"> Wenn der Kunde seinen Mandanten in den USA oder in der EU bereitstellt, speichert Microsoft die folgenden Kundendaten-at-rest innerhalb dieses </w:t>
      </w:r>
      <w:r>
        <w:t>geographisch</w:t>
      </w:r>
      <w:r w:rsidRPr="00172A00">
        <w:t>en Gebiets: (1) Postfachinhalt von Exchange Online (E-Mail-Text, Kalendereinträge und der Inhalt von E-Mail-Anlagen) sowie (2) Websiteinhalt von SharePoint Online und die auf dieser Website gespeicherten Dateien.</w:t>
      </w:r>
    </w:p>
    <w:p w:rsidR="00585E19" w:rsidRPr="00172A00" w:rsidRDefault="00585E19" w:rsidP="00860112">
      <w:pPr>
        <w:pStyle w:val="ProductList-Body"/>
        <w:numPr>
          <w:ilvl w:val="0"/>
          <w:numId w:val="6"/>
        </w:numPr>
        <w:ind w:left="461" w:hanging="274"/>
      </w:pPr>
      <w:r w:rsidRPr="00172A00">
        <w:rPr>
          <w:b/>
        </w:rPr>
        <w:t>Windows Intune Onlinedienste.</w:t>
      </w:r>
      <w:r w:rsidRPr="00172A00">
        <w:t xml:space="preserve"> Wenn der Kunde ein Mandanten-Account bereitstellt, wählt der Kunde ein verfügbares </w:t>
      </w:r>
      <w:r>
        <w:t>geographisch</w:t>
      </w:r>
      <w:r w:rsidRPr="00172A00">
        <w:t xml:space="preserve">es Gebiet, wo die Kundendaten-at-rest gespeichert werden. Microsoft überträgt die Kundendaten nicht außerhalb des vom Kunden gewählten </w:t>
      </w:r>
      <w:r>
        <w:t>geographisch</w:t>
      </w:r>
      <w:r w:rsidRPr="00172A00">
        <w:t>en Gebiets, es sei denn, im Abschnitt „Speicherort der Daten“ des Windows Intune Trust Center ist etwas anderes vermerkt.</w:t>
      </w:r>
    </w:p>
    <w:p w:rsidR="00585E19" w:rsidRPr="00172A00" w:rsidRDefault="00585E19" w:rsidP="00860112">
      <w:pPr>
        <w:pStyle w:val="ProductList-Body"/>
        <w:numPr>
          <w:ilvl w:val="0"/>
          <w:numId w:val="6"/>
        </w:numPr>
        <w:ind w:left="461" w:hanging="274"/>
      </w:pPr>
      <w:r w:rsidRPr="00172A00">
        <w:rPr>
          <w:b/>
        </w:rPr>
        <w:t>Microsoft Azure-Core-Dienste.</w:t>
      </w:r>
      <w:r w:rsidRPr="00172A00">
        <w:t xml:space="preserve"> Wenn der Kunde einen bestimmten Dienst derart konfiguriert, dass er in einem </w:t>
      </w:r>
      <w:r>
        <w:t>geographisch</w:t>
      </w:r>
      <w:r w:rsidRPr="00172A00">
        <w:t xml:space="preserve">en Gebiet bereitgestellt wird, speichert Microsoft für diesen Dienst die Kundendaten-at-rest innerhalb dieses bestimmten </w:t>
      </w:r>
      <w:r>
        <w:t>geographisch</w:t>
      </w:r>
      <w:r w:rsidRPr="00172A00">
        <w:t xml:space="preserve">en Gebiets. Bei bestimmten Diensten hat der Kunde unter Umständen nicht die Möglichkeit, die Bereitstellung in einem bestimmten </w:t>
      </w:r>
      <w:r>
        <w:t>geographisch</w:t>
      </w:r>
      <w:r w:rsidRPr="00172A00">
        <w:t>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585E19" w:rsidRPr="00172A00" w:rsidRDefault="00585E19" w:rsidP="000B2305">
      <w:pPr>
        <w:pStyle w:val="ProductList-Body"/>
        <w:numPr>
          <w:ilvl w:val="0"/>
          <w:numId w:val="6"/>
        </w:numPr>
        <w:spacing w:after="120"/>
        <w:ind w:left="461" w:hanging="274"/>
      </w:pPr>
      <w:r w:rsidRPr="00172A00">
        <w:rPr>
          <w:b/>
        </w:rPr>
        <w:t>Microsoft Dynamics CRM-Onlinedienste.</w:t>
      </w:r>
      <w:r w:rsidRPr="00172A00">
        <w:t xml:space="preserve"> Bei juristischen Personen, die von Microsoft Dynamics CRM-Onlinediensten verwaltet werden, speichert Microsoft die Kundendaten-at-rest in den USA bzw. in der EU, wenn der Kunde seinen Mandanten in den USA oder der EU bereitstellt.</w:t>
      </w:r>
    </w:p>
    <w:p w:rsidR="00585E19" w:rsidRPr="00444B24" w:rsidRDefault="00585E19" w:rsidP="00086F17">
      <w:pPr>
        <w:pStyle w:val="ProductList-Body"/>
      </w:pPr>
      <w:r w:rsidRPr="00444B24">
        <w:t>Die Regionen,</w:t>
      </w:r>
      <w:r>
        <w:t xml:space="preserve"> von </w:t>
      </w:r>
      <w:r w:rsidRPr="00444B24">
        <w:t>denen der Kunde oder Endbenutzer des Kunden auf Kundendaten zugreifen oder diese verschieben kann, werden von Microsoft</w:t>
      </w:r>
      <w:r>
        <w:t> </w:t>
      </w:r>
      <w:r w:rsidRPr="00444B24">
        <w:t>weder kontrolliert noch begrenzt.</w:t>
      </w:r>
    </w:p>
    <w:p w:rsidR="00585E19" w:rsidRPr="00444B24" w:rsidRDefault="00585E19" w:rsidP="00086F17">
      <w:pPr>
        <w:pStyle w:val="ProductList-Body"/>
      </w:pPr>
    </w:p>
    <w:p w:rsidR="00585E19" w:rsidRPr="00444B24" w:rsidRDefault="00585E19" w:rsidP="00233C87">
      <w:pPr>
        <w:pStyle w:val="ProductList-SubSubSectionHeading"/>
        <w:outlineLvl w:val="2"/>
      </w:pPr>
      <w:bookmarkStart w:id="44" w:name="_Toc401641577"/>
      <w:r w:rsidRPr="00444B24">
        <w:t>Datenschutz</w:t>
      </w:r>
      <w:bookmarkEnd w:id="44"/>
    </w:p>
    <w:p w:rsidR="00585E19" w:rsidRPr="00444B24" w:rsidRDefault="00585E19" w:rsidP="00C34E45">
      <w:pPr>
        <w:pStyle w:val="ProductList-Body"/>
        <w:numPr>
          <w:ilvl w:val="0"/>
          <w:numId w:val="7"/>
        </w:numPr>
        <w:ind w:left="461" w:hanging="274"/>
      </w:pPr>
      <w:r w:rsidRPr="00444B24">
        <w:rPr>
          <w:b/>
        </w:rPr>
        <w:t>Löschung oder Rückgabe von Kundendaten</w:t>
      </w:r>
      <w:r w:rsidRPr="00BB57E3">
        <w:rPr>
          <w:b/>
        </w:rPr>
        <w:t>.</w:t>
      </w:r>
      <w:r w:rsidRPr="00444B24">
        <w:t xml:space="preserve"> Spätestens 180 Tage nach Ablauf oder Kündigung der Nutzung eines Onlinedienstes durch den</w:t>
      </w:r>
      <w:r>
        <w:t> </w:t>
      </w:r>
      <w:r w:rsidRPr="00444B24">
        <w:t xml:space="preserve">Kunden </w:t>
      </w:r>
      <w:r>
        <w:t>wird</w:t>
      </w:r>
      <w:r w:rsidRPr="00444B24">
        <w:t xml:space="preserve"> Microsoft den Account deaktivieren und die Kundendaten aus dem Account löschen. </w:t>
      </w:r>
    </w:p>
    <w:p w:rsidR="00585E19" w:rsidRPr="00444B24" w:rsidRDefault="00585E19" w:rsidP="007E0595">
      <w:pPr>
        <w:pStyle w:val="ProductList-Body"/>
        <w:numPr>
          <w:ilvl w:val="0"/>
          <w:numId w:val="7"/>
        </w:numPr>
        <w:ind w:left="461" w:hanging="274"/>
      </w:pPr>
      <w:r w:rsidRPr="00444B24">
        <w:rPr>
          <w:b/>
        </w:rPr>
        <w:t>Übertragung von Kundendaten</w:t>
      </w:r>
      <w:r w:rsidRPr="00BB57E3">
        <w:rPr>
          <w:b/>
        </w:rPr>
        <w:t>.</w:t>
      </w:r>
      <w:r w:rsidRPr="00444B24">
        <w:t xml:space="preserve"> Microsoft bleibt während der im Volumenlizenzvertrag des Kunden angegebenen Laufzeit nach den Safe-Harbor-Programmen der EU und der Schweiz zertifiziert, solange sie von der Regierung der USA aufrechterhalten werden. Darüber hinaus unterliegen alle Übertragungen von Kundendaten</w:t>
      </w:r>
      <w:r>
        <w:t xml:space="preserve"> aus </w:t>
      </w:r>
      <w:r w:rsidRPr="00444B24">
        <w:t>der Europäischen Union,</w:t>
      </w:r>
      <w:r>
        <w:t xml:space="preserve"> </w:t>
      </w:r>
      <w:r w:rsidRPr="00444B24">
        <w:t xml:space="preserve">dem Europäischen Wirtschaftsraum und der Schweiz </w:t>
      </w:r>
      <w:r>
        <w:t xml:space="preserve">hinaus </w:t>
      </w:r>
      <w:r w:rsidRPr="00444B24">
        <w:t xml:space="preserve">den Standardvertragsklauseln, sofern der Kunde </w:t>
      </w:r>
      <w:r>
        <w:t xml:space="preserve">die </w:t>
      </w:r>
      <w:r w:rsidRPr="00444B24">
        <w:t>Standardvertragsklauseln</w:t>
      </w:r>
      <w:r>
        <w:t xml:space="preserve"> nicht ausgeschlossen </w:t>
      </w:r>
      <w:r w:rsidRPr="00444B24">
        <w:t>hat.</w:t>
      </w:r>
    </w:p>
    <w:p w:rsidR="00585E19" w:rsidRPr="00444B24" w:rsidRDefault="00585E19" w:rsidP="007E0595">
      <w:pPr>
        <w:pStyle w:val="ProductList-Body"/>
        <w:numPr>
          <w:ilvl w:val="0"/>
          <w:numId w:val="7"/>
        </w:numPr>
        <w:ind w:left="461" w:hanging="274"/>
      </w:pPr>
      <w:r w:rsidRPr="00444B24">
        <w:rPr>
          <w:b/>
        </w:rPr>
        <w:t>Mitarbeiter von Microsoft</w:t>
      </w:r>
      <w:r w:rsidRPr="00BB57E3">
        <w:rPr>
          <w:b/>
        </w:rPr>
        <w:t>.</w:t>
      </w:r>
      <w:r w:rsidRPr="00444B24">
        <w:t xml:space="preserve"> Mitarbeiter von Microsoft werden Kundendaten nicht ohne Genehmigung</w:t>
      </w:r>
      <w:r>
        <w:t xml:space="preserve"> des </w:t>
      </w:r>
      <w:r w:rsidRPr="00444B24">
        <w:t xml:space="preserve">Kunden verarbeiten. </w:t>
      </w:r>
      <w:r>
        <w:t xml:space="preserve">Die </w:t>
      </w:r>
      <w:r w:rsidRPr="00444B24">
        <w:t>Mitarbeiter von Microsoft sind verpflichtet, die Sicherheit und Geheimhaltung von Kundendaten gemäß den DPT zu wahren, und diese Verpflichtung besteht auch nach dem Ende ihrer Beschäftigung fort.</w:t>
      </w:r>
    </w:p>
    <w:p w:rsidR="00585E19" w:rsidRPr="00444B24" w:rsidRDefault="00585E19" w:rsidP="007E0595">
      <w:pPr>
        <w:pStyle w:val="ProductList-Body"/>
        <w:numPr>
          <w:ilvl w:val="0"/>
          <w:numId w:val="7"/>
        </w:numPr>
        <w:ind w:left="461" w:hanging="274"/>
      </w:pPr>
      <w:r w:rsidRPr="00444B24">
        <w:rPr>
          <w:b/>
        </w:rPr>
        <w:t>Übertragung an Vertragspartner</w:t>
      </w:r>
      <w:r w:rsidRPr="00BB57E3">
        <w:rPr>
          <w:b/>
        </w:rPr>
        <w:t>.</w:t>
      </w:r>
      <w:r w:rsidRPr="00444B24">
        <w:t xml:space="preserve"> Vertragspartner, an die Microsoft zur Speicherung oder anderen Zwecken Kundendaten überträgt, haben</w:t>
      </w:r>
      <w:r>
        <w:t> </w:t>
      </w:r>
      <w:r w:rsidRPr="00444B24">
        <w:t>schriftliche Verträge mit Microsoft geschlossen, die mindestens den gleichen Schutz bereitstellen wie die Bestimmungen für die</w:t>
      </w:r>
      <w:r>
        <w:t> </w:t>
      </w:r>
      <w:r w:rsidRPr="00444B24">
        <w:t>Datenverarbeitung (DP</w:t>
      </w:r>
      <w:r>
        <w:t>T</w:t>
      </w:r>
      <w:r w:rsidRPr="00444B24">
        <w:t>). Der Kunde hat der Übertragung von Kundendaten durch Microsoft an Vertragspartner wie in diesen DPT</w:t>
      </w:r>
      <w:r>
        <w:t> </w:t>
      </w:r>
      <w:r w:rsidRPr="00444B24">
        <w:t xml:space="preserve">beschrieben </w:t>
      </w:r>
      <w:r>
        <w:t>vorab</w:t>
      </w:r>
      <w:r w:rsidRPr="00444B24">
        <w:t xml:space="preserve"> zugestimmt. Außer wie in den DPT dargelegt oder wie vom Kunden anderweitig genehmigt, überträgt Microsoft personenbezogene Daten, die der Kunde Microsoft durch die Nutzung der Onlinedienste zur Verfügung stellt, nicht an Dritte (auch nicht zu</w:t>
      </w:r>
      <w:r>
        <w:t> </w:t>
      </w:r>
      <w:r w:rsidRPr="00444B24">
        <w:t>Speicherzwecken). Jeder Onlinedienst verfügt über eine Website, in der Vertragspartner aufgeführt sind, die dazu autorisiert sind, auf</w:t>
      </w:r>
      <w:r>
        <w:t> </w:t>
      </w:r>
      <w:r w:rsidRPr="00444B24">
        <w:t>Kundendaten zuzugreifen. Mindestens 14 Tage, bevor neue Vertragspartner dazu autorisiert werden, auf Kundendaten zuzugreifen, aktualisiert Microsoft die entsprechende Website und</w:t>
      </w:r>
      <w:r>
        <w:t xml:space="preserve"> </w:t>
      </w:r>
      <w:r w:rsidRPr="00397C1E">
        <w:t xml:space="preserve">stellt dem Kunden eine Möglichkeit bereit, </w:t>
      </w:r>
      <w:r>
        <w:t>über</w:t>
      </w:r>
      <w:r w:rsidRPr="00397C1E">
        <w:t xml:space="preserve"> diese</w:t>
      </w:r>
      <w:r>
        <w:t>s</w:t>
      </w:r>
      <w:r w:rsidRPr="00397C1E">
        <w:t xml:space="preserve"> Update </w:t>
      </w:r>
      <w:r>
        <w:t>benachrichtigt zu werden</w:t>
      </w:r>
      <w:r w:rsidRPr="00444B24">
        <w:t xml:space="preserve">. Stimmt der Kunde einem neuen Vertragspartner nicht zu, ist er dazu berechtigt, den betreffenden Onlinedienst ohne </w:t>
      </w:r>
      <w:r>
        <w:t>Sanktion</w:t>
      </w:r>
      <w:r w:rsidRPr="00444B24">
        <w:t xml:space="preserve"> zu kündigen, indem er</w:t>
      </w:r>
      <w:r>
        <w:t> </w:t>
      </w:r>
      <w:r w:rsidRPr="00444B24">
        <w:t xml:space="preserve">vor dem Ende der </w:t>
      </w:r>
      <w:r>
        <w:t>Benachrichtigungsfrist</w:t>
      </w:r>
      <w:r w:rsidRPr="00444B24">
        <w:t xml:space="preserve">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585E19" w:rsidRPr="00444B24" w:rsidRDefault="00585E19" w:rsidP="00086F17">
      <w:pPr>
        <w:pStyle w:val="ProductList-Body"/>
      </w:pPr>
    </w:p>
    <w:p w:rsidR="00585E19" w:rsidRPr="00444B24" w:rsidRDefault="00585E19" w:rsidP="00233C87">
      <w:pPr>
        <w:pStyle w:val="ProductList-SubSubSectionHeading"/>
        <w:outlineLvl w:val="2"/>
      </w:pPr>
      <w:bookmarkStart w:id="45" w:name="_Toc401641578"/>
      <w:r w:rsidRPr="00444B24">
        <w:t>Zusätzliche Bestimmungen für Europa</w:t>
      </w:r>
      <w:bookmarkEnd w:id="45"/>
    </w:p>
    <w:p w:rsidR="00585E19" w:rsidRPr="00444B24" w:rsidRDefault="00585E19" w:rsidP="00086F17">
      <w:pPr>
        <w:pStyle w:val="ProductList-Body"/>
      </w:pPr>
      <w:r w:rsidRPr="00444B24">
        <w:t xml:space="preserve">Diese zusätzlichen Bestimmungen für Europa gelten nur, wenn der Kunde Endbenutzer im Europäischen Wirtschaftsraum (EWR) oder </w:t>
      </w:r>
      <w:r>
        <w:t xml:space="preserve">in </w:t>
      </w:r>
      <w:r w:rsidRPr="00444B24">
        <w:t>der</w:t>
      </w:r>
      <w:r>
        <w:t> </w:t>
      </w:r>
      <w:r w:rsidRPr="00444B24">
        <w:t xml:space="preserve">Schweiz </w:t>
      </w:r>
      <w:r>
        <w:t>hat</w:t>
      </w:r>
      <w:r w:rsidRPr="00444B24">
        <w:t>.</w:t>
      </w:r>
    </w:p>
    <w:p w:rsidR="00585E19" w:rsidRPr="00444B24" w:rsidRDefault="00585E19" w:rsidP="00071142">
      <w:pPr>
        <w:pStyle w:val="ProductList-Body"/>
        <w:numPr>
          <w:ilvl w:val="0"/>
          <w:numId w:val="8"/>
        </w:numPr>
        <w:ind w:left="461" w:hanging="274"/>
      </w:pPr>
      <w:r w:rsidRPr="00444B24">
        <w:rPr>
          <w:b/>
        </w:rPr>
        <w:t>Endbenutzer im EWR oder in der Schweiz</w:t>
      </w:r>
      <w:r w:rsidRPr="00680311">
        <w:rPr>
          <w:b/>
        </w:rPr>
        <w:t>.</w:t>
      </w:r>
      <w:r w:rsidRPr="00444B24">
        <w:t xml:space="preserve"> In den DPT verwendete Begriffe, die nicht ausdrücklich definiert sind, haben die Bedeutung, die</w:t>
      </w:r>
      <w:r>
        <w:t> </w:t>
      </w:r>
      <w:r w:rsidRPr="00444B24">
        <w:t xml:space="preserve">ihnen in </w:t>
      </w:r>
      <w:r>
        <w:t xml:space="preserve">der </w:t>
      </w:r>
      <w:r w:rsidRPr="00444B24">
        <w:t>Richtlinie 95/46/EG des Europäischen Parlaments und des Rates vom 24. Oktober 1995 zum Schutz natürlicher Personen bei der</w:t>
      </w:r>
      <w:r>
        <w:t> </w:t>
      </w:r>
      <w:r w:rsidRPr="00444B24">
        <w:t>Verarbeitung personenbezogener Daten und zum freien Datenverkehr („EU-Datenschutzrichtlinie“) zugewiesen wurden.</w:t>
      </w:r>
    </w:p>
    <w:p w:rsidR="00585E19" w:rsidRPr="00444B24" w:rsidRDefault="00585E19" w:rsidP="00071142">
      <w:pPr>
        <w:pStyle w:val="ProductList-Body"/>
        <w:numPr>
          <w:ilvl w:val="0"/>
          <w:numId w:val="8"/>
        </w:numPr>
        <w:ind w:left="461" w:hanging="274"/>
      </w:pPr>
      <w:r w:rsidRPr="00444B24">
        <w:rPr>
          <w:b/>
        </w:rPr>
        <w:t>Absicht der Parteien</w:t>
      </w:r>
      <w:r w:rsidRPr="00680311">
        <w:rPr>
          <w:b/>
        </w:rPr>
        <w:t>.</w:t>
      </w:r>
      <w:r w:rsidRPr="00444B24">
        <w:t xml:space="preserve"> Für die Onlinedienste ist Microsoft ein Auftragsverarbeiter (oder Unterauftragsverarbeiter), der im</w:t>
      </w:r>
      <w:r>
        <w:t xml:space="preserve"> Auftrag </w:t>
      </w:r>
      <w:r w:rsidRPr="00444B24">
        <w:t>des Kunden handelt. Als Auftragsverarbeiter (bzw. Unterauftragsverarbeiter) handelt Microsoft nur auf Weisung des Kunden. Die Bestimmungen für Onlinedienste (OST) und der Volumenlizenzvertrag des Kunden (einschließlich der Bestimmungen, die durch Bezugnahme Bestandteil dieser Dokumente werden) stellen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585E19" w:rsidRPr="00444B24" w:rsidRDefault="00585E19" w:rsidP="00801986">
      <w:pPr>
        <w:pStyle w:val="ProductList-Body"/>
        <w:numPr>
          <w:ilvl w:val="0"/>
          <w:numId w:val="8"/>
        </w:numPr>
        <w:ind w:left="461" w:hanging="274"/>
      </w:pPr>
      <w:r w:rsidRPr="00444B24">
        <w:rPr>
          <w:b/>
        </w:rPr>
        <w:t>Dauer und Ziel der Datenverarbeitung</w:t>
      </w:r>
      <w:r w:rsidRPr="00801986">
        <w:rPr>
          <w:b/>
        </w:rPr>
        <w:t>.</w:t>
      </w:r>
      <w:r w:rsidRPr="00444B24">
        <w:t xml:space="preserve"> Die Dauer der Datenverarbeitung entspricht der im Volumenlizenzvertrag des Kunden angegebenen Laufzeit. Das Ziel der Datenverarbeitung ist die Erbringung der Onlinedienste.</w:t>
      </w:r>
    </w:p>
    <w:p w:rsidR="00585E19" w:rsidRDefault="00585E19" w:rsidP="008E1564">
      <w:pPr>
        <w:pStyle w:val="ProductList-Body"/>
        <w:numPr>
          <w:ilvl w:val="0"/>
          <w:numId w:val="8"/>
        </w:numPr>
        <w:ind w:left="432" w:hanging="274"/>
      </w:pPr>
      <w:r>
        <w:rPr>
          <w:b/>
        </w:rPr>
        <w:t xml:space="preserve">Umfang </w:t>
      </w:r>
      <w:r w:rsidRPr="00444B24">
        <w:rPr>
          <w:b/>
        </w:rPr>
        <w:t>und Zweck der Datenverarbeitung</w:t>
      </w:r>
      <w:r w:rsidRPr="00801986">
        <w:rPr>
          <w:b/>
        </w:rPr>
        <w:t>.</w:t>
      </w:r>
      <w:r>
        <w:t xml:space="preserve"> Umfang </w:t>
      </w:r>
      <w:r w:rsidRPr="00444B24">
        <w:t>und Zweck der Verarbeitung von Kundendaten, einschließlich der personenbezogenen Daten, die in den Kundendaten enthalten sind, sind in den DPT und dem Volumenlizenzvertrag des Kunden beschrieben.</w:t>
      </w:r>
    </w:p>
    <w:p w:rsidR="00585E19" w:rsidRPr="00444B24" w:rsidRDefault="00585E19" w:rsidP="00801986">
      <w:pPr>
        <w:pStyle w:val="ProductList-Body"/>
        <w:numPr>
          <w:ilvl w:val="0"/>
          <w:numId w:val="8"/>
        </w:numPr>
        <w:ind w:left="461" w:hanging="274"/>
      </w:pPr>
      <w:r w:rsidRPr="00444B24">
        <w:rPr>
          <w:b/>
        </w:rPr>
        <w:t>Zugriff auf Kundendaten</w:t>
      </w:r>
      <w:r w:rsidRPr="00801986">
        <w:rPr>
          <w:b/>
        </w:rPr>
        <w:t>.</w:t>
      </w:r>
      <w:r w:rsidRPr="00444B24">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585E19" w:rsidRPr="00444B24" w:rsidRDefault="00585E19" w:rsidP="00086F17">
      <w:pPr>
        <w:pStyle w:val="ProductList-Body"/>
      </w:pPr>
    </w:p>
    <w:p w:rsidR="00585E19" w:rsidRPr="00444B24" w:rsidRDefault="00585E19" w:rsidP="00233C87">
      <w:pPr>
        <w:pStyle w:val="ProductList-SubSubSectionHeading"/>
        <w:outlineLvl w:val="2"/>
      </w:pPr>
      <w:bookmarkStart w:id="46" w:name="_Toc401641579"/>
      <w:r w:rsidRPr="00444B24">
        <w:t>Sicherheit</w:t>
      </w:r>
      <w:bookmarkEnd w:id="46"/>
    </w:p>
    <w:p w:rsidR="00585E19" w:rsidRPr="00444B24" w:rsidRDefault="00585E19" w:rsidP="00C1188B">
      <w:pPr>
        <w:pStyle w:val="ProductList-Body"/>
        <w:numPr>
          <w:ilvl w:val="0"/>
          <w:numId w:val="25"/>
        </w:numPr>
        <w:ind w:left="461" w:hanging="274"/>
      </w:pPr>
      <w:r w:rsidRPr="00444B24">
        <w:rPr>
          <w:b/>
        </w:rPr>
        <w:t>Allgemeine Praxis</w:t>
      </w:r>
      <w:r w:rsidRPr="00B9403C">
        <w:rPr>
          <w:b/>
        </w:rPr>
        <w:t>.</w:t>
      </w:r>
      <w:r w:rsidRPr="00444B24">
        <w:t xml:space="preserve"> Microsoft hat für die Onlinedienste die folgenden Sicherheitsmaßnahmen ergriffen und wird diese auch beibehalten und</w:t>
      </w:r>
      <w:r>
        <w:t> </w:t>
      </w:r>
      <w:r w:rsidRPr="00444B24">
        <w:t xml:space="preserve">ihnen folgen. Diese Sicherheitsmaßnahmen stellen in Verbindung mit den </w:t>
      </w:r>
      <w:r>
        <w:t>Sicherheitsv</w:t>
      </w:r>
      <w:r w:rsidRPr="00444B24">
        <w:t>erpflichtungen in den OST die einzige Verantwortlichkeit von</w:t>
      </w:r>
      <w:r>
        <w:t> </w:t>
      </w:r>
      <w:r w:rsidRPr="00444B24">
        <w:t>Microsoft im Hinblick auf die Sicherheit von Kundendaten dar.</w:t>
      </w:r>
    </w:p>
    <w:p w:rsidR="00585E19" w:rsidRPr="00444B24" w:rsidRDefault="00585E19" w:rsidP="00A914BF">
      <w:pPr>
        <w:pStyle w:val="ProductList-Body"/>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0A0" w:firstRow="1" w:lastRow="0" w:firstColumn="1" w:lastColumn="0" w:noHBand="0" w:noVBand="0"/>
      </w:tblPr>
      <w:tblGrid>
        <w:gridCol w:w="3040"/>
        <w:gridCol w:w="7760"/>
      </w:tblGrid>
      <w:tr w:rsidR="00585E19" w:rsidRPr="00D73341" w:rsidTr="00D73341">
        <w:trPr>
          <w:tblHeader/>
        </w:trPr>
        <w:tc>
          <w:tcPr>
            <w:tcW w:w="2610" w:type="dxa"/>
            <w:shd w:val="clear" w:color="auto" w:fill="0072C6"/>
          </w:tcPr>
          <w:p w:rsidR="00585E19" w:rsidRPr="00F038DB" w:rsidRDefault="00585E19" w:rsidP="00D73341">
            <w:pPr>
              <w:pStyle w:val="ProductList-Body"/>
              <w:spacing w:before="20" w:after="20"/>
              <w:rPr>
                <w:rFonts w:cs="Arial"/>
                <w:color w:val="FFFFFF"/>
                <w:szCs w:val="22"/>
              </w:rPr>
            </w:pPr>
            <w:r w:rsidRPr="00F038DB">
              <w:rPr>
                <w:rFonts w:cs="Arial"/>
                <w:color w:val="FFFFFF"/>
                <w:szCs w:val="22"/>
              </w:rPr>
              <w:t>Bereich</w:t>
            </w:r>
          </w:p>
        </w:tc>
        <w:tc>
          <w:tcPr>
            <w:tcW w:w="8190" w:type="dxa"/>
            <w:shd w:val="clear" w:color="auto" w:fill="0072C6"/>
          </w:tcPr>
          <w:p w:rsidR="00585E19" w:rsidRPr="00F038DB" w:rsidRDefault="00585E19" w:rsidP="00D73341">
            <w:pPr>
              <w:pStyle w:val="ProductList-Body"/>
              <w:spacing w:before="20" w:after="20"/>
              <w:rPr>
                <w:rFonts w:cs="Arial"/>
                <w:color w:val="FFFFFF"/>
                <w:szCs w:val="22"/>
              </w:rPr>
            </w:pPr>
            <w:r w:rsidRPr="00F038DB">
              <w:rPr>
                <w:rFonts w:cs="Arial"/>
                <w:color w:val="FFFFFF"/>
                <w:szCs w:val="22"/>
              </w:rPr>
              <w:t>Praktiken</w:t>
            </w:r>
          </w:p>
        </w:tc>
      </w:tr>
      <w:tr w:rsidR="00585E19" w:rsidRPr="00D73341" w:rsidTr="00D73341">
        <w:tc>
          <w:tcPr>
            <w:tcW w:w="2610" w:type="dxa"/>
            <w:vAlign w:val="center"/>
          </w:tcPr>
          <w:p w:rsidR="00585E19" w:rsidRPr="00F038DB" w:rsidRDefault="00585E19" w:rsidP="007303AE">
            <w:pPr>
              <w:pStyle w:val="ProductList-Body"/>
              <w:rPr>
                <w:rFonts w:cs="Arial"/>
                <w:szCs w:val="22"/>
              </w:rPr>
            </w:pPr>
            <w:r w:rsidRPr="00F038DB">
              <w:rPr>
                <w:rFonts w:cs="Arial"/>
                <w:szCs w:val="22"/>
              </w:rPr>
              <w:t>Organisation der Informationssicherheit</w:t>
            </w:r>
          </w:p>
        </w:tc>
        <w:tc>
          <w:tcPr>
            <w:tcW w:w="8190" w:type="dxa"/>
          </w:tcPr>
          <w:p w:rsidR="00585E19" w:rsidRPr="00F038DB" w:rsidRDefault="00585E19" w:rsidP="009C6951">
            <w:pPr>
              <w:pStyle w:val="ProductList-Body"/>
              <w:rPr>
                <w:rFonts w:cs="Arial"/>
                <w:szCs w:val="22"/>
              </w:rPr>
            </w:pPr>
            <w:r w:rsidRPr="00F038DB">
              <w:rPr>
                <w:rFonts w:cs="Arial"/>
                <w:b/>
                <w:szCs w:val="22"/>
              </w:rPr>
              <w:t>Verantwortung für die Sicherheit.</w:t>
            </w:r>
            <w:r w:rsidRPr="00F038DB">
              <w:rPr>
                <w:rFonts w:cs="Arial"/>
                <w:szCs w:val="22"/>
              </w:rPr>
              <w:t xml:space="preserve"> Microsoft hat einen oder mehrere Sicherheitsbeauftragte bestimmt, die für die Koordination und Überwachung der Sicherheitsvorschriften und -verfahren verantwortlich sind.</w:t>
            </w:r>
          </w:p>
          <w:p w:rsidR="00585E19" w:rsidRPr="00F038DB" w:rsidRDefault="00585E19" w:rsidP="00D73341">
            <w:pPr>
              <w:pStyle w:val="ProductList-Body"/>
              <w:spacing w:before="40"/>
              <w:rPr>
                <w:rFonts w:cs="Arial"/>
                <w:szCs w:val="22"/>
              </w:rPr>
            </w:pPr>
            <w:r w:rsidRPr="00F038DB">
              <w:rPr>
                <w:rFonts w:cs="Arial"/>
                <w:b/>
                <w:szCs w:val="22"/>
              </w:rPr>
              <w:t>Funktionen und Verantwortlichkeiten in Bezug auf Sicherheit.</w:t>
            </w:r>
            <w:r w:rsidRPr="00F038DB">
              <w:rPr>
                <w:rFonts w:cs="Arial"/>
                <w:szCs w:val="22"/>
              </w:rPr>
              <w:t xml:space="preserve"> Mitarbeiter von Microsoft mit Zugriff auf Kundendaten unterliegen Vertraulichkeitsverpflichtungen.</w:t>
            </w:r>
          </w:p>
          <w:p w:rsidR="00585E19" w:rsidRPr="00F038DB" w:rsidRDefault="00585E19" w:rsidP="00D73341">
            <w:pPr>
              <w:pStyle w:val="ProductList-Body"/>
              <w:spacing w:before="40"/>
              <w:rPr>
                <w:rFonts w:cs="Arial"/>
                <w:szCs w:val="22"/>
              </w:rPr>
            </w:pPr>
            <w:r w:rsidRPr="00F038DB">
              <w:rPr>
                <w:rFonts w:cs="Arial"/>
                <w:b/>
                <w:szCs w:val="22"/>
              </w:rPr>
              <w:t>Risikomanagementprogramm.</w:t>
            </w:r>
            <w:r w:rsidRPr="00F038DB">
              <w:rPr>
                <w:rFonts w:cs="Arial"/>
                <w:szCs w:val="22"/>
              </w:rPr>
              <w:t xml:space="preserve"> Microsoft hat vor der Verarbeitung der Kundendaten oder der Einführung des Service für Onlinedienste eine Risikobewertung vorgenommen.</w:t>
            </w:r>
          </w:p>
          <w:p w:rsidR="00585E19" w:rsidRPr="00F038DB" w:rsidRDefault="00585E19">
            <w:pPr>
              <w:pStyle w:val="ProductList-Body"/>
              <w:rPr>
                <w:rFonts w:cs="Arial"/>
                <w:szCs w:val="22"/>
              </w:rPr>
            </w:pPr>
            <w:r w:rsidRPr="00F038DB">
              <w:rPr>
                <w:rFonts w:cs="Arial"/>
                <w:szCs w:val="22"/>
              </w:rPr>
              <w:t>Microsoft bewahrt ihre Sicherheitsdokumente in Übereinstimmung mit ihren Anforderungen an die Aufbewahrung auf, nachdem diese nicht mehr wirksam sind.</w:t>
            </w:r>
          </w:p>
        </w:tc>
      </w:tr>
      <w:tr w:rsidR="00585E19" w:rsidRPr="00D73341" w:rsidTr="00D73341">
        <w:tc>
          <w:tcPr>
            <w:tcW w:w="2610" w:type="dxa"/>
            <w:vAlign w:val="center"/>
          </w:tcPr>
          <w:p w:rsidR="00585E19" w:rsidRPr="00F038DB" w:rsidRDefault="00585E19" w:rsidP="007303AE">
            <w:pPr>
              <w:pStyle w:val="ProductList-Body"/>
              <w:rPr>
                <w:rFonts w:cs="Arial"/>
                <w:szCs w:val="22"/>
              </w:rPr>
            </w:pPr>
            <w:r w:rsidRPr="00F038DB">
              <w:rPr>
                <w:rFonts w:cs="Arial"/>
                <w:szCs w:val="22"/>
              </w:rPr>
              <w:t>Inventarverwaltung</w:t>
            </w:r>
          </w:p>
        </w:tc>
        <w:tc>
          <w:tcPr>
            <w:tcW w:w="8190" w:type="dxa"/>
          </w:tcPr>
          <w:p w:rsidR="00585E19" w:rsidRPr="00F038DB" w:rsidRDefault="00585E19" w:rsidP="009C6951">
            <w:pPr>
              <w:pStyle w:val="ProductList-Body"/>
              <w:rPr>
                <w:rFonts w:cs="Arial"/>
                <w:szCs w:val="22"/>
              </w:rPr>
            </w:pPr>
            <w:r w:rsidRPr="00F038DB">
              <w:rPr>
                <w:rFonts w:cs="Arial"/>
                <w:b/>
                <w:szCs w:val="22"/>
              </w:rPr>
              <w:t>Inventarisierung.</w:t>
            </w:r>
            <w:r w:rsidRPr="00F038DB">
              <w:rPr>
                <w:rFonts w:cs="Arial"/>
                <w:szCs w:val="22"/>
              </w:rPr>
              <w:t xml:space="preserve"> Microsoft pflegt einen Bestandsinventar aller Medien, auf denen Kundendaten gespeichert sind. Der Zugriff auf die Bestände dieser Medien ist Mitarbeitern von Microsoft vorbehalten, die schriftlich zu diesem Zugriff ermächtigt wurden.</w:t>
            </w:r>
          </w:p>
          <w:p w:rsidR="00585E19" w:rsidRPr="00F038DB" w:rsidRDefault="00585E19" w:rsidP="00D73341">
            <w:pPr>
              <w:pStyle w:val="ProductList-Body"/>
              <w:spacing w:before="40"/>
              <w:rPr>
                <w:rFonts w:cs="Arial"/>
                <w:szCs w:val="22"/>
              </w:rPr>
            </w:pPr>
            <w:r w:rsidRPr="00F038DB">
              <w:rPr>
                <w:rFonts w:cs="Arial"/>
                <w:b/>
                <w:szCs w:val="22"/>
              </w:rPr>
              <w:t>Handhabung von Beständen</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teilt Kundendaten in Kategorien ein, um die Identifizierung zu erleichtern und eine angemessene Beschränkung des Zugriffs auf Kundendaten zu ermöglichen.</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ordnet Beschränkungen für das Drucken von Kundendaten an und verfügt über Verfahren für die Entsorgung von gedruckten Materialien, die Kundendaten enthalten.</w:t>
            </w:r>
          </w:p>
          <w:p w:rsidR="00585E19" w:rsidRPr="00F038DB" w:rsidRDefault="00585E19" w:rsidP="00D73341">
            <w:pPr>
              <w:pStyle w:val="ProductList-Body"/>
              <w:numPr>
                <w:ilvl w:val="0"/>
                <w:numId w:val="11"/>
              </w:numPr>
              <w:ind w:left="162" w:hanging="180"/>
              <w:rPr>
                <w:rFonts w:cs="Arial"/>
                <w:szCs w:val="22"/>
              </w:rPr>
            </w:pPr>
            <w:r w:rsidRPr="00F038DB">
              <w:rPr>
                <w:rFonts w:cs="Arial"/>
                <w:szCs w:val="22"/>
              </w:rPr>
              <w:t>Mitarbeiter von Microsoft müssen die Genehmigung von Microsoft erhalten, bevor sie Kundendaten auf tragbaren Geräten speichern, remote auf Kundendaten zugreifen oder Kundendaten außerhalb der Einrichtungen von Microsoft verarbeiten.</w:t>
            </w:r>
          </w:p>
        </w:tc>
      </w:tr>
      <w:tr w:rsidR="00585E19" w:rsidRPr="00D73341" w:rsidTr="00D73341">
        <w:tc>
          <w:tcPr>
            <w:tcW w:w="2610" w:type="dxa"/>
            <w:vAlign w:val="center"/>
          </w:tcPr>
          <w:p w:rsidR="00585E19" w:rsidRPr="00F038DB" w:rsidRDefault="00585E19" w:rsidP="007303AE">
            <w:pPr>
              <w:pStyle w:val="ProductList-Body"/>
              <w:rPr>
                <w:rFonts w:cs="Arial"/>
                <w:szCs w:val="22"/>
              </w:rPr>
            </w:pPr>
            <w:r w:rsidRPr="00F038DB">
              <w:rPr>
                <w:rFonts w:cs="Arial"/>
                <w:szCs w:val="22"/>
              </w:rPr>
              <w:t>Sicherheit im Personalwesen</w:t>
            </w:r>
          </w:p>
        </w:tc>
        <w:tc>
          <w:tcPr>
            <w:tcW w:w="8190" w:type="dxa"/>
          </w:tcPr>
          <w:p w:rsidR="00585E19" w:rsidRPr="00F038DB" w:rsidRDefault="00585E19" w:rsidP="006B44BB">
            <w:pPr>
              <w:pStyle w:val="ProductList-Body"/>
              <w:rPr>
                <w:rFonts w:cs="Arial"/>
                <w:szCs w:val="22"/>
              </w:rPr>
            </w:pPr>
            <w:r w:rsidRPr="00F038DB">
              <w:rPr>
                <w:rFonts w:cs="Arial"/>
                <w:b/>
                <w:szCs w:val="22"/>
              </w:rPr>
              <w:t xml:space="preserve">Sicherheitsschulungen. </w:t>
            </w:r>
            <w:r w:rsidRPr="00F038DB">
              <w:rPr>
                <w:rFonts w:cs="Arial"/>
                <w:szCs w:val="22"/>
              </w:rPr>
              <w:t>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585E19" w:rsidRPr="00D73341" w:rsidTr="00D73341">
        <w:tc>
          <w:tcPr>
            <w:tcW w:w="2610" w:type="dxa"/>
            <w:vAlign w:val="center"/>
          </w:tcPr>
          <w:p w:rsidR="00585E19" w:rsidRPr="00F038DB" w:rsidRDefault="00585E19">
            <w:pPr>
              <w:pStyle w:val="ProductList-Body"/>
              <w:rPr>
                <w:rFonts w:cs="Arial"/>
                <w:szCs w:val="22"/>
              </w:rPr>
            </w:pPr>
            <w:r w:rsidRPr="00F038DB">
              <w:rPr>
                <w:rFonts w:cs="Arial"/>
                <w:szCs w:val="22"/>
              </w:rPr>
              <w:t>Physische Sicherheit und Sicherheit der Umgebung</w:t>
            </w:r>
          </w:p>
        </w:tc>
        <w:tc>
          <w:tcPr>
            <w:tcW w:w="8190" w:type="dxa"/>
          </w:tcPr>
          <w:p w:rsidR="00585E19" w:rsidRPr="00F038DB" w:rsidRDefault="00585E19" w:rsidP="009C6951">
            <w:pPr>
              <w:pStyle w:val="ProductList-Body"/>
              <w:rPr>
                <w:rFonts w:cs="Arial"/>
                <w:szCs w:val="22"/>
              </w:rPr>
            </w:pPr>
            <w:r w:rsidRPr="00F038DB">
              <w:rPr>
                <w:rFonts w:cs="Arial"/>
                <w:b/>
                <w:szCs w:val="22"/>
              </w:rPr>
              <w:t>Physischer Zugang zu Einrichtungen.</w:t>
            </w:r>
            <w:r w:rsidRPr="00F038DB">
              <w:rPr>
                <w:rFonts w:cs="Arial"/>
                <w:szCs w:val="22"/>
              </w:rPr>
              <w:t xml:space="preserve"> Microsoft beschränkt den Zugang zu Einrichtungen, in denen sich Informationssysteme, die Kundendaten verarbeiten, befinden, auf benannte autorisierte Personen.</w:t>
            </w:r>
          </w:p>
          <w:p w:rsidR="00585E19" w:rsidRPr="00F038DB" w:rsidRDefault="00585E19" w:rsidP="00D73341">
            <w:pPr>
              <w:pStyle w:val="ProductList-Body"/>
              <w:spacing w:before="40"/>
              <w:rPr>
                <w:rFonts w:cs="Arial"/>
                <w:szCs w:val="22"/>
              </w:rPr>
            </w:pPr>
            <w:r w:rsidRPr="00F038DB">
              <w:rPr>
                <w:rFonts w:cs="Arial"/>
                <w:b/>
                <w:szCs w:val="22"/>
              </w:rPr>
              <w:t>Physischer Zugang zu Komponenten.</w:t>
            </w:r>
            <w:r w:rsidRPr="00F038DB">
              <w:rPr>
                <w:rFonts w:cs="Arial"/>
                <w:szCs w:val="22"/>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585E19" w:rsidRPr="00F038DB" w:rsidRDefault="00585E19" w:rsidP="00D73341">
            <w:pPr>
              <w:pStyle w:val="ProductList-Body"/>
              <w:spacing w:before="40"/>
              <w:rPr>
                <w:rFonts w:cs="Arial"/>
                <w:szCs w:val="22"/>
              </w:rPr>
            </w:pPr>
            <w:r w:rsidRPr="00F038DB">
              <w:rPr>
                <w:rFonts w:cs="Arial"/>
                <w:b/>
                <w:szCs w:val="22"/>
              </w:rPr>
              <w:t>Schutz vor Störungen.</w:t>
            </w:r>
            <w:r w:rsidRPr="00F038DB">
              <w:rPr>
                <w:rFonts w:cs="Arial"/>
                <w:szCs w:val="22"/>
              </w:rPr>
              <w:t xml:space="preserve"> Microsoft verwendet unterschiedliche Systeme nach Branchenstandard, um den Verlust von Daten aufgrund von Stromversorgungsausfällen oder Leitungsstörungen zu verhindern.</w:t>
            </w:r>
          </w:p>
          <w:p w:rsidR="00585E19" w:rsidRPr="00F038DB" w:rsidRDefault="00585E19" w:rsidP="00D73341">
            <w:pPr>
              <w:pStyle w:val="ProductList-Body"/>
              <w:spacing w:before="40"/>
              <w:rPr>
                <w:rFonts w:cs="Arial"/>
                <w:szCs w:val="22"/>
              </w:rPr>
            </w:pPr>
            <w:r w:rsidRPr="00F038DB">
              <w:rPr>
                <w:rFonts w:cs="Arial"/>
                <w:b/>
                <w:szCs w:val="22"/>
              </w:rPr>
              <w:t>Entsorgung von Komponenten.</w:t>
            </w:r>
            <w:r w:rsidRPr="00F038DB">
              <w:rPr>
                <w:rFonts w:cs="Arial"/>
                <w:szCs w:val="22"/>
              </w:rPr>
              <w:t xml:space="preserve"> Microsoft verwendet Verfahren nach Branchenstandard, um Kundendaten zu löschen, wenn sie nicht mehr benötigt werden.</w:t>
            </w:r>
          </w:p>
        </w:tc>
      </w:tr>
      <w:tr w:rsidR="00585E19" w:rsidRPr="00D73341" w:rsidTr="00D73341">
        <w:tc>
          <w:tcPr>
            <w:tcW w:w="2610" w:type="dxa"/>
            <w:vAlign w:val="center"/>
          </w:tcPr>
          <w:p w:rsidR="00585E19" w:rsidRPr="00F038DB" w:rsidRDefault="00585E19" w:rsidP="007303AE">
            <w:pPr>
              <w:pStyle w:val="ProductList-Body"/>
              <w:rPr>
                <w:rFonts w:cs="Arial"/>
                <w:szCs w:val="22"/>
              </w:rPr>
            </w:pPr>
            <w:r w:rsidRPr="00F038DB">
              <w:rPr>
                <w:rFonts w:cs="Arial"/>
                <w:szCs w:val="22"/>
              </w:rPr>
              <w:t>Kommunikations- und Betriebsmanagement</w:t>
            </w:r>
          </w:p>
        </w:tc>
        <w:tc>
          <w:tcPr>
            <w:tcW w:w="8190" w:type="dxa"/>
          </w:tcPr>
          <w:p w:rsidR="00585E19" w:rsidRPr="00F038DB" w:rsidRDefault="00585E19" w:rsidP="009C6951">
            <w:pPr>
              <w:pStyle w:val="ProductList-Body"/>
              <w:rPr>
                <w:rFonts w:cs="Arial"/>
                <w:szCs w:val="22"/>
              </w:rPr>
            </w:pPr>
            <w:r w:rsidRPr="00F038DB">
              <w:rPr>
                <w:rFonts w:cs="Arial"/>
                <w:b/>
                <w:szCs w:val="22"/>
              </w:rPr>
              <w:t>Betriebsrichtlinie.</w:t>
            </w:r>
            <w:r w:rsidRPr="00F038DB">
              <w:rPr>
                <w:rFonts w:cs="Arial"/>
                <w:szCs w:val="22"/>
              </w:rPr>
              <w:t xml:space="preserve"> Microsoft führt Sicherheitsdokumente, in denen ihre Sicherheitsmaßnahmen und die relevanten Verfahren und Verantwortlichkeiten ihrer Mitarbeiter, die Zugriff auf Kundendaten haben, beschrieben sind.</w:t>
            </w:r>
          </w:p>
          <w:p w:rsidR="00585E19" w:rsidRPr="00F038DB" w:rsidRDefault="00585E19" w:rsidP="00D73341">
            <w:pPr>
              <w:pStyle w:val="ProductList-Body"/>
              <w:spacing w:before="40"/>
              <w:rPr>
                <w:rFonts w:cs="Arial"/>
                <w:szCs w:val="22"/>
              </w:rPr>
            </w:pPr>
            <w:r w:rsidRPr="00F038DB">
              <w:rPr>
                <w:rFonts w:cs="Arial"/>
                <w:b/>
                <w:szCs w:val="22"/>
              </w:rPr>
              <w:t>Verfahren zur Datenwiederherstellung</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bewahrt Kopien von Kundendaten und Datenwiederherstellungsverfahren an einem anderen Ort auf als an dem Ort, an dem sich die primären Computergeräte, die die Kundendaten verarbeiten, befinden.</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verfügt über bestimmte Verfahren, die den Zugriff auf Kopien von Kundendaten regeln.</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überprüft die Datenwiederherstellungsverfahren mindestens alle sechs Monate.</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585E19" w:rsidRPr="00F038DB" w:rsidRDefault="00585E19" w:rsidP="00D73341">
            <w:pPr>
              <w:pStyle w:val="ProductList-Body"/>
              <w:spacing w:before="40"/>
              <w:rPr>
                <w:rFonts w:cs="Arial"/>
                <w:szCs w:val="22"/>
              </w:rPr>
            </w:pPr>
            <w:r w:rsidRPr="00F038DB">
              <w:rPr>
                <w:rFonts w:cs="Arial"/>
                <w:b/>
                <w:szCs w:val="22"/>
              </w:rPr>
              <w:t>Malware.</w:t>
            </w:r>
            <w:r w:rsidRPr="00F038DB">
              <w:rPr>
                <w:rFonts w:cs="Arial"/>
                <w:szCs w:val="22"/>
              </w:rPr>
              <w:t xml:space="preserve"> Microsoft verfügt über Antimalwarekontrollen, um zu verhindern, dass Malware unbefugten Zugriff auf Kundendaten erhält, einschließlich Malware aus öffentlichen Netzwerken.</w:t>
            </w:r>
          </w:p>
          <w:p w:rsidR="00585E19" w:rsidRPr="00F038DB" w:rsidRDefault="00585E19" w:rsidP="00D73341">
            <w:pPr>
              <w:pStyle w:val="ProductList-Body"/>
              <w:spacing w:before="40"/>
              <w:rPr>
                <w:rFonts w:cs="Arial"/>
                <w:szCs w:val="22"/>
              </w:rPr>
            </w:pPr>
            <w:r w:rsidRPr="00F038DB">
              <w:rPr>
                <w:rFonts w:cs="Arial"/>
                <w:b/>
                <w:szCs w:val="22"/>
              </w:rPr>
              <w:t>Grenzüberschreitende Daten</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verschlüsselt Kundendaten oder versetzt den Kunden in die Lage, Kundendaten zu verschlüsseln, die über öffentliche Netzwerke übertragen werden.</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beschränkt den Zugriff auf Kundendaten in Medien, die ihre Einrichtungen verlassen (z. B. durch Verschlüsselung).</w:t>
            </w:r>
          </w:p>
          <w:p w:rsidR="00585E19" w:rsidRPr="00F038DB" w:rsidRDefault="00585E19" w:rsidP="00D73341">
            <w:pPr>
              <w:pStyle w:val="ProductList-Body"/>
              <w:spacing w:before="40"/>
              <w:rPr>
                <w:rFonts w:cs="Arial"/>
                <w:szCs w:val="22"/>
              </w:rPr>
            </w:pPr>
            <w:r w:rsidRPr="00F038DB">
              <w:rPr>
                <w:rFonts w:cs="Arial"/>
                <w:b/>
                <w:szCs w:val="22"/>
              </w:rPr>
              <w:t>Event-Logging.</w:t>
            </w:r>
            <w:r w:rsidRPr="00F038DB">
              <w:rPr>
                <w:rFonts w:cs="Arial"/>
                <w:szCs w:val="22"/>
              </w:rPr>
              <w:t xml:space="preserve"> 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585E19" w:rsidRPr="00D73341" w:rsidTr="00D73341">
        <w:tc>
          <w:tcPr>
            <w:tcW w:w="2610" w:type="dxa"/>
            <w:vAlign w:val="center"/>
          </w:tcPr>
          <w:p w:rsidR="00585E19" w:rsidRPr="00F038DB" w:rsidRDefault="00585E19" w:rsidP="007303AE">
            <w:pPr>
              <w:pStyle w:val="ProductList-Body"/>
              <w:rPr>
                <w:rFonts w:cs="Arial"/>
                <w:szCs w:val="22"/>
              </w:rPr>
            </w:pPr>
            <w:r w:rsidRPr="00F038DB">
              <w:rPr>
                <w:rFonts w:cs="Arial"/>
                <w:szCs w:val="22"/>
              </w:rPr>
              <w:t>Zugriffskontrolle</w:t>
            </w:r>
          </w:p>
        </w:tc>
        <w:tc>
          <w:tcPr>
            <w:tcW w:w="8190" w:type="dxa"/>
          </w:tcPr>
          <w:p w:rsidR="00585E19" w:rsidRPr="00F038DB" w:rsidRDefault="00585E19" w:rsidP="009C6951">
            <w:pPr>
              <w:pStyle w:val="ProductList-Body"/>
              <w:rPr>
                <w:rFonts w:cs="Arial"/>
                <w:szCs w:val="22"/>
              </w:rPr>
            </w:pPr>
            <w:r w:rsidRPr="00F038DB">
              <w:rPr>
                <w:rFonts w:cs="Arial"/>
                <w:b/>
                <w:szCs w:val="22"/>
              </w:rPr>
              <w:t>Zugriffsrichtlinie.</w:t>
            </w:r>
            <w:r w:rsidRPr="00F038DB">
              <w:rPr>
                <w:rFonts w:cs="Arial"/>
                <w:szCs w:val="22"/>
              </w:rPr>
              <w:t xml:space="preserve"> Microsoft führt Unterlagen über Sicherheitsberechtigungen einzelner Personen, die auf Kundendaten zugreifen.</w:t>
            </w:r>
          </w:p>
          <w:p w:rsidR="00585E19" w:rsidRPr="00F038DB" w:rsidRDefault="00585E19" w:rsidP="00D73341">
            <w:pPr>
              <w:pStyle w:val="ProductList-Body"/>
              <w:spacing w:before="40"/>
              <w:rPr>
                <w:rFonts w:cs="Arial"/>
                <w:szCs w:val="22"/>
              </w:rPr>
            </w:pPr>
            <w:r w:rsidRPr="00F038DB">
              <w:rPr>
                <w:rFonts w:cs="Arial"/>
                <w:b/>
                <w:szCs w:val="22"/>
              </w:rPr>
              <w:t>Zugriffsautorisierung</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 xml:space="preserve">Microsoft führt und aktualisiert Unterlagen zu den Mitarbeitern, die für den Zugriff auf </w:t>
            </w:r>
            <w:r w:rsidRPr="00F038DB">
              <w:rPr>
                <w:rFonts w:cs="Arial"/>
                <w:szCs w:val="22"/>
              </w:rPr>
              <w:br/>
              <w:t>Microsoft-Systeme, die Kundendaten enthalten, autorisiert sind.</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deaktiviert Anmeldedaten, die über einen Zeitraum, der sechs Monate nicht überschreiten darf, nicht verwendet wurden.</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 xml:space="preserve">Microsoft benennt diejenigen Mitarbeiter, die berechtigt sind, den autorisierten Zugriff auf Daten und Ressourcen zu gewähren, zu ändern oder zu widerrufen. </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Wenn mehrere Personen Zugriff auf die Systeme haben, auf denen Kundendaten enthalten sind, stellt Microsoft sicher, dass diese Personen über separate Kennungen/Anmeldedaten verfügen.</w:t>
            </w:r>
          </w:p>
          <w:p w:rsidR="00585E19" w:rsidRPr="00F038DB" w:rsidRDefault="00585E19" w:rsidP="00D73341">
            <w:pPr>
              <w:pStyle w:val="ProductList-Body"/>
              <w:spacing w:before="40"/>
              <w:rPr>
                <w:rFonts w:cs="Arial"/>
                <w:szCs w:val="22"/>
              </w:rPr>
            </w:pPr>
            <w:r w:rsidRPr="00F038DB">
              <w:rPr>
                <w:rFonts w:cs="Arial"/>
                <w:b/>
                <w:szCs w:val="22"/>
              </w:rPr>
              <w:t>Geringste Berechtigung</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 xml:space="preserve">Technischen Supportmitarbeitern ist der Zugriff auf Kundendaten nur erlaubt, wenn dies erforderlich ist. </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beschränkt den Zugriff auf Kundendaten nur auf die Personen, die diesen Zugriff benötigen, um ihre berufliche Tätigkeit auszuführen.</w:t>
            </w:r>
          </w:p>
          <w:p w:rsidR="00585E19" w:rsidRPr="00F038DB" w:rsidRDefault="00585E19" w:rsidP="00D73341">
            <w:pPr>
              <w:pStyle w:val="ProductList-Body"/>
              <w:spacing w:before="40"/>
              <w:rPr>
                <w:rFonts w:cs="Arial"/>
                <w:szCs w:val="22"/>
              </w:rPr>
            </w:pPr>
            <w:r w:rsidRPr="00F038DB">
              <w:rPr>
                <w:rFonts w:cs="Arial"/>
                <w:b/>
                <w:szCs w:val="22"/>
              </w:rPr>
              <w:t>Integrität und Vertraulichkeit</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weist ihre Mitarbeiter an, Administrationssitzungen zu deaktivieren, wenn sie Einrichtungen unter der Kontrolle von Microsoft verlassen oder wenn Computer anderweitig unbeaufsichtigt gelassen werden.</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speichert Kennwörter so, dass sie während ihres Geltungszeitraums nicht lesbar sind.</w:t>
            </w:r>
          </w:p>
          <w:p w:rsidR="00585E19" w:rsidRPr="00F038DB" w:rsidRDefault="00585E19" w:rsidP="00D73341">
            <w:pPr>
              <w:pStyle w:val="ProductList-Body"/>
              <w:spacing w:before="40"/>
              <w:rPr>
                <w:rFonts w:cs="Arial"/>
                <w:szCs w:val="22"/>
              </w:rPr>
            </w:pPr>
            <w:r w:rsidRPr="00F038DB">
              <w:rPr>
                <w:rFonts w:cs="Arial"/>
                <w:b/>
                <w:szCs w:val="22"/>
              </w:rPr>
              <w:t>Authentifizierung</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verwendet Verfahren nach Branchenstandard, um Nutzer zu identifizieren und zu authentifizieren, die versuchen, auf Informationssysteme zuzugreifen.</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Wenn die Authentifizierungsverfahren auf Kennwörtern beruhen, schreibt Microsoft vor, dass die Kennwörter regelmäßig erneuert werden müssen.</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Wenn die Authentifizierungsverfahren auf Kennwörtern beruhen, schreibt Microsoft vor, dass das Kennwort mindestens acht Zeichen umfassen muss.</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stellt sicher, dass deaktivierte oder abgelaufene Kennungen keiner anderen Person gewährt werden.</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überwacht wiederholte Versuche, sich mit ungültigen Kennwörtern Zugriff auf die Informationssysteme zu verschaffen, oder versetzt den Kunden dazu in die Lage.</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unterhält Verfahren nach Branchenstandard zur Deaktivierung von Kennwörtern, die beschädigt oder versehentlich offengelegt wurden.</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585E19" w:rsidRPr="00F038DB" w:rsidRDefault="00585E19" w:rsidP="00D73341">
            <w:pPr>
              <w:pStyle w:val="ProductList-Body"/>
              <w:spacing w:before="40"/>
              <w:rPr>
                <w:rFonts w:cs="Arial"/>
                <w:szCs w:val="22"/>
              </w:rPr>
            </w:pPr>
            <w:r w:rsidRPr="00F038DB">
              <w:rPr>
                <w:rFonts w:cs="Arial"/>
                <w:b/>
                <w:szCs w:val="22"/>
              </w:rPr>
              <w:t>Netzwerkdesign.</w:t>
            </w:r>
            <w:r w:rsidRPr="00F038DB">
              <w:rPr>
                <w:rFonts w:cs="Arial"/>
                <w:szCs w:val="22"/>
              </w:rPr>
              <w:t xml:space="preserve"> Microsoft verfügt über Kontrollen, um zu verhindern, dass Personen, die Zugriffsrechte, die ihnen nicht zugewiesen wurden, annehmen, sich Zugriff auf Kundendaten verschaffen, ohne hierfür autorisiert zu sein.</w:t>
            </w:r>
          </w:p>
        </w:tc>
      </w:tr>
      <w:tr w:rsidR="00585E19" w:rsidRPr="00D73341" w:rsidTr="00D73341">
        <w:tc>
          <w:tcPr>
            <w:tcW w:w="2610" w:type="dxa"/>
            <w:vAlign w:val="center"/>
          </w:tcPr>
          <w:p w:rsidR="00585E19" w:rsidRPr="00F038DB" w:rsidRDefault="00585E19" w:rsidP="007303AE">
            <w:pPr>
              <w:pStyle w:val="ProductList-Body"/>
              <w:rPr>
                <w:rFonts w:cs="Arial"/>
                <w:szCs w:val="22"/>
              </w:rPr>
            </w:pPr>
            <w:r w:rsidRPr="00F038DB">
              <w:rPr>
                <w:rFonts w:cs="Arial"/>
                <w:szCs w:val="22"/>
              </w:rPr>
              <w:t>Management von Informationssicherheitszwischenfällen</w:t>
            </w:r>
          </w:p>
        </w:tc>
        <w:tc>
          <w:tcPr>
            <w:tcW w:w="8190" w:type="dxa"/>
          </w:tcPr>
          <w:p w:rsidR="00585E19" w:rsidRPr="00F038DB" w:rsidRDefault="00585E19" w:rsidP="00272578">
            <w:pPr>
              <w:pStyle w:val="ProductList-Body"/>
              <w:rPr>
                <w:rFonts w:cs="Arial"/>
                <w:szCs w:val="22"/>
              </w:rPr>
            </w:pPr>
            <w:r w:rsidRPr="00F038DB">
              <w:rPr>
                <w:rFonts w:cs="Arial"/>
                <w:b/>
                <w:szCs w:val="22"/>
              </w:rPr>
              <w:t>Verfahren für die Reaktion auf Zwischenfälle</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führt Unterlagen über Sicherheitsverletzungen unter Angabe einer Beschreibung der Verletzung, des Zeitraums, der Konsequenzen der Verletzung, des Namens der Person, die den Zwischenfall gemeldet hat, und der Person, der der Zwischenfall gemeldet wurde, sowie des Verfahrens zur Wiederherstellung von Daten.</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untersucht Offenlegungen von Kundendaten, einschließlich der Fragen, welche Daten offengelegt wurden, gegenüber wem und zu welchem Zeitpunkt, oder versetzt den Kunden dazu in die Lage.</w:t>
            </w:r>
          </w:p>
          <w:p w:rsidR="00585E19" w:rsidRPr="00F038DB" w:rsidRDefault="00585E19" w:rsidP="00D73341">
            <w:pPr>
              <w:pStyle w:val="ProductList-Body"/>
              <w:spacing w:before="40"/>
              <w:rPr>
                <w:rFonts w:cs="Arial"/>
                <w:szCs w:val="22"/>
              </w:rPr>
            </w:pPr>
            <w:r w:rsidRPr="00F038DB">
              <w:rPr>
                <w:rFonts w:cs="Arial"/>
                <w:b/>
                <w:szCs w:val="22"/>
              </w:rPr>
              <w:t>Dienstüberwachung.</w:t>
            </w:r>
            <w:r w:rsidRPr="00F038DB">
              <w:rPr>
                <w:rFonts w:cs="Arial"/>
                <w:szCs w:val="22"/>
              </w:rPr>
              <w:t xml:space="preserve"> Die Sicherheitsmitarbeiter von Microsoft prüfen mindestens alle sechs Monate Protokolle, um bei Bedarf Verbesserungsmaßnahmen vorzuschlagen.</w:t>
            </w:r>
          </w:p>
        </w:tc>
      </w:tr>
      <w:tr w:rsidR="00585E19" w:rsidRPr="00D73341" w:rsidTr="00D73341">
        <w:tc>
          <w:tcPr>
            <w:tcW w:w="2610" w:type="dxa"/>
            <w:vAlign w:val="center"/>
          </w:tcPr>
          <w:p w:rsidR="00585E19" w:rsidRPr="00F038DB" w:rsidRDefault="00585E19" w:rsidP="007303AE">
            <w:pPr>
              <w:pStyle w:val="ProductList-Body"/>
              <w:rPr>
                <w:rFonts w:cs="Arial"/>
                <w:szCs w:val="22"/>
              </w:rPr>
            </w:pPr>
            <w:r w:rsidRPr="00F038DB">
              <w:rPr>
                <w:rFonts w:cs="Arial"/>
                <w:szCs w:val="22"/>
              </w:rPr>
              <w:t>Business Continuity-Management</w:t>
            </w:r>
          </w:p>
        </w:tc>
        <w:tc>
          <w:tcPr>
            <w:tcW w:w="8190" w:type="dxa"/>
          </w:tcPr>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Microsoft unterhält Notfallpläne für die Einrichtungen, in denen sich Microsoft-Informationssysteme, die Kundendaten verarbeiten, befinden.</w:t>
            </w:r>
          </w:p>
          <w:p w:rsidR="00585E19" w:rsidRPr="00F038DB" w:rsidRDefault="00585E19" w:rsidP="00D73341">
            <w:pPr>
              <w:pStyle w:val="ProductList-Body"/>
              <w:ind w:left="162" w:hanging="162"/>
              <w:rPr>
                <w:rFonts w:cs="Arial"/>
                <w:szCs w:val="22"/>
              </w:rPr>
            </w:pPr>
            <w:r w:rsidRPr="00F038DB">
              <w:rPr>
                <w:rFonts w:cs="Arial"/>
                <w:szCs w:val="22"/>
              </w:rPr>
              <w:t>-</w:t>
            </w:r>
            <w:r w:rsidRPr="00F038DB">
              <w:rPr>
                <w:rFonts w:cs="Arial"/>
                <w:szCs w:val="22"/>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585E19" w:rsidRPr="00444B24" w:rsidRDefault="00585E19" w:rsidP="00A914BF">
      <w:pPr>
        <w:pStyle w:val="ProductList-Body"/>
      </w:pPr>
    </w:p>
    <w:p w:rsidR="00585E19" w:rsidRPr="00444B24" w:rsidRDefault="00585E19" w:rsidP="00233C87">
      <w:pPr>
        <w:pStyle w:val="ProductList-SubSubSectionHeading"/>
        <w:outlineLvl w:val="2"/>
      </w:pPr>
      <w:bookmarkStart w:id="47" w:name="_Toc401641580"/>
      <w:r w:rsidRPr="00444B24">
        <w:t>Zertifizierungen und Überprüfungen</w:t>
      </w:r>
      <w:bookmarkEnd w:id="47"/>
    </w:p>
    <w:p w:rsidR="00585E19" w:rsidRPr="00397C1E" w:rsidRDefault="00585E19" w:rsidP="00F73276">
      <w:pPr>
        <w:pStyle w:val="ProductList-Body"/>
        <w:numPr>
          <w:ilvl w:val="0"/>
          <w:numId w:val="9"/>
        </w:numPr>
        <w:ind w:left="461" w:hanging="274"/>
      </w:pPr>
      <w:r w:rsidRPr="00444B24">
        <w:t>Microsoft hat eine Datensicherheitsrichtlinie (Sicherheitsrichtlinie für Online-Informationen) für jeden Onlinedienst erstellt, die mit den ISO</w:t>
      </w:r>
      <w:r>
        <w:t> </w:t>
      </w:r>
      <w:r w:rsidRPr="00444B24">
        <w:t>27001-Standards zur Errichtung, Implementierung, Kontrolle und Verbesserung des Informationssicherheits-Managementsystems sowie mit dem ISO/IEC 27002-Leitfaden für das Informationssicherheits-Management übereinstimmt, und erklärt sich damit einverstanden, diese beizubehalten. Auf einer vertraulichen „need-to-know</w:t>
      </w:r>
      <w:r>
        <w:t>“</w:t>
      </w:r>
      <w:r w:rsidRPr="00444B24">
        <w:t>-Basis und vorbehaltlich der Zustimmung des Kunden zu von Microsoft dargelegten Geheimhaltungsverpflichtungen stellt Microsoft dem Kunden die Sicherheitsrichtlinie für Online-Informationen zur Verfügung, zusammen mit anderen Informationen, die vom Kunden angemessenerweise in Bezug auf Microsofts Sicherheitspraktiken und -richtlinien angefordert werden. Der Kunde trägt die alleinige Verantwortung für die Überprüfung der Sicherheitsrichtlinie für Online-Informationen, für die Entscheidung, ob die Sicherheitsrichtlinie für Online-Informationen den Anforderungen des Kunden entspricht, und für die Sicherstellung, dass die Mitarbeiter und Berater des Kunden die Leitlinien befolgen, die ihnen im Hinblick auf die Datensicherheit bereitgestellt werden. Wenn der Kunde den Standardvertragsklauseln unterliegt, dann ist dieser</w:t>
      </w:r>
      <w:r>
        <w:t xml:space="preserve"> Absatz </w:t>
      </w:r>
      <w:r w:rsidRPr="00444B24">
        <w:t xml:space="preserve">ein Zusatz zu </w:t>
      </w:r>
      <w:r w:rsidRPr="00397C1E">
        <w:t>Klausel 5,</w:t>
      </w:r>
      <w:r w:rsidRPr="008E1564">
        <w:t xml:space="preserve"> Absatz </w:t>
      </w:r>
      <w:r w:rsidRPr="00397C1E">
        <w:t>f und Klausel 12,</w:t>
      </w:r>
      <w:r w:rsidRPr="008E1564">
        <w:t xml:space="preserve"> Absatz </w:t>
      </w:r>
      <w:r w:rsidRPr="00397C1E">
        <w:t>2 der Standardvertragsklauseln.</w:t>
      </w:r>
    </w:p>
    <w:p w:rsidR="00585E19" w:rsidRPr="00444B24" w:rsidRDefault="00585E19" w:rsidP="0088164F">
      <w:pPr>
        <w:pStyle w:val="ProductList-Body"/>
        <w:numPr>
          <w:ilvl w:val="0"/>
          <w:numId w:val="9"/>
        </w:numPr>
        <w:spacing w:before="40"/>
        <w:ind w:left="461" w:hanging="274"/>
      </w:pPr>
      <w:r w:rsidRPr="00444B24">
        <w:t>Microsoft überprüft die Sicherheit der Computer und Datenverarbeitungsumgebungen, die sie zur Verarbeitung von Kundendaten (einschließlich personenbezogener Daten)</w:t>
      </w:r>
      <w:r>
        <w:t xml:space="preserve"> in </w:t>
      </w:r>
      <w:r w:rsidRPr="00444B24">
        <w:t>den Onlinediensten verwendet, sowie der physischen Rechenzentren, von denen aus Microsoft die Onlinedienste bereitstellt. Diese Überprüfung: (1) wird mindestens einmal jährlich durchgeführt, (2) wird gemäß ISO 27001-Standards durchgeführt, (3) </w:t>
      </w:r>
      <w:r>
        <w:t xml:space="preserve">wird </w:t>
      </w:r>
      <w:r w:rsidRPr="00444B24">
        <w:t>auf Kosten von Microsoft durch qualifizierte, unabhängige Sicherheitsexperten von Dritten durchgeführt,</w:t>
      </w:r>
      <w:r>
        <w:t xml:space="preserve"> die Microsoft auswählt,</w:t>
      </w:r>
      <w:r w:rsidRPr="00444B24">
        <w:t xml:space="preserve"> (4) führt zur Erstellung eines Überprüfungsberichts („Microsoft-Überprüfungsbericht“), der zu den vertraulichen Informationen von Microsoft zählt, und (5) kann zusätzlich zur Erfüllung dieses</w:t>
      </w:r>
      <w:r>
        <w:t xml:space="preserve"> Absatzes </w:t>
      </w:r>
      <w:r w:rsidRPr="00444B24">
        <w:t xml:space="preserve">auch noch zu anderen Zwecken durchgeführt werden (z. B. als Teil der regelmäßigen internen Sicherheitsverfahren von Microsoft oder zur Erfüllung anderer vertraglicher Verpflichtungen). </w:t>
      </w:r>
    </w:p>
    <w:p w:rsidR="00585E19" w:rsidRPr="00444B24" w:rsidRDefault="00585E19" w:rsidP="0088164F">
      <w:pPr>
        <w:pStyle w:val="ProductList-Body"/>
        <w:numPr>
          <w:ilvl w:val="0"/>
          <w:numId w:val="9"/>
        </w:numPr>
        <w:spacing w:before="40"/>
        <w:ind w:left="461" w:hanging="274"/>
      </w:pPr>
      <w:r w:rsidRPr="00444B24">
        <w:t>Wenn der Kunde dies schriftlich anfordert, stellt Microsoft dem Kunden eine vertrauliche Zusammenfassung des Microsoft-Überprüfungsberichts („Zusammenfassungsbericht“) zur Verfügung, damit der Kunde in angemessener Weise Microsofts Einhaltung der</w:t>
      </w:r>
      <w:r>
        <w:t> </w:t>
      </w:r>
      <w:r w:rsidRPr="00444B24">
        <w:t>Sicherheitsverpflichtungen unter den DPT nachprüfen kann. Der Zusammenfassungsbericht legt den Umfang der Überprüfung und wesentliche Ergebnisse des Prüfer eindeutig offen. Der Zusammenfassungsbericht</w:t>
      </w:r>
      <w:r>
        <w:t xml:space="preserve"> ist </w:t>
      </w:r>
      <w:r w:rsidRPr="00444B24">
        <w:t xml:space="preserve">vertrauliche Information von Microsoft. </w:t>
      </w:r>
    </w:p>
    <w:p w:rsidR="00585E19" w:rsidRPr="00444B24" w:rsidRDefault="00585E19" w:rsidP="0088164F">
      <w:pPr>
        <w:pStyle w:val="ProductList-Body"/>
        <w:numPr>
          <w:ilvl w:val="0"/>
          <w:numId w:val="9"/>
        </w:numPr>
        <w:spacing w:before="40"/>
        <w:ind w:left="461" w:hanging="274"/>
      </w:pPr>
      <w:r w:rsidRPr="00444B24">
        <w:t>Wenn die Standardvertragsklauseln gelten, dann erklärt sich der Kunde einverstanden, sein Überprüfungsrecht auszuüben, indem er Microsoft anweist, die Überprüfung wie in diesem Abschnitt der DPT beschrieben durchzuführen. Wenn der Kunde seine Zustimmung zu den Standardvertragsklauseln gegeben hat und eine Änderung dieser Anweisung in Bezug auf die Ausübung</w:t>
      </w:r>
      <w:r>
        <w:t xml:space="preserve"> dieses </w:t>
      </w:r>
      <w:r w:rsidRPr="00444B24">
        <w:t>Überprüfungsrechts wünscht, so hat der Kunde das Recht, diese Anweisung wie in den Standardvertragsklauseln erwähnt zu ändern; dies ist schriftlich anzufordern.</w:t>
      </w:r>
    </w:p>
    <w:p w:rsidR="00585E19" w:rsidRPr="00444B24" w:rsidRDefault="00585E19" w:rsidP="00ED3508">
      <w:pPr>
        <w:pStyle w:val="ProductList-Body"/>
        <w:numPr>
          <w:ilvl w:val="0"/>
          <w:numId w:val="9"/>
        </w:numPr>
        <w:spacing w:before="40"/>
        <w:ind w:left="461" w:hanging="274"/>
      </w:pPr>
      <w:r w:rsidRPr="00444B24">
        <w:t xml:space="preserve">Wenn die Standardvertragsklauseln gelten, dann bleiben die Standardvertragsklauseln, ebenso wie die Rechte von Kontrollinstanzen oder </w:t>
      </w:r>
      <w:r>
        <w:t>b</w:t>
      </w:r>
      <w:r w:rsidRPr="00444B24">
        <w:t xml:space="preserve">etroffenen </w:t>
      </w:r>
      <w:r>
        <w:t xml:space="preserve">Personen </w:t>
      </w:r>
      <w:r w:rsidRPr="00444B24">
        <w:t xml:space="preserve">unter den Standardvertragsklauseln, von den Bestimmungen in diesem Abschnitt der DPT unberührt. Microsoft Corporation ist ein anspruchsberechtigter Dritter </w:t>
      </w:r>
      <w:r>
        <w:t>(third-party beneficiary)</w:t>
      </w:r>
      <w:r w:rsidRPr="00444B24">
        <w:t xml:space="preserve"> dieses Abschnitts.</w:t>
      </w:r>
    </w:p>
    <w:p w:rsidR="00585E19" w:rsidRPr="00444B24" w:rsidRDefault="00585E19" w:rsidP="00A914BF">
      <w:pPr>
        <w:pStyle w:val="ProductList-Body"/>
        <w:sectPr w:rsidR="00585E19" w:rsidRPr="00444B24" w:rsidSect="00A61B2A">
          <w:footerReference w:type="default" r:id="rId26"/>
          <w:footerReference w:type="first" r:id="rId27"/>
          <w:pgSz w:w="12240" w:h="15840"/>
          <w:pgMar w:top="1440" w:right="720" w:bottom="1440" w:left="720" w:header="720" w:footer="720" w:gutter="0"/>
          <w:cols w:space="720"/>
          <w:titlePg/>
          <w:docGrid w:linePitch="360"/>
        </w:sectPr>
      </w:pPr>
    </w:p>
    <w:p w:rsidR="00585E19" w:rsidRPr="00444B24" w:rsidRDefault="00585E19" w:rsidP="00233C87">
      <w:pPr>
        <w:pStyle w:val="ProductList-SectionHeading"/>
        <w:outlineLvl w:val="0"/>
      </w:pPr>
      <w:bookmarkStart w:id="48" w:name="OnlineServiceSpecificTerms"/>
      <w:bookmarkStart w:id="49" w:name="_Toc401641581"/>
      <w:r w:rsidRPr="00444B24">
        <w:t>Spezifische Bestimmungen für Onlinedienste</w:t>
      </w:r>
      <w:bookmarkEnd w:id="48"/>
      <w:bookmarkEnd w:id="49"/>
    </w:p>
    <w:p w:rsidR="00585E19" w:rsidRPr="00444B24" w:rsidRDefault="00585E19" w:rsidP="00A914BF">
      <w:pPr>
        <w:pStyle w:val="ProductList-Body"/>
      </w:pPr>
      <w:r w:rsidRPr="00444B24">
        <w:t xml:space="preserve">Wenn ein Onlinedienst nachfolgend nicht aufgelistet ist, gibt es zu diesem </w:t>
      </w:r>
      <w:r>
        <w:t xml:space="preserve">Dienst </w:t>
      </w:r>
      <w:r w:rsidRPr="00444B24">
        <w:t>keine spezifischen Bestimmungen für Onlinedienste.</w:t>
      </w:r>
    </w:p>
    <w:p w:rsidR="00585E19" w:rsidRPr="00444B24" w:rsidRDefault="00585E19" w:rsidP="00A914BF">
      <w:pPr>
        <w:pStyle w:val="ProductList-Body"/>
      </w:pPr>
    </w:p>
    <w:p w:rsidR="00585E19" w:rsidRPr="00444B24" w:rsidRDefault="00585E19" w:rsidP="00233C87">
      <w:pPr>
        <w:pStyle w:val="ProductList-Offering1Heading"/>
        <w:outlineLvl w:val="1"/>
      </w:pPr>
      <w:bookmarkStart w:id="50" w:name="_Toc401641582"/>
      <w:r w:rsidRPr="00444B24">
        <w:t>Microsoft Azure-Dienste</w:t>
      </w:r>
      <w:bookmarkEnd w:id="50"/>
    </w:p>
    <w:p w:rsidR="00585E19" w:rsidRPr="00444B24" w:rsidRDefault="00585E19" w:rsidP="00CC34E7">
      <w:pPr>
        <w:pStyle w:val="ProductList-Body"/>
      </w:pPr>
      <w:r>
        <w:rPr>
          <w:b/>
          <w:color w:val="00188F"/>
        </w:rPr>
        <w:t>H</w:t>
      </w:r>
      <w:r w:rsidRPr="00444B24">
        <w:rPr>
          <w:b/>
          <w:color w:val="00188F"/>
        </w:rPr>
        <w:t>inweise</w:t>
      </w:r>
    </w:p>
    <w:p w:rsidR="00585E19" w:rsidRPr="00444B24" w:rsidRDefault="00585E19" w:rsidP="00CC34E7">
      <w:pPr>
        <w:pStyle w:val="ProductList-Body"/>
      </w:pPr>
      <w:r w:rsidRPr="00444B24">
        <w:t xml:space="preserve">Die Hinweise in Bezug auf Kundensupport und H.264/AVC Visual Standard, VC-1 Video Standard, MPEG-4 Part 2 Visual Standard und MPEG-2 Video Standard in </w:t>
      </w:r>
      <w:hyperlink w:anchor="Attachment1" w:tooltip="Anhang 1" w:history="1">
        <w:r w:rsidRPr="00444B24">
          <w:rPr>
            <w:rStyle w:val="Hyperlink"/>
            <w:rFonts w:cs="Arial"/>
          </w:rPr>
          <w:t>Anhang 1</w:t>
        </w:r>
      </w:hyperlink>
      <w:r w:rsidRPr="00444B24">
        <w:t xml:space="preserve"> sind anwendbar.</w:t>
      </w:r>
    </w:p>
    <w:p w:rsidR="00585E19" w:rsidRPr="00444B24" w:rsidRDefault="00585E19" w:rsidP="00CC34E7">
      <w:pPr>
        <w:pStyle w:val="ProductList-Body"/>
      </w:pPr>
    </w:p>
    <w:p w:rsidR="00585E19" w:rsidRPr="00444B24" w:rsidRDefault="00585E19" w:rsidP="00CC34E7">
      <w:pPr>
        <w:pStyle w:val="ProductList-Body"/>
      </w:pPr>
      <w:r w:rsidRPr="00444B24">
        <w:rPr>
          <w:b/>
          <w:color w:val="00188F"/>
        </w:rPr>
        <w:t>Vereinbarung zum Servicelevel</w:t>
      </w:r>
    </w:p>
    <w:p w:rsidR="00585E19" w:rsidRPr="00444B24" w:rsidRDefault="00585E19" w:rsidP="00CC34E7">
      <w:pPr>
        <w:pStyle w:val="ProductList-Body"/>
      </w:pPr>
      <w:r w:rsidRPr="00444B24">
        <w:t xml:space="preserve">Siehe </w:t>
      </w:r>
      <w:hyperlink r:id="rId28" w:history="1">
        <w:r w:rsidRPr="00444B24">
          <w:rPr>
            <w:rStyle w:val="Hyperlink"/>
            <w:rFonts w:cs="Arial"/>
          </w:rPr>
          <w:t>http://azure.microsoft.com/en-us/support/legal/sla/</w:t>
        </w:r>
      </w:hyperlink>
      <w:r w:rsidRPr="00444B24">
        <w:t>.</w:t>
      </w:r>
    </w:p>
    <w:p w:rsidR="00585E19" w:rsidRPr="00444B24" w:rsidRDefault="00585E19" w:rsidP="00D12FE5">
      <w:pPr>
        <w:pStyle w:val="ProductList-Body"/>
      </w:pPr>
    </w:p>
    <w:p w:rsidR="00585E19" w:rsidRPr="00444B24" w:rsidRDefault="00585E19" w:rsidP="00CC34E7">
      <w:pPr>
        <w:pStyle w:val="ProductList-Body"/>
      </w:pPr>
      <w:r w:rsidRPr="00444B24">
        <w:rPr>
          <w:b/>
          <w:color w:val="00188F"/>
        </w:rPr>
        <w:t>Definitionen</w:t>
      </w:r>
    </w:p>
    <w:p w:rsidR="00585E19" w:rsidRPr="00444B24" w:rsidRDefault="00585E19" w:rsidP="00F824AC">
      <w:pPr>
        <w:pStyle w:val="ProductList-Body"/>
        <w:spacing w:after="120"/>
      </w:pPr>
      <w:r w:rsidRPr="00444B24">
        <w:t>„Kundenlösung“ ist eine Anwendung oder eine Reihe von Anwendungen, die die Microsoft Azure-Dienste um primäre und bedeutende Funktionen ergänzt und nicht primär einen Ersatz für die Microsoft Azure-Dienste darstellt.</w:t>
      </w:r>
    </w:p>
    <w:p w:rsidR="00585E19" w:rsidRPr="00444B24" w:rsidRDefault="00585E19" w:rsidP="00272578">
      <w:pPr>
        <w:pStyle w:val="ProductList-Body"/>
      </w:pPr>
      <w:r w:rsidRPr="00444B24">
        <w:t>„Managed Service-Lösung“ ist ein verwalteter</w:t>
      </w:r>
      <w:r>
        <w:t xml:space="preserve"> IT-Service,</w:t>
      </w:r>
      <w:r w:rsidRPr="00444B24">
        <w:t xml:space="preserve"> der einem Dritten vom Kunden bereitgestellt wird und der aus der Verwaltung von und dem Support für Microsoft Azure-Dienste besteht.</w:t>
      </w:r>
    </w:p>
    <w:p w:rsidR="00585E19" w:rsidRPr="00444B24" w:rsidRDefault="00585E19" w:rsidP="00272578">
      <w:pPr>
        <w:pStyle w:val="ProductList-Body"/>
      </w:pPr>
    </w:p>
    <w:p w:rsidR="00585E19" w:rsidRPr="00444B24" w:rsidRDefault="00585E19" w:rsidP="00272578">
      <w:pPr>
        <w:pStyle w:val="ProductList-Body"/>
      </w:pPr>
      <w:r w:rsidRPr="00444B24">
        <w:t xml:space="preserve">„Microsoft Azure-Dienste“ sind einer oder mehrere der Microsoft-Dienste und </w:t>
      </w:r>
      <w:r>
        <w:t>-</w:t>
      </w:r>
      <w:r w:rsidRPr="00444B24">
        <w:t xml:space="preserve">Feature, die unter </w:t>
      </w:r>
      <w:hyperlink r:id="rId29" w:history="1">
        <w:r w:rsidRPr="00444B24">
          <w:rPr>
            <w:rStyle w:val="Hyperlink"/>
            <w:rFonts w:cs="Arial"/>
          </w:rPr>
          <w:t>http://azure.microsoft.com/en-us/services</w:t>
        </w:r>
      </w:hyperlink>
      <w:r w:rsidRPr="00444B24">
        <w:t xml:space="preserve"> angegeben sind, es sei denn, diese sind </w:t>
      </w:r>
      <w:r>
        <w:t xml:space="preserve">als </w:t>
      </w:r>
      <w:r w:rsidRPr="00444B24">
        <w:t>separat lizenziert</w:t>
      </w:r>
      <w:r>
        <w:t xml:space="preserve"> gekennzeichnet</w:t>
      </w:r>
      <w:r w:rsidRPr="00444B24">
        <w:t>.</w:t>
      </w:r>
    </w:p>
    <w:p w:rsidR="00585E19" w:rsidRPr="00444B24" w:rsidRDefault="00585E19" w:rsidP="00272578">
      <w:pPr>
        <w:pStyle w:val="ProductList-Body"/>
      </w:pPr>
    </w:p>
    <w:p w:rsidR="00585E19" w:rsidRPr="00444B24" w:rsidRDefault="00585E19" w:rsidP="00927DFB">
      <w:pPr>
        <w:pStyle w:val="ProductList-Body"/>
      </w:pPr>
      <w:r w:rsidRPr="00444B24">
        <w:rPr>
          <w:b/>
          <w:color w:val="00188F"/>
        </w:rPr>
        <w:t>Beschränkungen</w:t>
      </w:r>
    </w:p>
    <w:p w:rsidR="00585E19" w:rsidRPr="00444B24" w:rsidRDefault="00585E19" w:rsidP="009616E2">
      <w:pPr>
        <w:pStyle w:val="ProductList-Body"/>
      </w:pPr>
      <w:r w:rsidRPr="00444B24">
        <w:t>Der Kunde ist nicht dazu berechtigt:</w:t>
      </w:r>
    </w:p>
    <w:p w:rsidR="00585E19" w:rsidRPr="00444B24" w:rsidRDefault="00585E19" w:rsidP="00974F69">
      <w:pPr>
        <w:pStyle w:val="ProductList-Body"/>
        <w:numPr>
          <w:ilvl w:val="0"/>
          <w:numId w:val="10"/>
        </w:numPr>
        <w:ind w:left="461" w:hanging="274"/>
      </w:pPr>
      <w:r w:rsidRPr="00444B24">
        <w:t>die Microsoft Azure-Dienste weiterzuverkaufen oder weiterzuvertreiben oder</w:t>
      </w:r>
    </w:p>
    <w:p w:rsidR="00585E19" w:rsidRPr="00444B24" w:rsidRDefault="00585E19" w:rsidP="0088164F">
      <w:pPr>
        <w:pStyle w:val="ProductList-Body"/>
        <w:numPr>
          <w:ilvl w:val="0"/>
          <w:numId w:val="10"/>
        </w:numPr>
        <w:spacing w:before="40"/>
        <w:ind w:left="461" w:hanging="274"/>
      </w:pPr>
      <w:r w:rsidRPr="00444B24">
        <w:t>mehreren Nutzern den direkten oder indirekten Zugriff auf</w:t>
      </w:r>
      <w:r>
        <w:t xml:space="preserve"> Feature der </w:t>
      </w:r>
      <w:r w:rsidRPr="00444B24">
        <w:t xml:space="preserve">Microsoft Azure-Dienste zu gestatten, die </w:t>
      </w:r>
      <w:r>
        <w:t xml:space="preserve">pro </w:t>
      </w:r>
      <w:r w:rsidRPr="00444B24">
        <w:t>Nutzer</w:t>
      </w:r>
      <w:r>
        <w:t xml:space="preserve"> </w:t>
      </w:r>
      <w:r w:rsidRPr="00444B24">
        <w:t>bereitgestellt werden (z. B. Active Directory Premium). Spezielle Neuzuweisungsbestimmungen für</w:t>
      </w:r>
      <w:r>
        <w:t xml:space="preserve"> ein Feature des </w:t>
      </w:r>
      <w:r w:rsidRPr="00444B24">
        <w:t>Microsoft Azure-Dienst</w:t>
      </w:r>
      <w:r>
        <w:t>es</w:t>
      </w:r>
      <w:r w:rsidRPr="00444B24">
        <w:t xml:space="preserve"> werden möglicherweise anhand von zusätzlichen Unterlagen für diese</w:t>
      </w:r>
      <w:r>
        <w:t xml:space="preserve"> Feature </w:t>
      </w:r>
      <w:r w:rsidRPr="00444B24">
        <w:t>bereitgestellt.</w:t>
      </w:r>
    </w:p>
    <w:p w:rsidR="00585E19" w:rsidRPr="00444B24" w:rsidRDefault="00585E19" w:rsidP="00272578">
      <w:pPr>
        <w:pStyle w:val="ProductList-Body"/>
      </w:pPr>
    </w:p>
    <w:p w:rsidR="00585E19" w:rsidRPr="00444B24" w:rsidRDefault="00585E19" w:rsidP="00927DFB">
      <w:pPr>
        <w:pStyle w:val="ProductList-Body"/>
      </w:pPr>
      <w:r w:rsidRPr="00444B24">
        <w:rPr>
          <w:b/>
          <w:color w:val="00188F"/>
        </w:rPr>
        <w:t>Außerdienststellung von Diensten und Feature</w:t>
      </w:r>
    </w:p>
    <w:p w:rsidR="00585E19" w:rsidRPr="00444B24" w:rsidRDefault="00585E19" w:rsidP="00272578">
      <w:pPr>
        <w:pStyle w:val="ProductList-Body"/>
      </w:pPr>
      <w:r w:rsidRPr="00444B24">
        <w:t>Microsoft informiert den Kunden 12 Monate im Voraus, bevor wesentliche Feature oder Funktionalitäten entfernt werden oder ein Dienst eingestellt wird, es sei denn, sicherheitsrelevante, rechtliche oder Systemleistungsaspekte erfordern eine beschleunigte Entfernung. Das gilt nicht</w:t>
      </w:r>
      <w:r>
        <w:t> </w:t>
      </w:r>
      <w:r w:rsidRPr="00444B24">
        <w:t xml:space="preserve">für </w:t>
      </w:r>
      <w:r>
        <w:t>Previews.</w:t>
      </w:r>
    </w:p>
    <w:p w:rsidR="00585E19" w:rsidRPr="00444B24" w:rsidRDefault="00585E19" w:rsidP="00272578">
      <w:pPr>
        <w:pStyle w:val="ProductList-Body"/>
      </w:pPr>
    </w:p>
    <w:p w:rsidR="00585E19" w:rsidRPr="00444B24" w:rsidRDefault="00585E19" w:rsidP="00927DFB">
      <w:pPr>
        <w:pStyle w:val="ProductList-Body"/>
      </w:pPr>
      <w:r w:rsidRPr="00444B24">
        <w:rPr>
          <w:b/>
          <w:color w:val="00188F"/>
        </w:rPr>
        <w:t>Datenaufbewahrung nach Ablauf oder Kündigung</w:t>
      </w:r>
    </w:p>
    <w:p w:rsidR="00585E19" w:rsidRPr="00444B24" w:rsidRDefault="00585E19" w:rsidP="00272578">
      <w:pPr>
        <w:pStyle w:val="ProductList-Body"/>
      </w:pPr>
      <w:r w:rsidRPr="00444B24">
        <w:t>Durch Ablauf oder</w:t>
      </w:r>
      <w:r>
        <w:t xml:space="preserve"> Kündigung </w:t>
      </w:r>
      <w:r w:rsidRPr="00444B24">
        <w:t>des Onlinedienste-Abonnements des Kunden ändert sich nichts an der Pflicht des Kunden, für das Hosten</w:t>
      </w:r>
      <w:r>
        <w:t xml:space="preserve"> seiner </w:t>
      </w:r>
      <w:r w:rsidRPr="00444B24">
        <w:t xml:space="preserve">Kundendaten während </w:t>
      </w:r>
      <w:r w:rsidRPr="00172A00">
        <w:t>einer Laufzeitverlängerung zu bezahlen</w:t>
      </w:r>
      <w:r w:rsidRPr="00444B24">
        <w:t>.</w:t>
      </w:r>
    </w:p>
    <w:p w:rsidR="00585E19" w:rsidRPr="00444B24" w:rsidRDefault="00585E19" w:rsidP="00272578">
      <w:pPr>
        <w:pStyle w:val="ProductList-Body"/>
      </w:pPr>
    </w:p>
    <w:p w:rsidR="00585E19" w:rsidRPr="00444B24" w:rsidRDefault="00585E19" w:rsidP="00927DFB">
      <w:pPr>
        <w:pStyle w:val="ProductList-Body"/>
      </w:pPr>
      <w:r w:rsidRPr="00444B24">
        <w:rPr>
          <w:b/>
          <w:color w:val="00188F"/>
        </w:rPr>
        <w:t>Hosting-Ausnahme</w:t>
      </w:r>
    </w:p>
    <w:p w:rsidR="00585E19" w:rsidRPr="00444B24" w:rsidRDefault="00585E19" w:rsidP="00272578">
      <w:pPr>
        <w:pStyle w:val="ProductList-Body"/>
      </w:pPr>
      <w:r w:rsidRPr="00444B24">
        <w:t>Der Kunde ist berechtigt, eine Kundenlösung zu erstellen und zu pflegen. Ungeachtet anders lautender Bestimmungen im Volumenlizenzvertrag ist</w:t>
      </w:r>
      <w:r>
        <w:t> </w:t>
      </w:r>
      <w:r w:rsidRPr="00444B24">
        <w:t>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585E19" w:rsidRPr="00444B24" w:rsidRDefault="00585E19" w:rsidP="00272578">
      <w:pPr>
        <w:pStyle w:val="ProductList-Body"/>
      </w:pPr>
    </w:p>
    <w:p w:rsidR="00585E19" w:rsidRPr="00444B24" w:rsidRDefault="00585E19" w:rsidP="00272578">
      <w:pPr>
        <w:pStyle w:val="ProductList-Body"/>
      </w:pPr>
      <w:r w:rsidRPr="00444B24">
        <w:rPr>
          <w:b/>
          <w:color w:val="00188F"/>
        </w:rPr>
        <w:t>Managed Service-Ausnahme</w:t>
      </w:r>
    </w:p>
    <w:p w:rsidR="00585E19" w:rsidRPr="00444B24" w:rsidRDefault="00585E19" w:rsidP="00272578">
      <w:pPr>
        <w:pStyle w:val="ProductList-Body"/>
      </w:pPr>
      <w:r w:rsidRPr="00444B24">
        <w:t xml:space="preserve">Der Kunde kann eine Managed Service-Lösung bereitstellen, wenn (i) ausschließlich der Kunde auf die Microsoft Azure-Dienste zugreifen </w:t>
      </w:r>
      <w:r>
        <w:t>und </w:t>
      </w:r>
      <w:r w:rsidRPr="00444B24">
        <w:t>diese konfigurieren und verwalten kann, (ii) der Kunde</w:t>
      </w:r>
      <w:r>
        <w:t xml:space="preserve"> administrativen Zugriff </w:t>
      </w:r>
      <w:r w:rsidRPr="00444B24">
        <w:t>auf die virtuelle</w:t>
      </w:r>
      <w:r>
        <w:t>(n) Betriebssystemumgebung</w:t>
      </w:r>
      <w:r w:rsidRPr="00444B24">
        <w:t>(en), falls vorhanden, in</w:t>
      </w:r>
      <w:r>
        <w:t> </w:t>
      </w:r>
      <w:r w:rsidRPr="00444B24">
        <w:t>der Managed Service-Lösung hat und (iii) der Dritte</w:t>
      </w:r>
      <w:r>
        <w:t xml:space="preserve"> administrativen Zugriff </w:t>
      </w:r>
      <w:r w:rsidRPr="00444B24">
        <w:t xml:space="preserve">nur auf seine eigene(n) Anwendung(en) oder virtuellen </w:t>
      </w:r>
      <w:r>
        <w:t>Betriebssystemumgebung</w:t>
      </w:r>
      <w:r w:rsidRPr="00444B24">
        <w:t>(en) hat.</w:t>
      </w:r>
      <w:r>
        <w:t xml:space="preserve"> </w:t>
      </w:r>
      <w:r w:rsidRPr="00444B24">
        <w:t>Der Kunde ist für die Nutzung der Microsoft Azure-Dienste durch Dritte gemäß den Bestimmungen des Volumenlizenzvertrags des Kunden verantwortlich.</w:t>
      </w:r>
    </w:p>
    <w:p w:rsidR="00585E19" w:rsidRDefault="00585E19" w:rsidP="00272578">
      <w:pPr>
        <w:pStyle w:val="ProductList-Body"/>
      </w:pPr>
    </w:p>
    <w:p w:rsidR="00585E19" w:rsidRPr="00444B24" w:rsidRDefault="00585E19" w:rsidP="00927DFB">
      <w:pPr>
        <w:pStyle w:val="ProductList-Body"/>
      </w:pPr>
      <w:r w:rsidRPr="00444B24">
        <w:rPr>
          <w:b/>
          <w:color w:val="00188F"/>
        </w:rPr>
        <w:t>Virtuelle Computer</w:t>
      </w:r>
    </w:p>
    <w:p w:rsidR="00585E19" w:rsidRPr="00172A00" w:rsidRDefault="00585E19" w:rsidP="00272578">
      <w:pPr>
        <w:pStyle w:val="ProductList-Body"/>
      </w:pPr>
      <w:r w:rsidRPr="00444B24">
        <w:t>Microsoft Azure-Dienste</w:t>
      </w:r>
      <w:r>
        <w:t xml:space="preserve"> können </w:t>
      </w:r>
      <w:r w:rsidRPr="00444B24">
        <w:t>dem Kunden die Möglichkeit geben, Windows Server und andere Microsoft-Software auf einem Virtuellen Computer</w:t>
      </w:r>
      <w:r>
        <w:t> </w:t>
      </w:r>
      <w:r w:rsidRPr="00444B24">
        <w:t>auszuführen. Der Kunde erklärt sich damit einverstanden, die</w:t>
      </w:r>
      <w:r>
        <w:t xml:space="preserve"> notwendigen </w:t>
      </w:r>
      <w:r w:rsidRPr="00444B24">
        <w:t>Rechte zur Ausführung sämtlicher Software (einschließlich des</w:t>
      </w:r>
      <w:r>
        <w:t> </w:t>
      </w:r>
      <w:r w:rsidRPr="00444B24">
        <w:t>Betriebssystems)</w:t>
      </w:r>
      <w:r>
        <w:t xml:space="preserve"> in </w:t>
      </w:r>
      <w:r w:rsidRPr="00444B24">
        <w:t>Virtuellen Computer</w:t>
      </w:r>
      <w:r>
        <w:t>n</w:t>
      </w:r>
      <w:r w:rsidRPr="00444B24">
        <w:t xml:space="preserve"> des Kunden zu beschaffen. Der Kunde darf di</w:t>
      </w:r>
      <w:r w:rsidRPr="00172A00">
        <w:t xml:space="preserve">ese Software nur mit den Microsoft Azure-Diensten verwenden und nur in Verbindung mit der zulässigen Verwendung von anwendbaren Microsoft Azure-Rollen seitens des Kunden. Ferner unterliegt deren Nutzung den Universellen und Allgemeinen Bestimmungen für die in den Produktbenutzungsrechten unter </w:t>
      </w:r>
      <w:hyperlink r:id="rId30" w:history="1">
        <w:r w:rsidRPr="00172A00">
          <w:rPr>
            <w:rStyle w:val="Hyperlink"/>
            <w:rFonts w:cs="Arial"/>
          </w:rPr>
          <w:t>http://go.microsoft.com/?linkid=9839206</w:t>
        </w:r>
      </w:hyperlink>
      <w:r w:rsidRPr="00172A00">
        <w:t xml:space="preserve"> oder einer entsprechenden Folgeseite ausführlich behandelte Software.</w:t>
      </w:r>
    </w:p>
    <w:p w:rsidR="00585E19" w:rsidRPr="00172A00" w:rsidRDefault="00585E19" w:rsidP="00272578">
      <w:pPr>
        <w:pStyle w:val="ProductList-Body"/>
        <w:rPr>
          <w:sz w:val="16"/>
          <w:szCs w:val="16"/>
        </w:rPr>
      </w:pPr>
    </w:p>
    <w:p w:rsidR="00585E19" w:rsidRPr="00172A00" w:rsidRDefault="00585E19" w:rsidP="00927DFB">
      <w:pPr>
        <w:pStyle w:val="ProductList-Body"/>
      </w:pPr>
      <w:r w:rsidRPr="00172A00">
        <w:rPr>
          <w:b/>
          <w:color w:val="00188F"/>
        </w:rPr>
        <w:t>Gemeinsame Nutzung</w:t>
      </w:r>
    </w:p>
    <w:p w:rsidR="00585E19" w:rsidRPr="00444B24" w:rsidRDefault="00585E19" w:rsidP="00272578">
      <w:pPr>
        <w:pStyle w:val="ProductList-Body"/>
      </w:pPr>
      <w:r w:rsidRPr="00172A00">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w:t>
      </w:r>
      <w:r w:rsidRPr="00444B24">
        <w:t xml:space="preserve"> zu stellen.</w:t>
      </w:r>
    </w:p>
    <w:p w:rsidR="00585E19" w:rsidRPr="00B47AAA" w:rsidRDefault="00585E19" w:rsidP="00272578">
      <w:pPr>
        <w:pStyle w:val="ProductList-Body"/>
        <w:rPr>
          <w:sz w:val="16"/>
          <w:szCs w:val="16"/>
        </w:rPr>
      </w:pPr>
    </w:p>
    <w:p w:rsidR="00585E19" w:rsidRPr="00444B24" w:rsidRDefault="00585E19" w:rsidP="00927DFB">
      <w:pPr>
        <w:pStyle w:val="ProductList-Body"/>
      </w:pPr>
      <w:r w:rsidRPr="00444B24">
        <w:rPr>
          <w:b/>
          <w:color w:val="00188F"/>
        </w:rPr>
        <w:t>Import-/Export-Dienste</w:t>
      </w:r>
    </w:p>
    <w:p w:rsidR="00585E19" w:rsidRPr="00444B24" w:rsidRDefault="00585E19" w:rsidP="0088164F">
      <w:pPr>
        <w:pStyle w:val="ProductList-Body"/>
        <w:spacing w:after="120"/>
      </w:pPr>
      <w:r w:rsidRPr="00444B24">
        <w:t>Die Verwendung der Import/Export-Dienste durch den Kunden ist bedingt durch</w:t>
      </w:r>
      <w:r>
        <w:t xml:space="preserve"> seine </w:t>
      </w:r>
      <w:r w:rsidRPr="00444B24">
        <w:t>Einhaltung aller von Microsoft bereitgestellten Anweisungen in</w:t>
      </w:r>
      <w:r>
        <w:t> </w:t>
      </w:r>
      <w:r w:rsidRPr="00444B24">
        <w:t>Bezug auf die Vorbereitung, Behandlung und de</w:t>
      </w:r>
      <w:r>
        <w:t>n Versand der physischen Medien</w:t>
      </w:r>
      <w:r w:rsidRPr="00444B24">
        <w:t>, in denen die Daten des Kunden enthalten sind (Speichermedien)</w:t>
      </w:r>
      <w:r>
        <w:t>. Diese Anweisungen werden</w:t>
      </w:r>
      <w:r w:rsidRPr="00444B24">
        <w:t xml:space="preserve"> dem Kunden per E-Mail gesendet oder </w:t>
      </w:r>
      <w:r>
        <w:t xml:space="preserve">sind </w:t>
      </w:r>
      <w:r w:rsidRPr="00444B24">
        <w:t xml:space="preserve">unter </w:t>
      </w:r>
      <w:hyperlink r:id="rId31" w:history="1">
        <w:r w:rsidRPr="00C20C47">
          <w:rPr>
            <w:rStyle w:val="Hyperlink"/>
            <w:rFonts w:cs="Arial"/>
          </w:rPr>
          <w:t>www.go.microsoft.com/fwlink/?linkid=301900&amp;CLCID=0X409</w:t>
        </w:r>
      </w:hyperlink>
      <w:r w:rsidRPr="004513D1">
        <w:t xml:space="preserve"> abrufbar</w:t>
      </w:r>
      <w:r w:rsidRPr="00444B24">
        <w:t>. Der Kunde ist allein dafür verantwortlich, sicherzustellen, dass die Speichermedien und Daten unter Einhaltung aller geltender Gesetze und Regelungen bereitgestellt werden. Alle</w:t>
      </w:r>
      <w:r>
        <w:t xml:space="preserve"> eingehenden </w:t>
      </w:r>
      <w:r w:rsidRPr="00444B24">
        <w:t xml:space="preserve">Speichermedien werden DAP Microsoft DCS Data Center (INCOTERMS 2010) geliefert. Exportierte Speichermedien werden DAP Customer Dock (INCOTERMS 2010) geliefert. Der Kunde ist dafür verantwortlich, sicherzustellen, dass ein Versand der auf den Speichermedien exportierten Daten zu dem vom Kunden angegebenen Standort zulässig ist. </w:t>
      </w:r>
    </w:p>
    <w:p w:rsidR="00585E19" w:rsidRPr="00444B24" w:rsidRDefault="00585E19" w:rsidP="00272578">
      <w:pPr>
        <w:pStyle w:val="ProductList-Body"/>
      </w:pPr>
      <w:r w:rsidRPr="00444B24">
        <w:t xml:space="preserve">Der Kunde erklärt sich damit einverstanden, dass Microsoft in Bezug auf die Speichermedien und die darauf enthaltenen Daten keinerlei Verpflichtungen hat und auch nicht für verloren gegangene, beschädigte oder zerstörte Speichermedien haftet. Der Kunde allein ist dafür verantwortlich, entsprechende Vorkehrungen zum Schutz der Speichermedien und der darauf enthaltenen Daten zu treffen, worunter insbesondere folgende Maßnahmen fallen: Verschlüsselung von Daten, </w:t>
      </w:r>
      <w:r>
        <w:t>manipulations</w:t>
      </w:r>
      <w:r w:rsidRPr="00444B24">
        <w:t>gesicherte Verpackung, Transportversicherung, Daten-Backup</w:t>
      </w:r>
      <w:r>
        <w:t> </w:t>
      </w:r>
      <w:r w:rsidRPr="00444B24">
        <w:t>und Datenredundanz.</w:t>
      </w:r>
    </w:p>
    <w:p w:rsidR="00585E19" w:rsidRPr="00B47AAA" w:rsidRDefault="00585E19" w:rsidP="00272578">
      <w:pPr>
        <w:pStyle w:val="ProductList-Body"/>
        <w:rPr>
          <w:sz w:val="16"/>
          <w:szCs w:val="16"/>
        </w:rPr>
      </w:pPr>
    </w:p>
    <w:p w:rsidR="00585E19" w:rsidRPr="00444B24" w:rsidRDefault="00585E19" w:rsidP="00927DFB">
      <w:pPr>
        <w:pStyle w:val="ProductList-Body"/>
      </w:pPr>
      <w:r w:rsidRPr="00444B24">
        <w:rPr>
          <w:b/>
          <w:color w:val="00188F"/>
        </w:rPr>
        <w:t>Store</w:t>
      </w:r>
    </w:p>
    <w:p w:rsidR="00585E19" w:rsidRPr="00444B24" w:rsidRDefault="00585E19" w:rsidP="00272578">
      <w:pPr>
        <w:pStyle w:val="ProductList-Body"/>
      </w:pPr>
      <w:r w:rsidRPr="00444B24">
        <w:t>Microsoft Azure ermöglicht dem Kunden über Feature wie den Microsoft Azure Store und die Virtual Machine Gallery</w:t>
      </w:r>
      <w:r>
        <w:t xml:space="preserve"> gemäß</w:t>
      </w:r>
      <w:r w:rsidRPr="00444B24">
        <w:t xml:space="preserve"> separaten Bestimmungen, welche unter </w:t>
      </w:r>
      <w:hyperlink r:id="rId32" w:history="1">
        <w:r w:rsidRPr="00444B24">
          <w:rPr>
            <w:rStyle w:val="Hyperlink"/>
            <w:rFonts w:cs="Arial"/>
          </w:rPr>
          <w:t>http://azure.microsoft.com/en-us/support/legal/microsoft-azure-store-terms/</w:t>
        </w:r>
      </w:hyperlink>
      <w:hyperlink r:id="rId33" w:history="1"/>
      <w:r w:rsidRPr="00444B24">
        <w:t xml:space="preserve"> eingesehen werden können, auf Nicht von Microsoft stammende Produkte zuzugreifen oder diese zu erwerben.</w:t>
      </w:r>
    </w:p>
    <w:p w:rsidR="00585E19" w:rsidRPr="00444B24" w:rsidRDefault="00B36E70" w:rsidP="003D22CB">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D73EC5">
      <w:pPr>
        <w:pStyle w:val="ProductList-OfferingGroupHeading"/>
        <w:spacing w:after="80"/>
        <w:outlineLvl w:val="1"/>
      </w:pPr>
      <w:bookmarkStart w:id="51" w:name="_Toc401641583"/>
      <w:r>
        <w:t>Enterprise Mobility-Dienste</w:t>
      </w:r>
      <w:bookmarkEnd w:id="51"/>
      <w:r>
        <w:t xml:space="preserve"> </w:t>
      </w:r>
    </w:p>
    <w:p w:rsidR="00585E19" w:rsidRPr="00444B24" w:rsidRDefault="00585E19" w:rsidP="008070AF">
      <w:pPr>
        <w:pStyle w:val="ProductList-Body"/>
        <w:tabs>
          <w:tab w:val="clear" w:pos="158"/>
          <w:tab w:val="left" w:pos="360"/>
        </w:tabs>
      </w:pPr>
      <w:r>
        <w:rPr>
          <w:b/>
          <w:color w:val="00188F"/>
        </w:rPr>
        <w:t>H</w:t>
      </w:r>
      <w:r w:rsidRPr="00444B24">
        <w:rPr>
          <w:b/>
          <w:color w:val="00188F"/>
        </w:rPr>
        <w:t>inweise</w:t>
      </w:r>
    </w:p>
    <w:p w:rsidR="00585E19" w:rsidRPr="00444B24" w:rsidRDefault="00585E19" w:rsidP="008070AF">
      <w:pPr>
        <w:pStyle w:val="ProductList-Body"/>
      </w:pPr>
      <w:r w:rsidRPr="00444B24">
        <w:t xml:space="preserve">Die Hinweise zu Bing Maps in </w:t>
      </w:r>
      <w:hyperlink w:anchor="Attachment1" w:tooltip="Anhang 1" w:history="1">
        <w:r w:rsidRPr="00444B24">
          <w:rPr>
            <w:rStyle w:val="Hyperlink"/>
            <w:rFonts w:cs="Arial"/>
          </w:rPr>
          <w:t>Anhang 1</w:t>
        </w:r>
      </w:hyperlink>
      <w:r w:rsidRPr="00444B24">
        <w:t xml:space="preserve"> sind anwendbar.</w:t>
      </w:r>
    </w:p>
    <w:p w:rsidR="00585E19" w:rsidRPr="00B47AAA" w:rsidRDefault="00585E19" w:rsidP="008070AF">
      <w:pPr>
        <w:pStyle w:val="ProductList-Body"/>
        <w:rPr>
          <w:sz w:val="16"/>
          <w:szCs w:val="16"/>
        </w:rPr>
      </w:pPr>
    </w:p>
    <w:p w:rsidR="00585E19" w:rsidRPr="00444B24" w:rsidRDefault="00585E19" w:rsidP="008070AF">
      <w:pPr>
        <w:pStyle w:val="ProductList-Body"/>
        <w:tabs>
          <w:tab w:val="clear" w:pos="158"/>
          <w:tab w:val="left" w:pos="180"/>
        </w:tabs>
      </w:pPr>
      <w:r w:rsidRPr="00444B24">
        <w:rPr>
          <w:b/>
          <w:color w:val="00188F"/>
        </w:rPr>
        <w:t>Abonnementlizenz</w:t>
      </w:r>
      <w:r>
        <w:rPr>
          <w:b/>
          <w:color w:val="00188F"/>
        </w:rPr>
        <w:t xml:space="preserve">en für </w:t>
      </w:r>
      <w:r w:rsidRPr="00444B24">
        <w:rPr>
          <w:b/>
          <w:color w:val="00188F"/>
        </w:rPr>
        <w:t>Suites</w:t>
      </w:r>
    </w:p>
    <w:p w:rsidR="00585E19" w:rsidRPr="00444B24" w:rsidRDefault="00585E19" w:rsidP="008070AF">
      <w:pPr>
        <w:pStyle w:val="ProductList-Body"/>
      </w:pPr>
      <w:r w:rsidRPr="00444B24">
        <w:t xml:space="preserve">Zusätzlich zu den Nutzer-ALs finden Sie in </w:t>
      </w:r>
      <w:hyperlink w:anchor="Attachment2" w:tooltip="Anhang 2" w:history="1">
        <w:r w:rsidRPr="00444B24">
          <w:rPr>
            <w:rStyle w:val="Hyperlink"/>
            <w:rFonts w:cs="Arial"/>
          </w:rPr>
          <w:t>Anhang 2</w:t>
        </w:r>
      </w:hyperlink>
      <w:r w:rsidRPr="00444B24">
        <w:t xml:space="preserve"> andere ALs, welche die Anforderungen für Azure Active Directory Premium, Azure Rights Management und Windows Intune erfüllen.</w:t>
      </w:r>
    </w:p>
    <w:p w:rsidR="00585E19" w:rsidRPr="00B47AAA" w:rsidRDefault="00585E19" w:rsidP="008070AF">
      <w:pPr>
        <w:pStyle w:val="ProductList-Body"/>
        <w:rPr>
          <w:sz w:val="16"/>
          <w:szCs w:val="16"/>
        </w:rPr>
      </w:pPr>
    </w:p>
    <w:p w:rsidR="00585E19" w:rsidRPr="00444B24" w:rsidRDefault="00585E19" w:rsidP="00122096">
      <w:pPr>
        <w:pStyle w:val="ProductList-Offering2Heading"/>
        <w:outlineLvl w:val="2"/>
      </w:pPr>
      <w:r w:rsidRPr="00444B24">
        <w:tab/>
      </w:r>
      <w:bookmarkStart w:id="52" w:name="_Toc401641584"/>
      <w:r w:rsidRPr="00444B24">
        <w:t>Azure Active Directory Basic</w:t>
      </w:r>
      <w:bookmarkEnd w:id="52"/>
    </w:p>
    <w:p w:rsidR="00585E19" w:rsidRPr="00444B24" w:rsidRDefault="00585E19" w:rsidP="00122096">
      <w:pPr>
        <w:pStyle w:val="ProductList-Body"/>
      </w:pPr>
      <w:r w:rsidRPr="00444B24">
        <w:t>Der Kunde kann mit Single Sign-On bis zu 10 SAAS-Anwendungen/benutzerdefinierte Anwendungen pro Nutzer-AL vorintegrieren. Für diese Anwendungsbeschränkung zählen alle Microsoft-Anwendungen und Anwendungen Dritter.</w:t>
      </w:r>
    </w:p>
    <w:p w:rsidR="00585E19" w:rsidRPr="00444B24" w:rsidRDefault="00B36E70" w:rsidP="00122096">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706672">
      <w:pPr>
        <w:pStyle w:val="ProductList-Offering2Heading"/>
        <w:outlineLvl w:val="2"/>
      </w:pPr>
      <w:r w:rsidRPr="00444B24">
        <w:tab/>
      </w:r>
      <w:bookmarkStart w:id="53" w:name="_Toc401641585"/>
      <w:r w:rsidRPr="00444B24">
        <w:t>Azure Active Directory Premium</w:t>
      </w:r>
      <w:bookmarkEnd w:id="53"/>
    </w:p>
    <w:p w:rsidR="00585E19" w:rsidRPr="00444B24" w:rsidRDefault="00585E19" w:rsidP="00706672">
      <w:pPr>
        <w:pStyle w:val="ProductList-Body"/>
      </w:pPr>
      <w:r w:rsidRPr="00444B24">
        <w:t>Der Kunde kann mit Single Sign-On SaaS-Anwendungen/benutzerdefinierte Anwendungen vorintegrieren. Der Kunde ist nicht berechtigt, Datensätze (oder Teile eines Datensatzes), die in der Forefront Identity Manager-Software enthalten sind, die in einer Nutzer-AL für Microsoft</w:t>
      </w:r>
      <w:r>
        <w:t> </w:t>
      </w:r>
      <w:r w:rsidRPr="00444B24">
        <w:t>Azure Active Directory Premium enthalten ist, zu kopieren oder zu vertreiben.</w:t>
      </w:r>
    </w:p>
    <w:p w:rsidR="00585E19" w:rsidRPr="00444B24" w:rsidRDefault="00B36E70" w:rsidP="00706672">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Default="00585E19" w:rsidP="00C5710F">
      <w:pPr>
        <w:pStyle w:val="ProductList-Offering2Heading"/>
        <w:pBdr>
          <w:bottom w:val="none" w:sz="0" w:space="0" w:color="auto"/>
        </w:pBdr>
        <w:outlineLvl w:val="2"/>
      </w:pPr>
    </w:p>
    <w:p w:rsidR="00585E19" w:rsidRPr="00444B24" w:rsidRDefault="00585E19" w:rsidP="008070AF">
      <w:pPr>
        <w:pStyle w:val="ProductList-Offering2Heading"/>
        <w:outlineLvl w:val="2"/>
      </w:pPr>
      <w:r w:rsidRPr="00444B24">
        <w:tab/>
      </w:r>
      <w:bookmarkStart w:id="54" w:name="_Toc401641586"/>
      <w:r w:rsidRPr="00444B24">
        <w:t>Azure Rights Management Service</w:t>
      </w:r>
      <w:bookmarkEnd w:id="54"/>
      <w:r w:rsidRPr="00444B24">
        <w:t xml:space="preserve"> </w:t>
      </w:r>
    </w:p>
    <w:p w:rsidR="00585E19" w:rsidRPr="00444B24" w:rsidRDefault="00B36E70" w:rsidP="008070AF">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D73EC5">
      <w:pPr>
        <w:pStyle w:val="ProductList-Offering1Heading"/>
        <w:outlineLvl w:val="2"/>
      </w:pPr>
      <w:bookmarkStart w:id="55" w:name="_Toc388464308"/>
      <w:bookmarkEnd w:id="55"/>
      <w:r w:rsidRPr="00444B24">
        <w:tab/>
      </w:r>
      <w:bookmarkStart w:id="56" w:name="_Toc401641587"/>
      <w:r w:rsidRPr="00444B24">
        <w:t>Windows Intune</w:t>
      </w:r>
      <w:bookmarkEnd w:id="56"/>
    </w:p>
    <w:p w:rsidR="00585E19" w:rsidRPr="00444B24" w:rsidRDefault="00585E19" w:rsidP="008070AF">
      <w:pPr>
        <w:pStyle w:val="ProductList-Body"/>
        <w:rPr>
          <w:rFonts w:ascii="Calibri Light" w:hAnsi="Calibri Light"/>
          <w:sz w:val="16"/>
          <w:szCs w:val="16"/>
        </w:rPr>
        <w:sectPr w:rsidR="00585E19" w:rsidRPr="00444B24" w:rsidSect="00A61B2A">
          <w:footerReference w:type="default" r:id="rId34"/>
          <w:footerReference w:type="first" r:id="rId35"/>
          <w:pgSz w:w="12240" w:h="15840"/>
          <w:pgMar w:top="1440" w:right="720" w:bottom="1440" w:left="720" w:header="720" w:footer="720" w:gutter="0"/>
          <w:cols w:space="720"/>
          <w:titlePg/>
          <w:docGrid w:linePitch="360"/>
        </w:sectPr>
      </w:pPr>
    </w:p>
    <w:p w:rsidR="00585E19" w:rsidRPr="00444B24" w:rsidRDefault="00585E19" w:rsidP="008070AF">
      <w:pPr>
        <w:pStyle w:val="ProductList-Body"/>
      </w:pPr>
      <w:r w:rsidRPr="00444B24">
        <w:rPr>
          <w:rFonts w:ascii="Calibri Light" w:hAnsi="Calibri Light"/>
          <w:sz w:val="16"/>
          <w:szCs w:val="16"/>
        </w:rPr>
        <w:t>Windows Intune (pro Nutzer)</w:t>
      </w:r>
    </w:p>
    <w:p w:rsidR="00585E19" w:rsidRPr="00444B24" w:rsidRDefault="00585E19" w:rsidP="008070AF">
      <w:pPr>
        <w:pStyle w:val="ProductList-Body"/>
      </w:pPr>
      <w:r w:rsidRPr="00444B24">
        <w:rPr>
          <w:rFonts w:ascii="Calibri Light" w:hAnsi="Calibri Light"/>
          <w:sz w:val="16"/>
          <w:szCs w:val="16"/>
        </w:rPr>
        <w:t>Windows Intune mit Windows-Desktop-Betriebssystem (pro Nutzer)</w:t>
      </w:r>
    </w:p>
    <w:p w:rsidR="00585E19" w:rsidRPr="00854C83" w:rsidRDefault="00585E19" w:rsidP="008070AF">
      <w:pPr>
        <w:pStyle w:val="ProductList-Body"/>
        <w:rPr>
          <w:sz w:val="16"/>
          <w:szCs w:val="16"/>
        </w:rPr>
      </w:pPr>
    </w:p>
    <w:p w:rsidR="00585E19" w:rsidRPr="00A426CD" w:rsidRDefault="00585E19" w:rsidP="008070AF">
      <w:pPr>
        <w:pStyle w:val="ProductList-Body"/>
        <w:rPr>
          <w:lang w:val="en-US"/>
        </w:rPr>
      </w:pPr>
      <w:r w:rsidRPr="00A426CD">
        <w:rPr>
          <w:rFonts w:ascii="Calibri Light" w:hAnsi="Calibri Light"/>
          <w:sz w:val="16"/>
          <w:szCs w:val="16"/>
          <w:lang w:val="en-US"/>
        </w:rPr>
        <w:t>Windows Intune Add-On für System Center Configuration</w:t>
      </w:r>
    </w:p>
    <w:p w:rsidR="00585E19" w:rsidRPr="00444B24" w:rsidRDefault="00585E19" w:rsidP="008070AF">
      <w:pPr>
        <w:pStyle w:val="ProductList-Body"/>
        <w:rPr>
          <w:rFonts w:ascii="Calibri Light" w:hAnsi="Calibri Light"/>
          <w:sz w:val="16"/>
          <w:szCs w:val="16"/>
        </w:rPr>
        <w:sectPr w:rsidR="00585E19" w:rsidRPr="00444B24" w:rsidSect="00D73EC5">
          <w:type w:val="continuous"/>
          <w:pgSz w:w="12240" w:h="15840"/>
          <w:pgMar w:top="1440" w:right="720" w:bottom="1440" w:left="720" w:header="720" w:footer="720" w:gutter="0"/>
          <w:cols w:num="2" w:space="720"/>
          <w:titlePg/>
          <w:docGrid w:linePitch="360"/>
        </w:sectPr>
      </w:pPr>
      <w:r w:rsidRPr="00444B24">
        <w:rPr>
          <w:rFonts w:ascii="Calibri Light" w:hAnsi="Calibri Light"/>
          <w:sz w:val="16"/>
          <w:szCs w:val="16"/>
        </w:rPr>
        <w:t>Manager und System Center Endpoint Protection (pro Nutzer)</w:t>
      </w:r>
      <w:r w:rsidRPr="00444B24">
        <w:rPr>
          <w:rFonts w:ascii="Calibri Light" w:hAnsi="Calibri Light"/>
          <w:sz w:val="16"/>
          <w:szCs w:val="16"/>
        </w:rPr>
        <w:br/>
        <w:t>(„Windows Intune Add-On“)</w:t>
      </w:r>
    </w:p>
    <w:p w:rsidR="00585E19" w:rsidRPr="00854C83" w:rsidRDefault="00585E19" w:rsidP="008070AF">
      <w:pPr>
        <w:pStyle w:val="ProductList-Body"/>
        <w:pBdr>
          <w:top w:val="single" w:sz="4" w:space="1" w:color="BFBFBF"/>
        </w:pBdr>
        <w:rPr>
          <w:sz w:val="8"/>
          <w:szCs w:val="8"/>
        </w:rPr>
      </w:pPr>
    </w:p>
    <w:p w:rsidR="00585E19" w:rsidRPr="00444B24" w:rsidRDefault="00585E19" w:rsidP="00EF78B8">
      <w:pPr>
        <w:pStyle w:val="ProductList-Body"/>
        <w:tabs>
          <w:tab w:val="clear" w:pos="158"/>
          <w:tab w:val="left" w:pos="180"/>
        </w:tabs>
      </w:pPr>
      <w:r w:rsidRPr="00444B24">
        <w:rPr>
          <w:b/>
          <w:color w:val="00188F"/>
        </w:rPr>
        <w:t xml:space="preserve">Geräte </w:t>
      </w:r>
      <w:r>
        <w:rPr>
          <w:b/>
          <w:color w:val="00188F"/>
        </w:rPr>
        <w:t>v</w:t>
      </w:r>
      <w:r w:rsidRPr="00444B24">
        <w:rPr>
          <w:b/>
          <w:color w:val="00188F"/>
        </w:rPr>
        <w:t>erwalten</w:t>
      </w:r>
    </w:p>
    <w:p w:rsidR="00585E19" w:rsidRPr="00444B24" w:rsidRDefault="00585E19" w:rsidP="00EF78B8">
      <w:pPr>
        <w:pStyle w:val="ProductList-Body"/>
        <w:tabs>
          <w:tab w:val="clear" w:pos="158"/>
          <w:tab w:val="left" w:pos="180"/>
        </w:tabs>
      </w:pPr>
      <w:r w:rsidRPr="00444B24">
        <w:t xml:space="preserve">Jeder Nutzer, dem der Kunde eine Nutzer-AL zuweist, ist berechtigt, zur Verwaltung von bis zu fünf Geräten auf den Onlinedienst und zugehörige Software (einschließlich System Center-Software) zuzugreifen und </w:t>
      </w:r>
      <w:r>
        <w:t>ihn/</w:t>
      </w:r>
      <w:r w:rsidRPr="00444B24">
        <w:t>sie zu verwenden.</w:t>
      </w:r>
    </w:p>
    <w:p w:rsidR="00585E19" w:rsidRPr="00D20643" w:rsidRDefault="00585E19" w:rsidP="00EF78B8">
      <w:pPr>
        <w:pStyle w:val="ProductList-Body"/>
        <w:tabs>
          <w:tab w:val="clear" w:pos="158"/>
          <w:tab w:val="left" w:pos="180"/>
        </w:tabs>
        <w:rPr>
          <w:sz w:val="14"/>
        </w:rPr>
      </w:pPr>
    </w:p>
    <w:p w:rsidR="00585E19" w:rsidRPr="00444B24" w:rsidRDefault="00585E19" w:rsidP="008070AF">
      <w:pPr>
        <w:pStyle w:val="ProductList-Body"/>
        <w:tabs>
          <w:tab w:val="clear" w:pos="158"/>
          <w:tab w:val="left" w:pos="180"/>
        </w:tabs>
      </w:pPr>
      <w:r w:rsidRPr="00444B24">
        <w:rPr>
          <w:b/>
          <w:color w:val="00188F"/>
        </w:rPr>
        <w:t>Add-On-AL für Speicher</w:t>
      </w:r>
    </w:p>
    <w:p w:rsidR="00585E19" w:rsidRPr="00444B24" w:rsidRDefault="00585E19" w:rsidP="008070AF">
      <w:pPr>
        <w:pStyle w:val="ProductList-Body"/>
        <w:tabs>
          <w:tab w:val="clear" w:pos="158"/>
          <w:tab w:val="left" w:pos="180"/>
        </w:tabs>
      </w:pPr>
      <w:r w:rsidRPr="00444B24">
        <w:t>Eine Add-On-AL für Speicher ist für jedes Gigabyte Speicherplatz über den mit dem Basisabonnement bereitgestellten Speicherplatz hinaus erforderlich.</w:t>
      </w:r>
    </w:p>
    <w:p w:rsidR="00585E19" w:rsidRPr="00D20643" w:rsidRDefault="00585E19" w:rsidP="008070AF">
      <w:pPr>
        <w:pStyle w:val="ProductList-Body"/>
        <w:tabs>
          <w:tab w:val="clear" w:pos="158"/>
          <w:tab w:val="left" w:pos="180"/>
        </w:tabs>
        <w:rPr>
          <w:sz w:val="14"/>
        </w:rPr>
      </w:pPr>
    </w:p>
    <w:p w:rsidR="00585E19" w:rsidRPr="00444B24" w:rsidRDefault="00585E19" w:rsidP="008070AF">
      <w:pPr>
        <w:pStyle w:val="ProductList-Body"/>
        <w:tabs>
          <w:tab w:val="clear" w:pos="158"/>
          <w:tab w:val="left" w:pos="180"/>
        </w:tabs>
      </w:pPr>
      <w:r w:rsidRPr="00444B24">
        <w:rPr>
          <w:b/>
          <w:color w:val="00188F"/>
        </w:rPr>
        <w:t>Windows-Softwarekomponenten in System Center-Software</w:t>
      </w:r>
    </w:p>
    <w:p w:rsidR="00585E19" w:rsidRPr="00444B24" w:rsidRDefault="00585E19" w:rsidP="008070AF">
      <w:pPr>
        <w:pStyle w:val="ProductList-Body"/>
        <w:tabs>
          <w:tab w:val="clear" w:pos="158"/>
          <w:tab w:val="left" w:pos="180"/>
        </w:tabs>
      </w:pPr>
      <w:r w:rsidRPr="00444B24">
        <w:t>Die System Center-Software enthält eine oder mehrere der folgenden Windows-Softwarekomponenten: Microsoft .NET Framework, Microsoft</w:t>
      </w:r>
      <w:r>
        <w:t> </w:t>
      </w:r>
      <w:r w:rsidRPr="00444B24">
        <w:t>Data Access Components, Powershell-Software und bestimmte DLL-Dateien im Zusammenhang mit Microsoft-Build, Windows Identity</w:t>
      </w:r>
      <w:r>
        <w:t> </w:t>
      </w:r>
      <w:r w:rsidRPr="00444B24">
        <w:t>Foundation, Windows Library für JAVAScript, Debghelp.dll und Web Deploy-Technologien. Die Lizenzbestimmungen für die Nutzung</w:t>
      </w:r>
      <w:r>
        <w:t> </w:t>
      </w:r>
      <w:r w:rsidRPr="00444B24">
        <w:t>der</w:t>
      </w:r>
      <w:r>
        <w:t> </w:t>
      </w:r>
      <w:r w:rsidRPr="00444B24">
        <w:t>Windows-Softwarekomponenten finden sich im Abschnitt „Windows 8.1 Pro und Enterprise“ der Produktbenutzungsrechte. Die</w:t>
      </w:r>
      <w:r>
        <w:t> </w:t>
      </w:r>
      <w:r w:rsidRPr="00444B24">
        <w:t xml:space="preserve">Produktbenutzungsrechte befinden sich unter </w:t>
      </w:r>
      <w:hyperlink r:id="rId36" w:history="1">
        <w:r w:rsidRPr="00444B24">
          <w:rPr>
            <w:rStyle w:val="Hyperlink"/>
            <w:rFonts w:cs="Arial"/>
          </w:rPr>
          <w:t>http://go.microsoft.com/?linkid=9839206</w:t>
        </w:r>
      </w:hyperlink>
      <w:hyperlink w:history="1"/>
      <w:r w:rsidRPr="00444B24">
        <w:t>.</w:t>
      </w:r>
    </w:p>
    <w:p w:rsidR="00585E19" w:rsidRPr="00D20643" w:rsidRDefault="00585E19" w:rsidP="008070AF">
      <w:pPr>
        <w:pStyle w:val="ProductList-Body"/>
        <w:tabs>
          <w:tab w:val="clear" w:pos="158"/>
          <w:tab w:val="left" w:pos="180"/>
        </w:tabs>
        <w:rPr>
          <w:sz w:val="14"/>
        </w:rPr>
      </w:pPr>
    </w:p>
    <w:p w:rsidR="00585E19" w:rsidRPr="00444B24" w:rsidRDefault="00585E19" w:rsidP="008070AF">
      <w:pPr>
        <w:pStyle w:val="ProductList-Body"/>
        <w:tabs>
          <w:tab w:val="clear" w:pos="158"/>
          <w:tab w:val="left" w:pos="180"/>
        </w:tabs>
      </w:pPr>
      <w:r w:rsidRPr="00444B24">
        <w:rPr>
          <w:b/>
          <w:color w:val="00188F"/>
        </w:rPr>
        <w:t>SQL Server-Technologie und Benchmarking</w:t>
      </w:r>
    </w:p>
    <w:p w:rsidR="00585E19" w:rsidRPr="00444B24" w:rsidRDefault="00585E19" w:rsidP="008070AF">
      <w:pPr>
        <w:pStyle w:val="ProductList-Body"/>
        <w:tabs>
          <w:tab w:val="clear" w:pos="158"/>
          <w:tab w:val="left" w:pos="180"/>
        </w:tabs>
      </w:pPr>
      <w:r w:rsidRPr="00444B24">
        <w:t xml:space="preserve">Die im Onlinedienst enthaltene Software umfasst SQL Server-Markenkomponenten außer einer SQL Server-Datenbank. Diese Komponenten </w:t>
      </w:r>
      <w:r>
        <w:t xml:space="preserve">werden </w:t>
      </w:r>
      <w:r w:rsidRPr="00444B24">
        <w:t>gemäß den Bestimmungen</w:t>
      </w:r>
      <w:r>
        <w:t xml:space="preserve"> ihrer jeweiligen </w:t>
      </w:r>
      <w:r w:rsidRPr="00444B24">
        <w:t>Lizenzen, die sich im Installationsverzeichnis oder dem Installationsprogramm der Software befinden</w:t>
      </w:r>
      <w:r>
        <w:t>,</w:t>
      </w:r>
      <w:r w:rsidRPr="00934C82">
        <w:t xml:space="preserve"> </w:t>
      </w:r>
      <w:r w:rsidRPr="00444B24">
        <w:t>an</w:t>
      </w:r>
      <w:r>
        <w:t> </w:t>
      </w:r>
      <w:r w:rsidRPr="00444B24">
        <w:t>den Kunden lizenziert. Der Kunde benötigt die vorherige schriftliche Genehmigung von Microsoft, um die Ergebnisse von</w:t>
      </w:r>
      <w:r>
        <w:t> </w:t>
      </w:r>
      <w:r w:rsidRPr="00444B24">
        <w:t>Vergleichstests dieser Komponenten oder der Software, in der diese enthalten sind, gegenüber Dritten offenzulegen.</w:t>
      </w:r>
    </w:p>
    <w:p w:rsidR="00585E19" w:rsidRPr="00D20643" w:rsidRDefault="00585E19" w:rsidP="008070AF">
      <w:pPr>
        <w:pStyle w:val="ProductList-Body"/>
        <w:rPr>
          <w:sz w:val="14"/>
        </w:rPr>
      </w:pPr>
    </w:p>
    <w:p w:rsidR="00585E19" w:rsidRPr="00444B24" w:rsidRDefault="00585E19" w:rsidP="008070AF">
      <w:pPr>
        <w:pStyle w:val="ProductList-Body"/>
      </w:pPr>
      <w:r w:rsidRPr="00444B24">
        <w:rPr>
          <w:b/>
          <w:color w:val="002060"/>
        </w:rPr>
        <w:t>Die folgenden zusätzlichen Bestimmungen gelten für den Windows-Desktop-Betriebssystem-Service, den</w:t>
      </w:r>
      <w:r>
        <w:rPr>
          <w:b/>
          <w:color w:val="002060"/>
        </w:rPr>
        <w:t xml:space="preserve"> Kunden </w:t>
      </w:r>
      <w:r w:rsidRPr="00444B24">
        <w:rPr>
          <w:b/>
          <w:color w:val="002060"/>
        </w:rPr>
        <w:t>zusammen mit</w:t>
      </w:r>
      <w:r>
        <w:rPr>
          <w:b/>
          <w:color w:val="002060"/>
        </w:rPr>
        <w:t> </w:t>
      </w:r>
      <w:r w:rsidRPr="00444B24">
        <w:rPr>
          <w:b/>
          <w:color w:val="002060"/>
        </w:rPr>
        <w:t>Windows</w:t>
      </w:r>
      <w:r>
        <w:rPr>
          <w:b/>
          <w:color w:val="002060"/>
        </w:rPr>
        <w:t> </w:t>
      </w:r>
      <w:r w:rsidRPr="00444B24">
        <w:rPr>
          <w:b/>
          <w:color w:val="002060"/>
        </w:rPr>
        <w:t xml:space="preserve">Intune mit dem Windows-Desktop-Betriebssystem-Service erhalten: </w:t>
      </w:r>
    </w:p>
    <w:p w:rsidR="00585E19" w:rsidRPr="00444B24" w:rsidRDefault="00585E19" w:rsidP="008070AF">
      <w:pPr>
        <w:pStyle w:val="ProductList-Body"/>
        <w:tabs>
          <w:tab w:val="clear" w:pos="158"/>
          <w:tab w:val="left" w:pos="360"/>
        </w:tabs>
        <w:ind w:left="180"/>
      </w:pPr>
      <w:r w:rsidRPr="00444B24">
        <w:rPr>
          <w:b/>
          <w:color w:val="0072C6"/>
        </w:rPr>
        <w:t>Hinweise</w:t>
      </w:r>
    </w:p>
    <w:p w:rsidR="00585E19" w:rsidRPr="00444B24" w:rsidRDefault="00585E19" w:rsidP="008070AF">
      <w:pPr>
        <w:pStyle w:val="ProductList-Body"/>
        <w:ind w:left="180"/>
      </w:pPr>
      <w:r w:rsidRPr="00444B24">
        <w:t>Die Hinweise in Bezug auf</w:t>
      </w:r>
      <w:r>
        <w:t xml:space="preserve"> den</w:t>
      </w:r>
      <w:r w:rsidRPr="00444B24">
        <w:t xml:space="preserve"> H.264/AVC Visual Standard, VC-1 Video Standard, MPEG-2 Video Standard, MPEG-4 Part 2 Visual Standard und </w:t>
      </w:r>
      <w:r>
        <w:br/>
      </w:r>
      <w:r w:rsidRPr="00444B24">
        <w:t>MPEG-2 Video Standard in Anhang 1 sind auf Windows Intune mit Windows Desktop-Betriebssystem anwendbar.</w:t>
      </w:r>
    </w:p>
    <w:p w:rsidR="00585E19" w:rsidRPr="00D20643" w:rsidRDefault="00585E19" w:rsidP="008070AF">
      <w:pPr>
        <w:pStyle w:val="ProductList-Body"/>
        <w:rPr>
          <w:sz w:val="14"/>
        </w:rPr>
      </w:pPr>
    </w:p>
    <w:p w:rsidR="00585E19" w:rsidRPr="00444B24" w:rsidRDefault="00585E19" w:rsidP="008070AF">
      <w:pPr>
        <w:pStyle w:val="ProductList-Body"/>
        <w:ind w:left="180"/>
      </w:pPr>
      <w:r w:rsidRPr="00444B24">
        <w:rPr>
          <w:b/>
          <w:color w:val="0072C6"/>
        </w:rPr>
        <w:t>Zugriff auf Onlinedienst</w:t>
      </w:r>
    </w:p>
    <w:p w:rsidR="00585E19" w:rsidRPr="00444B24" w:rsidRDefault="00585E19" w:rsidP="008070AF">
      <w:pPr>
        <w:pStyle w:val="ProductList-Body"/>
        <w:ind w:left="180"/>
      </w:pPr>
      <w:r w:rsidRPr="00444B24">
        <w:t>Jeder Nutzer, dem der Kunde eine Nutzer-AL für Windows Intune mit Windows-Desktop-Betriebssystem zuweist, ist berechtigt, zur Verwaltung des Windows-Geräts und bis zu vier weiterer Geräte</w:t>
      </w:r>
      <w:r>
        <w:t xml:space="preserve"> des Nutzers</w:t>
      </w:r>
      <w:r w:rsidRPr="00444B24">
        <w:t xml:space="preserve"> auf den Onlinedienst und andere zugehörige Software (einschließlich der System Center-Software) zuzugreifen und </w:t>
      </w:r>
      <w:r>
        <w:t>ihn/</w:t>
      </w:r>
      <w:r w:rsidRPr="00444B24">
        <w:t xml:space="preserve">sie zu verwenden. </w:t>
      </w:r>
    </w:p>
    <w:p w:rsidR="00585E19" w:rsidRPr="00D20643" w:rsidRDefault="00585E19" w:rsidP="008070AF">
      <w:pPr>
        <w:pStyle w:val="ProductList-Body"/>
        <w:ind w:left="180"/>
        <w:rPr>
          <w:sz w:val="14"/>
        </w:rPr>
      </w:pPr>
    </w:p>
    <w:p w:rsidR="00585E19" w:rsidRPr="00444B24" w:rsidRDefault="00585E19" w:rsidP="008070AF">
      <w:pPr>
        <w:pStyle w:val="ProductList-Body"/>
        <w:ind w:left="180"/>
      </w:pPr>
      <w:r w:rsidRPr="00444B24">
        <w:rPr>
          <w:b/>
          <w:color w:val="0072C6"/>
        </w:rPr>
        <w:t>Zuweisen der Lizenz für das Windows-Desktop-Betriebssystem</w:t>
      </w:r>
    </w:p>
    <w:p w:rsidR="00585E19" w:rsidRPr="00444B24" w:rsidRDefault="00585E19" w:rsidP="008070AF">
      <w:pPr>
        <w:pStyle w:val="ProductList-Body"/>
        <w:ind w:left="180"/>
      </w:pPr>
      <w:r w:rsidRPr="00444B24">
        <w:t>Jeder Nutzer, dem eine Nutzer-AL zugewiesen wurde (der Hauptnutzer), ist berechtigt, die Windows-Software (wie unten im Abschnitt „Windows-Desktop-Betriebssystem“ beschrieben) auf einem einzelnen Gerät zu verwenden, und dieses Gerät muss eine zugewiesene und installierte qualifizierende Betriebssystem</w:t>
      </w:r>
      <w:r>
        <w:t>lizenz</w:t>
      </w:r>
      <w:r w:rsidRPr="00444B24">
        <w:t xml:space="preserve"> aufweisen. Dieses Gerät ist das „Windows-Gerät“ des Hauptnutzers für Zwecke dieser Lizenzbestimmungen und</w:t>
      </w:r>
      <w:r>
        <w:t xml:space="preserve"> der Lizenzbestimmungen des</w:t>
      </w:r>
      <w:r w:rsidRPr="00444B24">
        <w:t xml:space="preserve"> Microsoft Desktop Optimization Pack (MDOP) in den Produktbenutzungsrechten. Die Produktbenutzungsrechte befindet sich unter </w:t>
      </w:r>
      <w:hyperlink r:id="rId37" w:history="1">
        <w:r w:rsidRPr="00444B24">
          <w:rPr>
            <w:rStyle w:val="Hyperlink"/>
            <w:rFonts w:cs="Arial"/>
          </w:rPr>
          <w:t>http://go.microsoft.com/?linkid=9839206</w:t>
        </w:r>
      </w:hyperlink>
      <w:r w:rsidRPr="00444B24">
        <w:t>.</w:t>
      </w:r>
    </w:p>
    <w:p w:rsidR="00585E19" w:rsidRPr="00D20643" w:rsidRDefault="00585E19" w:rsidP="008070AF">
      <w:pPr>
        <w:pStyle w:val="ProductList-Body"/>
        <w:ind w:left="180"/>
        <w:rPr>
          <w:sz w:val="14"/>
        </w:rPr>
      </w:pPr>
    </w:p>
    <w:p w:rsidR="00585E19" w:rsidRPr="00444B24" w:rsidRDefault="00585E19" w:rsidP="008070AF">
      <w:pPr>
        <w:pStyle w:val="ProductList-Body"/>
        <w:ind w:left="180"/>
      </w:pPr>
      <w:r>
        <w:t xml:space="preserve">Qualifizierende </w:t>
      </w:r>
      <w:r w:rsidRPr="00444B24">
        <w:t>Betriebssystem</w:t>
      </w:r>
      <w:r>
        <w:t xml:space="preserve">lizenzen </w:t>
      </w:r>
      <w:r w:rsidRPr="00444B24">
        <w:t xml:space="preserve">(32-Bit- und 64-Bit-Systeme) umfassen Lizenzen für folgende Systeme: </w:t>
      </w:r>
    </w:p>
    <w:p w:rsidR="00585E19" w:rsidRPr="00444B24" w:rsidRDefault="00585E19" w:rsidP="004F3B66">
      <w:pPr>
        <w:pStyle w:val="ProductList-Body"/>
        <w:numPr>
          <w:ilvl w:val="0"/>
          <w:numId w:val="18"/>
        </w:numPr>
        <w:ind w:hanging="274"/>
      </w:pPr>
      <w:r w:rsidRPr="00444B24">
        <w:t>Windows 8 und 8.1 Enterprise oder Pro, (Diskless, Editionen N, K und KN)</w:t>
      </w:r>
    </w:p>
    <w:p w:rsidR="00585E19" w:rsidRPr="00444B24" w:rsidRDefault="00585E19" w:rsidP="004F3B66">
      <w:pPr>
        <w:pStyle w:val="ProductList-Body"/>
        <w:numPr>
          <w:ilvl w:val="0"/>
          <w:numId w:val="18"/>
        </w:numPr>
        <w:spacing w:before="40"/>
        <w:ind w:hanging="274"/>
      </w:pPr>
      <w:r w:rsidRPr="00444B24">
        <w:t xml:space="preserve">Windows 7 Enterprise oder Professional (Diskless) (einschließlich der Editionen N, K und KN)\ oder Ultimate </w:t>
      </w:r>
    </w:p>
    <w:p w:rsidR="00585E19" w:rsidRPr="00444B24" w:rsidRDefault="00585E19" w:rsidP="004F3B66">
      <w:pPr>
        <w:pStyle w:val="ProductList-Body"/>
        <w:numPr>
          <w:ilvl w:val="0"/>
          <w:numId w:val="18"/>
        </w:numPr>
        <w:spacing w:before="40"/>
        <w:ind w:hanging="274"/>
      </w:pPr>
      <w:r w:rsidRPr="00444B24">
        <w:t>Windows Vista Enterprise (Editionen N, K und KN), Business</w:t>
      </w:r>
      <w:r>
        <w:t xml:space="preserve"> </w:t>
      </w:r>
      <w:r w:rsidRPr="00444B24">
        <w:t xml:space="preserve">(Editionen N, K, KN und Blade Edition) oder Ultimate </w:t>
      </w:r>
    </w:p>
    <w:p w:rsidR="00585E19" w:rsidRPr="00444B24" w:rsidRDefault="00585E19" w:rsidP="004F3B66">
      <w:pPr>
        <w:pStyle w:val="ProductList-Body"/>
        <w:numPr>
          <w:ilvl w:val="0"/>
          <w:numId w:val="18"/>
        </w:numPr>
        <w:spacing w:before="40"/>
        <w:ind w:hanging="274"/>
      </w:pPr>
      <w:r w:rsidRPr="00444B24">
        <w:t xml:space="preserve">Editionen Windows XP Professional oder Tablet (einschließlich der Editionen N, K, KN und Blade Edition), Windows XP Pro N oder Windows XP Pro Blade PC </w:t>
      </w:r>
    </w:p>
    <w:p w:rsidR="00585E19" w:rsidRPr="00444B24" w:rsidRDefault="00585E19" w:rsidP="004F3B66">
      <w:pPr>
        <w:pStyle w:val="ProductList-Body"/>
        <w:numPr>
          <w:ilvl w:val="0"/>
          <w:numId w:val="18"/>
        </w:numPr>
        <w:spacing w:before="40"/>
        <w:ind w:hanging="274"/>
      </w:pPr>
      <w:r w:rsidRPr="00444B24">
        <w:t xml:space="preserve">Windows 2000 Professional </w:t>
      </w:r>
    </w:p>
    <w:p w:rsidR="00585E19" w:rsidRDefault="00585E19" w:rsidP="004F3B66">
      <w:pPr>
        <w:pStyle w:val="ProductList-Body"/>
        <w:numPr>
          <w:ilvl w:val="0"/>
          <w:numId w:val="18"/>
        </w:numPr>
        <w:spacing w:before="40"/>
        <w:ind w:hanging="274"/>
      </w:pPr>
      <w:r w:rsidRPr="00444B24">
        <w:t>Windows NT Workstation 4.0</w:t>
      </w:r>
    </w:p>
    <w:p w:rsidR="00585E19" w:rsidRPr="00444B24" w:rsidRDefault="00585E19" w:rsidP="004F3B66">
      <w:pPr>
        <w:pStyle w:val="ProductList-Body"/>
        <w:numPr>
          <w:ilvl w:val="0"/>
          <w:numId w:val="18"/>
        </w:numPr>
        <w:spacing w:before="40"/>
        <w:ind w:hanging="274"/>
      </w:pPr>
      <w:r w:rsidRPr="00444B24">
        <w:t>Windows 98 (einschl. zweiter Edition)</w:t>
      </w:r>
    </w:p>
    <w:p w:rsidR="00585E19" w:rsidRPr="00444B24" w:rsidRDefault="00585E19" w:rsidP="008070AF">
      <w:pPr>
        <w:pStyle w:val="ProductList-Body"/>
        <w:numPr>
          <w:ilvl w:val="0"/>
          <w:numId w:val="18"/>
        </w:numPr>
        <w:spacing w:before="40"/>
        <w:ind w:hanging="270"/>
      </w:pPr>
      <w:r w:rsidRPr="00444B24">
        <w:t xml:space="preserve">Apple Macintosh </w:t>
      </w:r>
    </w:p>
    <w:p w:rsidR="00585E19" w:rsidRPr="00D20643" w:rsidRDefault="00585E19" w:rsidP="008070AF">
      <w:pPr>
        <w:pStyle w:val="ProductList-Body"/>
        <w:rPr>
          <w:sz w:val="8"/>
          <w:szCs w:val="8"/>
        </w:rPr>
      </w:pPr>
    </w:p>
    <w:p w:rsidR="00585E19" w:rsidRPr="00444B24" w:rsidRDefault="00585E19" w:rsidP="008070AF">
      <w:pPr>
        <w:pStyle w:val="ProductList-Body"/>
        <w:ind w:left="180"/>
      </w:pPr>
      <w:r w:rsidRPr="00444B24">
        <w:rPr>
          <w:b/>
          <w:color w:val="0072C6"/>
        </w:rPr>
        <w:t>Windows-Desktop</w:t>
      </w:r>
      <w:r>
        <w:rPr>
          <w:b/>
          <w:color w:val="0072C6"/>
        </w:rPr>
        <w:t>-B</w:t>
      </w:r>
      <w:r w:rsidRPr="00444B24">
        <w:rPr>
          <w:b/>
          <w:color w:val="0072C6"/>
        </w:rPr>
        <w:t>etriebssystem</w:t>
      </w:r>
    </w:p>
    <w:p w:rsidR="00585E19" w:rsidRPr="00444B24" w:rsidRDefault="00585E19" w:rsidP="008070AF">
      <w:pPr>
        <w:pStyle w:val="ProductList-Body"/>
        <w:ind w:left="180"/>
      </w:pPr>
      <w:r w:rsidRPr="00444B24">
        <w:t>Die Produktbenutzungsrechte für das Windows Enterprise-Betriebssystem gelten für die Windows Desktop-Betriebssystem</w:t>
      </w:r>
      <w:r>
        <w:t>s</w:t>
      </w:r>
      <w:r w:rsidRPr="00444B24">
        <w:t>oftware, die in der Nutzer-AL enthalten ist, sofern in diesem Abschnitt nicht anders angegeben. Software bezeichnet</w:t>
      </w:r>
      <w:r>
        <w:t xml:space="preserve"> hier </w:t>
      </w:r>
      <w:r w:rsidRPr="00444B24">
        <w:t xml:space="preserve">Windows Enterprise. </w:t>
      </w:r>
    </w:p>
    <w:p w:rsidR="00585E19" w:rsidRPr="00444B24" w:rsidRDefault="00585E19" w:rsidP="008070AF">
      <w:pPr>
        <w:pStyle w:val="ProductList-Body"/>
        <w:numPr>
          <w:ilvl w:val="0"/>
          <w:numId w:val="26"/>
        </w:numPr>
      </w:pPr>
      <w:r w:rsidRPr="00444B24">
        <w:t xml:space="preserve">Der Kunde ist berechtigt, eine Kopie von Windows 8.1 Enterprise, 8.1 Pro oder einer früheren unterstützten Version der Software auf bis zu zwei Prozessoren auf dem Windows-Gerät zu installieren. Der Hauptnutzer ist berechtigt, die Software zu Arbeitszwecken lokal oder remote zu nutzen. </w:t>
      </w:r>
    </w:p>
    <w:p w:rsidR="00585E19" w:rsidRPr="00444B24" w:rsidRDefault="00585E19" w:rsidP="008070AF">
      <w:pPr>
        <w:pStyle w:val="ProductList-Body"/>
        <w:numPr>
          <w:ilvl w:val="0"/>
          <w:numId w:val="26"/>
        </w:numPr>
        <w:spacing w:before="40"/>
      </w:pPr>
      <w:r w:rsidRPr="00444B24">
        <w:rPr>
          <w:b/>
        </w:rPr>
        <w:t>Lokale Virtualisierungsrechte.</w:t>
      </w:r>
      <w:r w:rsidRPr="00444B24">
        <w:t xml:space="preserve"> Der Hauptnutzer ist berechtigt, bis zu vier Instanzen in </w:t>
      </w:r>
      <w:r>
        <w:t>v</w:t>
      </w:r>
      <w:r w:rsidRPr="00444B24">
        <w:t>irtuellen OSE</w:t>
      </w:r>
      <w:r>
        <w:t>s</w:t>
      </w:r>
      <w:r w:rsidRPr="00444B24">
        <w:t xml:space="preserve"> und eine Instanz in der </w:t>
      </w:r>
      <w:r>
        <w:t>p</w:t>
      </w:r>
      <w:r w:rsidRPr="00444B24">
        <w:t>hysischen OSE lokal auf dem Windows-Gerät auszuführen. Wenn alle Instanzen, deren lokale Ausführung in virtuellen OSE</w:t>
      </w:r>
      <w:r>
        <w:t>s</w:t>
      </w:r>
      <w:r w:rsidRPr="00444B24">
        <w:t xml:space="preserve"> zulässig ist, verwendet werden,</w:t>
      </w:r>
      <w:r>
        <w:t xml:space="preserve"> darf </w:t>
      </w:r>
      <w:r w:rsidRPr="00444B24">
        <w:t xml:space="preserve">der Kunde die Instanz in der </w:t>
      </w:r>
      <w:r>
        <w:t>p</w:t>
      </w:r>
      <w:r w:rsidRPr="00444B24">
        <w:t>hysischen OSE nur zum Hosten und Verwalten der virtuellen OSE</w:t>
      </w:r>
      <w:r>
        <w:t>s</w:t>
      </w:r>
      <w:r w:rsidRPr="00444B24">
        <w:t xml:space="preserve"> verwenden. </w:t>
      </w:r>
    </w:p>
    <w:p w:rsidR="00585E19" w:rsidRPr="00444B24" w:rsidRDefault="00585E19" w:rsidP="008070AF">
      <w:pPr>
        <w:pStyle w:val="ProductList-Body"/>
        <w:numPr>
          <w:ilvl w:val="0"/>
          <w:numId w:val="26"/>
        </w:numPr>
        <w:spacing w:before="40"/>
      </w:pPr>
      <w:r w:rsidRPr="00444B24">
        <w:rPr>
          <w:b/>
        </w:rPr>
        <w:t>Remote-Virtualisierungsrechte.</w:t>
      </w:r>
      <w:r w:rsidRPr="00444B24">
        <w:t xml:space="preserve"> Bei Verwendung des Windows-Geräts ist der Hauptnutzer berechtigt, remote auf bis zu vier Instanzen der Software zu</w:t>
      </w:r>
      <w:r>
        <w:t>zu</w:t>
      </w:r>
      <w:r w:rsidRPr="00444B24">
        <w:t xml:space="preserve">greifen, die in virtuellen </w:t>
      </w:r>
      <w:r>
        <w:t xml:space="preserve">OSEs </w:t>
      </w:r>
      <w:r w:rsidRPr="00444B24">
        <w:t xml:space="preserve">ausgeführt werden, oder auf eine Instanz der Software zuzugreifen, die in einer physischen </w:t>
      </w:r>
      <w:r>
        <w:t xml:space="preserve">OSE </w:t>
      </w:r>
      <w:r w:rsidRPr="00444B24">
        <w:t xml:space="preserve">auf einem Gerät im Rechenzentrum des Kunden ausgeführt wird. </w:t>
      </w:r>
    </w:p>
    <w:p w:rsidR="00585E19" w:rsidRPr="00444B24" w:rsidRDefault="00585E19" w:rsidP="008070AF">
      <w:pPr>
        <w:pStyle w:val="ProductList-Body"/>
        <w:numPr>
          <w:ilvl w:val="0"/>
          <w:numId w:val="26"/>
        </w:numPr>
        <w:spacing w:before="40"/>
      </w:pPr>
      <w:r w:rsidRPr="00444B24">
        <w:rPr>
          <w:b/>
        </w:rPr>
        <w:t>Roaming-Nutzungsrechte.</w:t>
      </w:r>
      <w:r w:rsidRPr="00444B24">
        <w:t xml:space="preserve"> Der Hauptnutzer ist berechtigt, von einem Gerät, das nicht direkt oder indirekt vom Kunden oder dessen verbundenen Unternehmen kontrolliert wird („Berechtigendes Drittgerät“) überall außerhalb des Betriebsgeländes des Kunden oder des Betriebsgeländes der mit dem Kunden verbundenen Unternehmen remote auf die erlaubten Instanzen, die auf Servern im Rechenzentrum des Kunden ausgeführt werden, zuzugreifen und eine Instanz der Software in einer virtuellen OSE auf einem Berechtigenden Drittgerät auszuführen, während er sich außerhalb des Betriebsgeländes des Kunden oder des Betriebsgeländes der mit dem Kunden verbundenen Unternehmen befindet.</w:t>
      </w:r>
    </w:p>
    <w:p w:rsidR="00585E19" w:rsidRPr="00444B24" w:rsidRDefault="00585E19" w:rsidP="008070AF">
      <w:pPr>
        <w:pStyle w:val="ProductList-Body"/>
        <w:numPr>
          <w:ilvl w:val="0"/>
          <w:numId w:val="26"/>
        </w:numPr>
        <w:spacing w:before="40"/>
      </w:pPr>
      <w:r w:rsidRPr="00444B24">
        <w:rPr>
          <w:b/>
        </w:rPr>
        <w:t>Windows To Go-Rechte.</w:t>
      </w:r>
      <w:r w:rsidRPr="00444B24">
        <w:t xml:space="preserve"> Der Kunde ist berechtigt, eine Instanz der Software auf bis zu zwei USB-Laufwerken zu erstellen und zu speichern, damit der Hauptnutzer </w:t>
      </w:r>
      <w:r>
        <w:t xml:space="preserve">sie auf jedem </w:t>
      </w:r>
      <w:r w:rsidRPr="00444B24">
        <w:t>Windows-Gerät</w:t>
      </w:r>
      <w:r>
        <w:t xml:space="preserve"> oder auf einem Berechtigenden Drittgerät</w:t>
      </w:r>
      <w:r w:rsidRPr="00444B24">
        <w:t xml:space="preserve"> überall außerhalb des Betriebsgeländes des Kunden oder des Betriebsgeländes der mit dem Kunden verbundenen Unternehmen ausführen kann.</w:t>
      </w:r>
    </w:p>
    <w:p w:rsidR="00585E19" w:rsidRPr="00444B24" w:rsidRDefault="00585E19" w:rsidP="008070AF">
      <w:pPr>
        <w:pStyle w:val="ProductList-Body"/>
        <w:numPr>
          <w:ilvl w:val="0"/>
          <w:numId w:val="26"/>
        </w:numPr>
        <w:spacing w:before="40"/>
      </w:pPr>
      <w:r w:rsidRPr="00444B24">
        <w:t>Der Hauptnutzer ist berechtigt, von einem Windows RT Companion-Gerät remote auf erlaubte Instanzen der Software, die auf Servern im Rechenzentrum des Kunden ausgeführt werden, zuzugreifen. „Window RT Companion-Gerät“ ist jedes zusätzliche Gerät, das vom Hauptnutzer verwendet wird und ordnungsgemäß vom Kunden (keinem Dritten) für Windows RT oder Windows RT 8.1 lizenziert ist.</w:t>
      </w:r>
    </w:p>
    <w:p w:rsidR="00585E19" w:rsidRPr="00444B24" w:rsidRDefault="00585E19" w:rsidP="00FC6E5B">
      <w:pPr>
        <w:pStyle w:val="ProductList-Body"/>
        <w:numPr>
          <w:ilvl w:val="0"/>
          <w:numId w:val="26"/>
        </w:numPr>
        <w:spacing w:before="40"/>
      </w:pPr>
      <w:r w:rsidRPr="00444B24">
        <w:t>Der Kunde ist berechtigt, bis zu 20 Geräte mit dem Windows-Gerät zu verbinden, um Dateifreigabe-, Druck-</w:t>
      </w:r>
      <w:r>
        <w:t xml:space="preserve"> und</w:t>
      </w:r>
      <w:r w:rsidRPr="00444B24">
        <w:t xml:space="preserve"> Internetinformationsdienste</w:t>
      </w:r>
      <w:r>
        <w:t xml:space="preserve"> sowie </w:t>
      </w:r>
      <w:r w:rsidRPr="00444B24">
        <w:t>Dienste für die gemeinsame Nutzung der Internetverbindung und Telefoniedienste zu verwenden. Für Key Management Services-Aktivierung oder eine ähnliche Technologie ist eine unbegrenzte Anzahl von Verbindungen zulässig.</w:t>
      </w:r>
    </w:p>
    <w:p w:rsidR="00585E19" w:rsidRPr="00444B24" w:rsidRDefault="00585E19" w:rsidP="00FC6E5B">
      <w:pPr>
        <w:pStyle w:val="ProductList-Body"/>
        <w:numPr>
          <w:ilvl w:val="0"/>
          <w:numId w:val="26"/>
        </w:numPr>
        <w:spacing w:before="40"/>
      </w:pPr>
      <w:r w:rsidRPr="00444B24">
        <w:t>Der Kunde ist berechtigt, beliebig viele Instanzen der Software zu erstellen und diese auf den Servern oder Speichermedien des Kunden zu speichern,</w:t>
      </w:r>
      <w:r>
        <w:t xml:space="preserve"> allerdings ausschließlich um </w:t>
      </w:r>
      <w:r w:rsidRPr="00444B24">
        <w:t xml:space="preserve">das Recht des Kunden zum Ausführen von Instanzen der Software unter einer seiner Lizenzen für Windows Intune mit Windows-Desktop-Betriebssystem (pro Nutzer) auszuüben. </w:t>
      </w:r>
    </w:p>
    <w:p w:rsidR="00585E19" w:rsidRPr="00444B24" w:rsidRDefault="00585E19" w:rsidP="008070AF">
      <w:pPr>
        <w:pStyle w:val="ProductList-Body"/>
        <w:numPr>
          <w:ilvl w:val="0"/>
          <w:numId w:val="26"/>
        </w:numPr>
        <w:spacing w:before="40"/>
      </w:pPr>
      <w:r w:rsidRPr="00444B24">
        <w:t>Andere Nutzer greifen auf die Software ausschließlich zur Bereitstellung von technischem Support mittels Remoteunterstützung (oder</w:t>
      </w:r>
      <w:r>
        <w:t> </w:t>
      </w:r>
      <w:r w:rsidRPr="00444B24">
        <w:t xml:space="preserve">ähnlicher Technologie) oder zur Verwaltung der Software zu. </w:t>
      </w:r>
    </w:p>
    <w:p w:rsidR="00585E19" w:rsidRPr="00692458" w:rsidRDefault="00585E19" w:rsidP="008070AF">
      <w:pPr>
        <w:pStyle w:val="ProductList-Body"/>
        <w:ind w:left="180"/>
        <w:rPr>
          <w:szCs w:val="18"/>
        </w:rPr>
      </w:pPr>
    </w:p>
    <w:p w:rsidR="00585E19" w:rsidRPr="00444B24" w:rsidRDefault="00585E19" w:rsidP="008070AF">
      <w:pPr>
        <w:pStyle w:val="ProductList-Body"/>
        <w:ind w:left="180"/>
      </w:pPr>
      <w:r w:rsidRPr="00444B24">
        <w:rPr>
          <w:b/>
          <w:color w:val="0072C6"/>
        </w:rPr>
        <w:t>Neuzuweisung vom Windows-Desktop-Betriebssystem</w:t>
      </w:r>
    </w:p>
    <w:p w:rsidR="00585E19" w:rsidRPr="00444B24" w:rsidRDefault="00585E19" w:rsidP="008070AF">
      <w:pPr>
        <w:pStyle w:val="ProductList-Body"/>
        <w:ind w:left="180"/>
      </w:pPr>
      <w:r w:rsidRPr="00444B24">
        <w:t>Vorbehaltlich der allgemeinen Regel, nach der Lizenzen nicht kurzzeitig neu zugewiesen werden dürfen, ist der Kunde berechtigt, seine Lizenz einem qualifizierenden Ersatzgerät neu zuzuweisen. Ein qualifizierendes Ersatzgerät ist ein Gerät, dem der Kunde eine Lizenz zugewiesen hat und</w:t>
      </w:r>
      <w:r>
        <w:t> </w:t>
      </w:r>
      <w:r w:rsidRPr="00444B24">
        <w:t>auf dem der Kunde die neueste Version des Windows Desktop-Betriebssystems installiert hat. Der Kunde ist berechtigt, seine</w:t>
      </w:r>
      <w:r>
        <w:t xml:space="preserve"> Lizenz </w:t>
      </w:r>
      <w:r w:rsidRPr="00444B24">
        <w:t>früher neu zuzuweisen, wenn der Kunde das lizenzierte Gerät aufgrund eines dauerhaften Hardwarefehlers außer Dienst stellt. Der Kunde ist berechtigt, ein Windows-Gerät durch ein anderes Gerät zu ersetzen, jedoch nicht kurzzeitig (bis zu 90 Tage) und nur, wenn dieses Ersatzgerät für</w:t>
      </w:r>
      <w:r>
        <w:t> </w:t>
      </w:r>
      <w:r w:rsidRPr="00444B24">
        <w:t xml:space="preserve">eine unterstützte qualifizierende Version des Windows-Desktop-Betriebssystems lizenziert ist. Lizenzen, die im Zusammenhang mit anderen qualifizierenden Lizenzen (z. B. MDOP) gewährt oder erworben werden, müssen grundsätzlich neu zugewiesen werden, wenn die qualifizierende Lizenz neu zugewiesen wird. </w:t>
      </w:r>
    </w:p>
    <w:p w:rsidR="00585E19" w:rsidRPr="00692458" w:rsidRDefault="00585E19" w:rsidP="008070AF">
      <w:pPr>
        <w:pStyle w:val="ProductList-Body"/>
        <w:ind w:left="180"/>
        <w:rPr>
          <w:szCs w:val="18"/>
        </w:rPr>
      </w:pPr>
    </w:p>
    <w:p w:rsidR="00585E19" w:rsidRPr="00444B24" w:rsidRDefault="00585E19" w:rsidP="008070AF">
      <w:pPr>
        <w:pStyle w:val="ProductList-Body"/>
        <w:ind w:left="180"/>
      </w:pPr>
      <w:r w:rsidRPr="00444B24">
        <w:rPr>
          <w:b/>
          <w:color w:val="0072C6"/>
        </w:rPr>
        <w:t>Buy-Out-Option für Windows-Betriebssystem</w:t>
      </w:r>
    </w:p>
    <w:p w:rsidR="00585E19" w:rsidRDefault="00585E19" w:rsidP="008070AF">
      <w:pPr>
        <w:pStyle w:val="ProductList-Body"/>
        <w:ind w:left="180"/>
      </w:pPr>
      <w:r w:rsidRPr="00444B24">
        <w:t xml:space="preserve">Es steht eine Buy-Out-Option zur Verfügung, um zeitlich unbeschränkte Lizenzen für die neueste Version von Windows Enterprise zu erhalten, die dem Kunden im Rahmen seines Abonnements für Windows Intune mit Windows-Desktop-Betriebssystem am oder vor dem Datum zur Verfügung gestellt wird, an dem der Kunde die Buy-Out-Option ausübt (die „Windows Enterprise-Software“). Eine Buy-Out-Bestellung kann während oder nach dem zwölften Kalendermonat eines aktiven Abonnements für Windows Intune mit Windows-Desktop-Betriebssystem oder bis zu 90 Tage nach Ablauf oder Stornierung des </w:t>
      </w:r>
      <w:r>
        <w:t>A</w:t>
      </w:r>
      <w:r w:rsidRPr="00444B24">
        <w:t xml:space="preserve">bonnements </w:t>
      </w:r>
      <w:r>
        <w:t xml:space="preserve">des Kunden </w:t>
      </w:r>
      <w:r w:rsidRPr="00444B24">
        <w:t>abgegeben werden. Der Kunde ist verpflichtet, ausstehende Abonnement- und/oder Stornierungsgebühren bei oder vor Ausübung der Buy-Out-Option zu bezahlen. Die Buy-Out-Bestellung des Kunden für Windows Enterprise-Software kann eine Anzahl von Lizenzen umfassen, die die Anzahl aktiver Abonnementlizenzen für Windows Intune mit Windows-Desktop-Betriebssystem, die der Kunde derzeit besitzt (oder bis zu 90 Tage vor dem Buy-Out besaß), nicht überschreiten darf. Preise, Zahlungsbestimmungen und Informationen zur Ausübung der Buy-Out-Option erhält der Kunde bei seinem örtlichen Support</w:t>
      </w:r>
      <w:r>
        <w:t>c</w:t>
      </w:r>
      <w:r w:rsidRPr="00444B24">
        <w:t xml:space="preserve">enter: </w:t>
      </w:r>
      <w:hyperlink r:id="rId38" w:history="1">
        <w:r w:rsidRPr="00444B24">
          <w:rPr>
            <w:rStyle w:val="Hyperlink"/>
            <w:rFonts w:cs="Arial"/>
          </w:rPr>
          <w:t>www.microsoft.com/online/help/en-us/helphowto/0d8eb4c2-77c5-4dd8-b66c-9f1de7451e24.htm</w:t>
        </w:r>
      </w:hyperlink>
      <w:r w:rsidRPr="00444B24">
        <w:t>.</w:t>
      </w:r>
    </w:p>
    <w:p w:rsidR="00585E19" w:rsidRDefault="00585E19" w:rsidP="008070AF">
      <w:pPr>
        <w:pStyle w:val="ProductList-Body"/>
        <w:ind w:left="180"/>
      </w:pPr>
    </w:p>
    <w:p w:rsidR="00585E19" w:rsidRPr="00444B24" w:rsidRDefault="00585E19" w:rsidP="008070AF">
      <w:pPr>
        <w:pStyle w:val="ProductList-Body"/>
        <w:ind w:left="180"/>
      </w:pPr>
    </w:p>
    <w:p w:rsidR="00585E19" w:rsidRDefault="00585E19" w:rsidP="008070AF">
      <w:pPr>
        <w:pStyle w:val="ProductList-Body"/>
        <w:ind w:left="450"/>
        <w:rPr>
          <w:b/>
          <w:color w:val="4668C5"/>
        </w:rPr>
      </w:pPr>
    </w:p>
    <w:p w:rsidR="00585E19" w:rsidRPr="00444B24" w:rsidRDefault="00585E19" w:rsidP="008070AF">
      <w:pPr>
        <w:pStyle w:val="ProductList-Body"/>
        <w:ind w:left="450"/>
      </w:pPr>
      <w:r w:rsidRPr="00444B24">
        <w:rPr>
          <w:b/>
          <w:color w:val="4668C5"/>
        </w:rPr>
        <w:t>Zeitlich unbeschränkte Lizenzen</w:t>
      </w:r>
    </w:p>
    <w:p w:rsidR="00585E19" w:rsidRPr="00444B24" w:rsidRDefault="00585E19" w:rsidP="008070AF">
      <w:pPr>
        <w:pStyle w:val="ProductList-Body"/>
        <w:ind w:left="450"/>
      </w:pPr>
      <w:r w:rsidRPr="00444B24">
        <w:t>Sobald</w:t>
      </w:r>
      <w:r>
        <w:t xml:space="preserve"> Microsoft </w:t>
      </w:r>
      <w:r w:rsidRPr="00444B24">
        <w:t xml:space="preserve">die Buy-Out-Bestellung des Kunden angenommen und die Zahlung des Kunden in voller Höhe erhalten </w:t>
      </w:r>
      <w:r>
        <w:t>hat</w:t>
      </w:r>
      <w:r w:rsidRPr="00444B24">
        <w:t>, verfügt der</w:t>
      </w:r>
      <w:r>
        <w:t> </w:t>
      </w:r>
      <w:r w:rsidRPr="00444B24">
        <w:t>Kunde</w:t>
      </w:r>
      <w:r>
        <w:t> </w:t>
      </w:r>
      <w:r w:rsidRPr="00444B24">
        <w:t>über zeitlich unbeschränkte Lizenzen für die Windows Enterprise-Software für die Anzahl der Lizenzen, die in der Buy-Out-Bestellung</w:t>
      </w:r>
      <w:r>
        <w:t> </w:t>
      </w:r>
      <w:r w:rsidRPr="00444B24">
        <w:t>angegeben ist. Zeitlich unbeschränkte Lizenzen, die der Kunde unter der Buy-Out-Option erhalten hat, unterliegen weiterhin den Bestimmungen des Volumenlizenzvertrages des Kunden (einschließlich dieser Bestimmungen für Onlinedienste, wie weiter unten dargelegt, und aller Lizenzbeschränkungen) und ersetzen die zugrunde liegenden zeitlich unbeschränkten Lizenzen des Kunden für ein qualifizierendes Microsoft-Desktop-Betriebssystem. Die Bestimmungen, die die fortlaufende Nutzung der Windows Enterprise-Software durch den Kunden regeln, bestehen nach Ablauf oder Kündigung des Volumenlizenzvertrages des Kunden fort.</w:t>
      </w:r>
    </w:p>
    <w:p w:rsidR="00585E19" w:rsidRPr="00444B24" w:rsidRDefault="00585E19" w:rsidP="008070AF">
      <w:pPr>
        <w:pStyle w:val="ProductList-Body"/>
        <w:ind w:left="450"/>
      </w:pPr>
    </w:p>
    <w:p w:rsidR="00585E19" w:rsidRPr="00444B24" w:rsidRDefault="00585E19" w:rsidP="008070AF">
      <w:pPr>
        <w:pStyle w:val="ProductList-Body"/>
        <w:ind w:left="450"/>
      </w:pPr>
      <w:r w:rsidRPr="00444B24">
        <w:rPr>
          <w:b/>
          <w:color w:val="4668C5"/>
        </w:rPr>
        <w:t>Buy-Out-Option</w:t>
      </w:r>
    </w:p>
    <w:p w:rsidR="00585E19" w:rsidRPr="00444B24" w:rsidRDefault="00585E19" w:rsidP="008070AF">
      <w:pPr>
        <w:pStyle w:val="ProductList-Body"/>
        <w:ind w:left="450"/>
      </w:pPr>
      <w:r w:rsidRPr="00444B24">
        <w:t>Ungeachtet anderslautender Bestimmungen im Volumenlizenzvertrag</w:t>
      </w:r>
      <w:r>
        <w:t xml:space="preserve"> des Kunden</w:t>
      </w:r>
      <w:r w:rsidRPr="00444B24">
        <w:t xml:space="preserve"> ist der Kunde nicht berechtigt, zeitlich unbeschränkte Lizenzen für das</w:t>
      </w:r>
      <w:r>
        <w:t> </w:t>
      </w:r>
      <w:r w:rsidRPr="00444B24">
        <w:t xml:space="preserve">Windows-Desktop-Betriebssystem, die der Kunde unter der Buy-Out-Option für Windows Intune mit Windows-Desktop-Betriebssystem </w:t>
      </w:r>
      <w:r>
        <w:t>erworben hat</w:t>
      </w:r>
      <w:r w:rsidRPr="00444B24">
        <w:t>, Ersatzgeräten neu zuzuweisen.</w:t>
      </w:r>
    </w:p>
    <w:p w:rsidR="00585E19" w:rsidRPr="00444B24" w:rsidRDefault="00585E19" w:rsidP="008070AF">
      <w:pPr>
        <w:pStyle w:val="ProductList-Body"/>
        <w:ind w:left="450"/>
      </w:pPr>
    </w:p>
    <w:p w:rsidR="00585E19" w:rsidRPr="00444B24" w:rsidRDefault="00585E19" w:rsidP="008070AF">
      <w:pPr>
        <w:pStyle w:val="ProductList-Body"/>
        <w:ind w:left="450"/>
      </w:pPr>
      <w:r w:rsidRPr="00444B24">
        <w:rPr>
          <w:b/>
          <w:color w:val="4668C5"/>
        </w:rPr>
        <w:t>Zuweisen von Lizenzen</w:t>
      </w:r>
    </w:p>
    <w:p w:rsidR="00585E19" w:rsidRPr="00444B24" w:rsidRDefault="00585E19" w:rsidP="008070AF">
      <w:pPr>
        <w:pStyle w:val="ProductList-Body"/>
        <w:ind w:left="450"/>
      </w:pPr>
      <w:r w:rsidRPr="00444B24">
        <w:t>Der Kunde muss die zeitlich unbeschränkten Lizenzen, die der Kunde unter der Buy-Out-Option erwirbt, Windows-Geräten zuweisen, auf</w:t>
      </w:r>
      <w:r>
        <w:t> </w:t>
      </w:r>
      <w:r w:rsidRPr="00444B24">
        <w:t xml:space="preserve">denen der Kunde die Software </w:t>
      </w:r>
      <w:r>
        <w:t xml:space="preserve">gemäß den </w:t>
      </w:r>
      <w:r w:rsidRPr="00444B24">
        <w:t>entsprechende</w:t>
      </w:r>
      <w:r>
        <w:t>n ALs des Kunden für</w:t>
      </w:r>
      <w:r w:rsidRPr="00444B24">
        <w:t xml:space="preserve"> Windows Intune mit Windows-Desktop-Betriebssystem</w:t>
      </w:r>
      <w:r>
        <w:t xml:space="preserve"> (pro Nutzer)</w:t>
      </w:r>
      <w:r w:rsidRPr="00444B24">
        <w:t xml:space="preserve"> verwendet hat.</w:t>
      </w:r>
    </w:p>
    <w:p w:rsidR="00585E19" w:rsidRPr="00444B24" w:rsidRDefault="00585E19" w:rsidP="008070AF">
      <w:pPr>
        <w:pStyle w:val="ProductList-Body"/>
        <w:ind w:left="450"/>
      </w:pPr>
    </w:p>
    <w:p w:rsidR="00585E19" w:rsidRPr="00444B24" w:rsidRDefault="00585E19" w:rsidP="008070AF">
      <w:pPr>
        <w:pStyle w:val="ProductList-Body"/>
        <w:ind w:left="450"/>
      </w:pPr>
      <w:r w:rsidRPr="00444B24">
        <w:rPr>
          <w:b/>
          <w:color w:val="4668C5"/>
        </w:rPr>
        <w:t>Produktbenutzungsrechte</w:t>
      </w:r>
    </w:p>
    <w:p w:rsidR="00585E19" w:rsidRPr="00444B24" w:rsidRDefault="00585E19" w:rsidP="008070AF">
      <w:pPr>
        <w:pStyle w:val="ProductList-Body"/>
        <w:ind w:left="450"/>
      </w:pPr>
      <w:r w:rsidRPr="00444B24">
        <w:t>Die Produktbenutzungsrechte für das Windows Enterprise-Betriebssystem gelten für die Nutzung der Windows Enterprise-Software</w:t>
      </w:r>
      <w:r>
        <w:t xml:space="preserve"> durch den Kunden</w:t>
      </w:r>
      <w:r w:rsidRPr="00444B24">
        <w:t xml:space="preserve"> gemäß den zeitlich unbeschränkten Lizenzen, die der Kunde unter der Buy-Out-Option erwirbt. Die Produktbenutzungsrechte befinden sich unter </w:t>
      </w:r>
      <w:hyperlink r:id="rId39" w:history="1">
        <w:r w:rsidRPr="00444B24">
          <w:rPr>
            <w:rStyle w:val="Hyperlink"/>
            <w:rFonts w:cs="Arial"/>
          </w:rPr>
          <w:t>http://go.microsoft.com/?linkid=9839206</w:t>
        </w:r>
      </w:hyperlink>
      <w:r w:rsidRPr="003F494D">
        <w:rPr>
          <w:rStyle w:val="Hyperlink"/>
          <w:rFonts w:cs="Arial"/>
          <w:u w:val="none"/>
        </w:rPr>
        <w:t>.</w:t>
      </w:r>
      <w:r w:rsidRPr="00444B24">
        <w:t xml:space="preserve"> Die oben in diesem Abschnitt beschriebenen „Virtualisierungsrechte“, „Roaming-Nutzungsrechte“, „Windows To Go-Rechte“ und „Companion-Geräte“ gelten nicht.</w:t>
      </w:r>
    </w:p>
    <w:p w:rsidR="00585E19" w:rsidRPr="00444B24" w:rsidRDefault="00B36E70" w:rsidP="008070AF">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74447C">
      <w:pPr>
        <w:pStyle w:val="ProductList-OfferingGroupHeading"/>
        <w:spacing w:after="80"/>
        <w:outlineLvl w:val="1"/>
      </w:pPr>
      <w:bookmarkStart w:id="57" w:name="_Toc401641588"/>
      <w:r w:rsidRPr="00444B24">
        <w:t>Microsoft Dynamics-Onlinedienste</w:t>
      </w:r>
      <w:bookmarkEnd w:id="57"/>
    </w:p>
    <w:p w:rsidR="00585E19" w:rsidRPr="00444B24" w:rsidRDefault="00585E19" w:rsidP="0074447C">
      <w:pPr>
        <w:pStyle w:val="ProductList-Body"/>
        <w:tabs>
          <w:tab w:val="clear" w:pos="158"/>
          <w:tab w:val="left" w:pos="360"/>
        </w:tabs>
      </w:pPr>
      <w:r w:rsidRPr="00444B24">
        <w:rPr>
          <w:b/>
          <w:color w:val="00188F"/>
        </w:rPr>
        <w:t>Hinweise</w:t>
      </w:r>
    </w:p>
    <w:p w:rsidR="00585E19" w:rsidRPr="00444B24" w:rsidRDefault="00585E19" w:rsidP="0074447C">
      <w:pPr>
        <w:pStyle w:val="ProductList-Body"/>
      </w:pPr>
      <w:r w:rsidRPr="00444B24">
        <w:t xml:space="preserve">Die Hinweise zu Bing Maps und Kundensupport in </w:t>
      </w:r>
      <w:hyperlink w:anchor="Attachment1" w:tooltip="Anhang 1" w:history="1">
        <w:r w:rsidRPr="00444B24">
          <w:rPr>
            <w:rStyle w:val="Hyperlink"/>
            <w:rFonts w:cs="Arial"/>
          </w:rPr>
          <w:t>Anhang 1</w:t>
        </w:r>
      </w:hyperlink>
      <w:r w:rsidRPr="00444B24">
        <w:t xml:space="preserve"> sind anwendbar.</w:t>
      </w:r>
    </w:p>
    <w:p w:rsidR="00585E19" w:rsidRPr="00444B24" w:rsidRDefault="00585E19" w:rsidP="003C6496">
      <w:pPr>
        <w:pStyle w:val="ProductList-Body"/>
      </w:pPr>
    </w:p>
    <w:p w:rsidR="00585E19" w:rsidRPr="00444B24" w:rsidRDefault="00585E19" w:rsidP="003C6496">
      <w:pPr>
        <w:pStyle w:val="ProductList-Body"/>
        <w:tabs>
          <w:tab w:val="clear" w:pos="158"/>
          <w:tab w:val="left" w:pos="180"/>
        </w:tabs>
      </w:pPr>
      <w:r w:rsidRPr="00444B24">
        <w:rPr>
          <w:b/>
          <w:color w:val="00188F"/>
        </w:rPr>
        <w:t>Abonnementlizenz</w:t>
      </w:r>
      <w:r>
        <w:rPr>
          <w:b/>
          <w:color w:val="00188F"/>
        </w:rPr>
        <w:t xml:space="preserve">en für </w:t>
      </w:r>
      <w:r w:rsidRPr="00444B24">
        <w:rPr>
          <w:b/>
          <w:color w:val="00188F"/>
        </w:rPr>
        <w:t>Suites</w:t>
      </w:r>
    </w:p>
    <w:p w:rsidR="00585E19" w:rsidRPr="00444B24" w:rsidRDefault="00585E19" w:rsidP="003C6496">
      <w:pPr>
        <w:pStyle w:val="ProductList-Body"/>
      </w:pPr>
      <w:r w:rsidRPr="00444B24">
        <w:t xml:space="preserve">Zusätzlich zu Nutzer-ALs finden sich in </w:t>
      </w:r>
      <w:hyperlink w:anchor="Attachment2" w:tooltip="Anhang 2" w:history="1">
        <w:r w:rsidRPr="00444B24">
          <w:rPr>
            <w:rStyle w:val="Hyperlink"/>
            <w:rFonts w:cs="Arial"/>
          </w:rPr>
          <w:t>Anhang 2</w:t>
        </w:r>
      </w:hyperlink>
      <w:r w:rsidRPr="00444B24">
        <w:t xml:space="preserve"> weitere Angebote, die AL-Anforderungen erfüllen.</w:t>
      </w:r>
    </w:p>
    <w:p w:rsidR="00585E19" w:rsidRPr="00444B24" w:rsidRDefault="00585E19" w:rsidP="003C6496">
      <w:pPr>
        <w:pStyle w:val="ProductList-Body"/>
      </w:pPr>
    </w:p>
    <w:p w:rsidR="00585E19" w:rsidRPr="00444B24" w:rsidRDefault="00585E19" w:rsidP="0074447C">
      <w:pPr>
        <w:pStyle w:val="ProductList-Body"/>
      </w:pPr>
    </w:p>
    <w:p w:rsidR="00585E19" w:rsidRPr="0061583D" w:rsidRDefault="00585E19" w:rsidP="009B1BF6">
      <w:pPr>
        <w:pStyle w:val="ProductList-Offering1Heading"/>
        <w:outlineLvl w:val="2"/>
      </w:pPr>
      <w:r w:rsidRPr="00444B24">
        <w:tab/>
      </w:r>
      <w:bookmarkStart w:id="58" w:name="_Toc401641589"/>
      <w:r w:rsidRPr="0061583D">
        <w:t>Microsoft Dynamics CRM Online</w:t>
      </w:r>
      <w:bookmarkEnd w:id="58"/>
    </w:p>
    <w:p w:rsidR="00585E19" w:rsidRPr="0061583D" w:rsidRDefault="00585E19" w:rsidP="004E52BA">
      <w:pPr>
        <w:pStyle w:val="ProductList-Offering1"/>
        <w:sectPr w:rsidR="00585E19" w:rsidRPr="0061583D" w:rsidSect="00D73EC5">
          <w:type w:val="continuous"/>
          <w:pgSz w:w="12240" w:h="15840"/>
          <w:pgMar w:top="1440" w:right="720" w:bottom="1440" w:left="720" w:header="720" w:footer="720" w:gutter="0"/>
          <w:cols w:space="720"/>
          <w:titlePg/>
          <w:docGrid w:linePitch="360"/>
        </w:sectPr>
      </w:pPr>
    </w:p>
    <w:p w:rsidR="00585E19" w:rsidRPr="0061583D" w:rsidRDefault="00585E19" w:rsidP="00EF1E73">
      <w:pPr>
        <w:pStyle w:val="ProductList-Body"/>
      </w:pPr>
      <w:r w:rsidRPr="0061583D">
        <w:rPr>
          <w:rFonts w:ascii="Calibri Light" w:hAnsi="Calibri Light"/>
          <w:sz w:val="16"/>
          <w:szCs w:val="16"/>
        </w:rPr>
        <w:t>Microsoft Dynamics CRM Online Essentials</w:t>
      </w:r>
    </w:p>
    <w:p w:rsidR="00585E19" w:rsidRPr="0061583D" w:rsidRDefault="00585E19" w:rsidP="00EF1E73">
      <w:pPr>
        <w:pStyle w:val="ProductList-Body"/>
      </w:pPr>
      <w:r w:rsidRPr="0061583D">
        <w:rPr>
          <w:rFonts w:ascii="Calibri Light" w:hAnsi="Calibri Light"/>
          <w:sz w:val="16"/>
          <w:szCs w:val="16"/>
        </w:rPr>
        <w:t>Microsoft Dynamics CRM Online Basic</w:t>
      </w:r>
    </w:p>
    <w:p w:rsidR="00585E19" w:rsidRPr="00444B24" w:rsidRDefault="00585E19" w:rsidP="00EF1E73">
      <w:pPr>
        <w:pStyle w:val="ProductList-Body"/>
      </w:pPr>
      <w:r w:rsidRPr="00444B24">
        <w:rPr>
          <w:rFonts w:ascii="Calibri Light" w:hAnsi="Calibri Light"/>
          <w:sz w:val="16"/>
          <w:szCs w:val="16"/>
        </w:rPr>
        <w:t>Microsoft Dynamics CRM Online Professional</w:t>
      </w:r>
    </w:p>
    <w:p w:rsidR="00585E19" w:rsidRPr="00444B24" w:rsidRDefault="00585E19" w:rsidP="00EF1E73">
      <w:pPr>
        <w:pStyle w:val="ProductList-Body"/>
      </w:pPr>
      <w:r w:rsidRPr="00444B24">
        <w:rPr>
          <w:rFonts w:ascii="Calibri Light" w:hAnsi="Calibri Light"/>
          <w:sz w:val="16"/>
          <w:szCs w:val="16"/>
        </w:rPr>
        <w:t>Microsoft Dynamics CRM Online Enterprise</w:t>
      </w:r>
    </w:p>
    <w:p w:rsidR="00585E19" w:rsidRPr="00444B24" w:rsidRDefault="00585E19" w:rsidP="00EF1E73">
      <w:pPr>
        <w:pStyle w:val="ProductList-Body"/>
        <w:sectPr w:rsidR="00585E19" w:rsidRPr="00444B24" w:rsidSect="00E275D6">
          <w:type w:val="continuous"/>
          <w:pgSz w:w="12240" w:h="15840"/>
          <w:pgMar w:top="1440" w:right="720" w:bottom="1440" w:left="720" w:header="720" w:footer="720" w:gutter="0"/>
          <w:cols w:num="2" w:space="720"/>
          <w:titlePg/>
          <w:docGrid w:linePitch="360"/>
        </w:sectPr>
      </w:pPr>
    </w:p>
    <w:p w:rsidR="00585E19" w:rsidRPr="00B23E34" w:rsidRDefault="00585E19" w:rsidP="000A5E8A">
      <w:pPr>
        <w:pStyle w:val="ProductList-Body"/>
        <w:pBdr>
          <w:top w:val="single" w:sz="4" w:space="1" w:color="BFBFBF"/>
        </w:pBdr>
        <w:rPr>
          <w:sz w:val="8"/>
          <w:szCs w:val="8"/>
        </w:rPr>
      </w:pPr>
    </w:p>
    <w:p w:rsidR="00585E19" w:rsidRPr="00444B24" w:rsidRDefault="00585E19" w:rsidP="000A5E8A">
      <w:pPr>
        <w:pStyle w:val="ProductList-Body"/>
        <w:tabs>
          <w:tab w:val="clear" w:pos="158"/>
          <w:tab w:val="left" w:pos="360"/>
        </w:tabs>
      </w:pPr>
      <w:r w:rsidRPr="00444B24">
        <w:rPr>
          <w:b/>
          <w:color w:val="00188F"/>
        </w:rPr>
        <w:t>Externe Nutzer</w:t>
      </w:r>
    </w:p>
    <w:p w:rsidR="00585E19" w:rsidRPr="00444B24" w:rsidRDefault="00585E19" w:rsidP="000A5E8A">
      <w:pPr>
        <w:pStyle w:val="ProductList-Body"/>
        <w:tabs>
          <w:tab w:val="clear" w:pos="158"/>
          <w:tab w:val="left" w:pos="360"/>
        </w:tabs>
      </w:pPr>
      <w:r w:rsidRPr="00444B24">
        <w:t xml:space="preserve">Externe Nutzer aller Editionen von Microsoft Dynamics CRM Online benötigen keine ALs, um auf den Onlinedienst zugreifen zu können, es sei denn, sie nutzen Microsoft Dynamics CRM-Clients. Diese Ausnahme gilt nicht für den Zugriff auf Microsoft Dynamics Marketing, Microsoft Social </w:t>
      </w:r>
      <w:r w:rsidR="00B36E70">
        <w:t>Listening</w:t>
      </w:r>
      <w:r w:rsidRPr="00444B24">
        <w:t xml:space="preserve"> oder Parature, von Microsoft.</w:t>
      </w:r>
      <w:r w:rsidRPr="00444B24">
        <w:rPr>
          <w:color w:val="000000"/>
          <w:szCs w:val="18"/>
        </w:rPr>
        <w:t xml:space="preserve"> </w:t>
      </w:r>
    </w:p>
    <w:p w:rsidR="00585E19" w:rsidRPr="00444B24" w:rsidRDefault="00B36E70" w:rsidP="004E52BA">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74447C">
      <w:pPr>
        <w:pStyle w:val="ProductList-Offering2Heading"/>
        <w:outlineLvl w:val="2"/>
      </w:pPr>
      <w:r w:rsidRPr="00444B24">
        <w:tab/>
      </w:r>
      <w:bookmarkStart w:id="59" w:name="_Toc401641590"/>
      <w:r w:rsidRPr="00444B24">
        <w:t>Microsoft Dynamics Marketing</w:t>
      </w:r>
      <w:bookmarkEnd w:id="59"/>
    </w:p>
    <w:p w:rsidR="00585E19" w:rsidRPr="00A426CD" w:rsidRDefault="00585E19" w:rsidP="0074447C">
      <w:pPr>
        <w:pStyle w:val="ProductList-Body"/>
        <w:rPr>
          <w:lang w:val="en-US"/>
        </w:rPr>
      </w:pPr>
      <w:r w:rsidRPr="00A426CD">
        <w:rPr>
          <w:rFonts w:ascii="Calibri Light" w:hAnsi="Calibri Light"/>
          <w:sz w:val="16"/>
          <w:szCs w:val="16"/>
          <w:lang w:val="en-US"/>
        </w:rPr>
        <w:t>Microsoft Dynamics Marketing Enterprise</w:t>
      </w:r>
    </w:p>
    <w:p w:rsidR="00585E19" w:rsidRPr="00A426CD" w:rsidRDefault="00585E19" w:rsidP="0074447C">
      <w:pPr>
        <w:pStyle w:val="ProductList-Body"/>
        <w:rPr>
          <w:lang w:val="en-US"/>
        </w:rPr>
      </w:pPr>
      <w:r w:rsidRPr="00A426CD">
        <w:rPr>
          <w:rFonts w:ascii="Calibri Light" w:hAnsi="Calibri Light"/>
          <w:sz w:val="16"/>
          <w:szCs w:val="16"/>
          <w:lang w:val="en-US"/>
        </w:rPr>
        <w:t>Microsoft Dynamics Marketing Sales Collaboration</w:t>
      </w:r>
    </w:p>
    <w:p w:rsidR="00585E19" w:rsidRPr="00A426CD" w:rsidRDefault="00585E19" w:rsidP="0074447C">
      <w:pPr>
        <w:pStyle w:val="ProductList-Body"/>
        <w:pBdr>
          <w:top w:val="single" w:sz="4" w:space="1" w:color="BFBFBF"/>
        </w:pBdr>
        <w:rPr>
          <w:sz w:val="8"/>
          <w:szCs w:val="8"/>
          <w:lang w:val="en-US"/>
        </w:rPr>
      </w:pPr>
    </w:p>
    <w:p w:rsidR="00585E19" w:rsidRPr="0061583D" w:rsidRDefault="00585E19" w:rsidP="00E53C1F">
      <w:pPr>
        <w:pStyle w:val="ProductList-Body"/>
        <w:rPr>
          <w:lang w:val="en-US"/>
        </w:rPr>
      </w:pPr>
      <w:r w:rsidRPr="0061583D">
        <w:rPr>
          <w:b/>
          <w:color w:val="00188F"/>
          <w:lang w:val="en-US"/>
        </w:rPr>
        <w:t>Vereinbarung zum Servicelevel</w:t>
      </w:r>
    </w:p>
    <w:p w:rsidR="00585E19" w:rsidRPr="00444B24" w:rsidRDefault="00585E19" w:rsidP="00E53C1F">
      <w:pPr>
        <w:pStyle w:val="ProductList-Body"/>
      </w:pPr>
      <w:r w:rsidRPr="00444B24">
        <w:t>Es ist keine SLA für Microsoft Dynamics Marketing vorhanden.</w:t>
      </w:r>
    </w:p>
    <w:p w:rsidR="00585E19" w:rsidRPr="00444B24" w:rsidRDefault="00585E19" w:rsidP="0074447C">
      <w:pPr>
        <w:pStyle w:val="ProductList-Body"/>
        <w:tabs>
          <w:tab w:val="clear" w:pos="158"/>
          <w:tab w:val="left" w:pos="360"/>
        </w:tabs>
      </w:pPr>
    </w:p>
    <w:p w:rsidR="00585E19" w:rsidRPr="00444B24" w:rsidRDefault="00585E19" w:rsidP="0074447C">
      <w:pPr>
        <w:pStyle w:val="ProductList-Body"/>
        <w:tabs>
          <w:tab w:val="clear" w:pos="158"/>
          <w:tab w:val="left" w:pos="360"/>
        </w:tabs>
      </w:pPr>
      <w:r w:rsidRPr="00444B24">
        <w:rPr>
          <w:b/>
          <w:color w:val="00188F"/>
        </w:rPr>
        <w:t>Webbenutzerprofil</w:t>
      </w:r>
    </w:p>
    <w:p w:rsidR="00585E19" w:rsidRPr="00444B24" w:rsidRDefault="00585E19" w:rsidP="0074447C">
      <w:pPr>
        <w:pStyle w:val="ProductList-Body"/>
      </w:pPr>
      <w:r w:rsidRPr="00444B24">
        <w:t>Nutzer, die als Webportalnutzer konfiguriert sind und als solche auf diesen Onlinedienst zugreifen, benötigen keine Nutzer-ALs.</w:t>
      </w:r>
    </w:p>
    <w:p w:rsidR="00585E19" w:rsidRPr="00444B24" w:rsidRDefault="00B36E70" w:rsidP="0074447C">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234095">
      <w:pPr>
        <w:pStyle w:val="ProductList-Offering2Heading"/>
        <w:outlineLvl w:val="2"/>
      </w:pPr>
      <w:r w:rsidRPr="00444B24">
        <w:tab/>
      </w:r>
      <w:bookmarkStart w:id="60" w:name="_Toc401641591"/>
      <w:r w:rsidRPr="00444B24">
        <w:t xml:space="preserve">Microsoft Social </w:t>
      </w:r>
      <w:r w:rsidR="00B36E70">
        <w:rPr>
          <w:rFonts w:cs="Arial"/>
          <w:szCs w:val="22"/>
        </w:rPr>
        <w:t>Listening</w:t>
      </w:r>
      <w:bookmarkEnd w:id="60"/>
    </w:p>
    <w:p w:rsidR="00585E19" w:rsidRPr="00A426CD" w:rsidRDefault="00585E19" w:rsidP="00234095">
      <w:pPr>
        <w:pStyle w:val="ProductList-Body"/>
        <w:rPr>
          <w:lang w:val="fr-FR"/>
        </w:rPr>
      </w:pPr>
      <w:r w:rsidRPr="00A426CD">
        <w:rPr>
          <w:rFonts w:ascii="Calibri Light" w:hAnsi="Calibri Light"/>
          <w:sz w:val="16"/>
          <w:szCs w:val="16"/>
          <w:lang w:val="fr-FR"/>
        </w:rPr>
        <w:t xml:space="preserve">Microsoft </w:t>
      </w:r>
      <w:r w:rsidR="00B36E70">
        <w:rPr>
          <w:rFonts w:ascii="Calibri Light" w:hAnsi="Calibri Light"/>
          <w:sz w:val="16"/>
          <w:szCs w:val="16"/>
          <w:lang w:val="fr-FR"/>
        </w:rPr>
        <w:t>Social Listening</w:t>
      </w:r>
      <w:r w:rsidRPr="00A426CD">
        <w:rPr>
          <w:rFonts w:ascii="Calibri Light" w:hAnsi="Calibri Light"/>
          <w:sz w:val="16"/>
          <w:szCs w:val="16"/>
          <w:lang w:val="fr-FR"/>
        </w:rPr>
        <w:t xml:space="preserve"> Professional</w:t>
      </w:r>
    </w:p>
    <w:p w:rsidR="00585E19" w:rsidRPr="00A426CD" w:rsidRDefault="00585E19" w:rsidP="00234095">
      <w:pPr>
        <w:pStyle w:val="ProductList-Body"/>
        <w:pBdr>
          <w:top w:val="single" w:sz="4" w:space="1" w:color="BFBFBF"/>
        </w:pBdr>
        <w:rPr>
          <w:sz w:val="8"/>
          <w:szCs w:val="8"/>
          <w:lang w:val="fr-FR"/>
        </w:rPr>
      </w:pPr>
    </w:p>
    <w:p w:rsidR="00585E19" w:rsidRPr="00444B24" w:rsidRDefault="00585E19" w:rsidP="00DD2927">
      <w:pPr>
        <w:pStyle w:val="ProductList-Body"/>
      </w:pPr>
      <w:r w:rsidRPr="00444B24">
        <w:rPr>
          <w:b/>
          <w:color w:val="00188F"/>
        </w:rPr>
        <w:t>Vereinbarung zum Servicelevel</w:t>
      </w:r>
    </w:p>
    <w:p w:rsidR="00585E19" w:rsidRPr="00444B24" w:rsidRDefault="00585E19" w:rsidP="00DD2927">
      <w:pPr>
        <w:pStyle w:val="ProductList-Body"/>
      </w:pPr>
      <w:r w:rsidRPr="00444B24">
        <w:t xml:space="preserve">Es ist keine SLA für Microsoft </w:t>
      </w:r>
      <w:r w:rsidR="00B36E70">
        <w:t>Social Listening</w:t>
      </w:r>
      <w:r w:rsidRPr="00444B24">
        <w:t xml:space="preserve"> vorhanden.</w:t>
      </w:r>
    </w:p>
    <w:p w:rsidR="00585E19" w:rsidRPr="00522BF1" w:rsidRDefault="00585E19" w:rsidP="00234095">
      <w:pPr>
        <w:pStyle w:val="ProductList-Body"/>
        <w:tabs>
          <w:tab w:val="clear" w:pos="158"/>
          <w:tab w:val="left" w:pos="360"/>
        </w:tabs>
        <w:rPr>
          <w:sz w:val="14"/>
        </w:rPr>
      </w:pPr>
    </w:p>
    <w:p w:rsidR="00585E19" w:rsidRPr="00444B24" w:rsidRDefault="00585E19" w:rsidP="00234095">
      <w:pPr>
        <w:pStyle w:val="ProductList-Body"/>
        <w:tabs>
          <w:tab w:val="clear" w:pos="158"/>
          <w:tab w:val="left" w:pos="360"/>
        </w:tabs>
      </w:pPr>
      <w:r w:rsidRPr="00444B24">
        <w:rPr>
          <w:b/>
          <w:color w:val="00188F"/>
        </w:rPr>
        <w:t xml:space="preserve">Beiträge aus sozialen Netzwerken erhalten durch Microsoft </w:t>
      </w:r>
      <w:r w:rsidR="00B36E70">
        <w:rPr>
          <w:b/>
          <w:color w:val="00188F"/>
        </w:rPr>
        <w:t>Social Listening</w:t>
      </w:r>
    </w:p>
    <w:p w:rsidR="00585E19" w:rsidRPr="00444B24" w:rsidRDefault="00585E19" w:rsidP="00234095">
      <w:pPr>
        <w:pStyle w:val="ProductList-Body"/>
        <w:tabs>
          <w:tab w:val="clear" w:pos="158"/>
          <w:tab w:val="left" w:pos="360"/>
        </w:tabs>
      </w:pPr>
      <w:r w:rsidRPr="00444B24">
        <w:t xml:space="preserve">„Beiträge aus sozialen Netzwerken“ sind öffentlich verfügbare Inhalte, die aus sozialen Netzwerken (wie Twitter, Facebook, YouTube) und Datenindexierungs- oder Datenaggregationsdiensten als Reaktion auf Suchabfragen von Kunden in Microsoft </w:t>
      </w:r>
      <w:r w:rsidR="00B36E70">
        <w:t>Social Listening</w:t>
      </w:r>
      <w:r w:rsidRPr="00444B24">
        <w:t xml:space="preserve"> abgerufen werden. Beiträge aus sozialen Netzwerken sind keine Kundendaten. Microsoft behält sich das Recht vor:</w:t>
      </w:r>
    </w:p>
    <w:p w:rsidR="00585E19" w:rsidRPr="00444B24" w:rsidRDefault="00585E19" w:rsidP="00967815">
      <w:pPr>
        <w:pStyle w:val="ProductList-Body"/>
        <w:numPr>
          <w:ilvl w:val="0"/>
          <w:numId w:val="13"/>
        </w:numPr>
        <w:ind w:left="461" w:hanging="274"/>
      </w:pPr>
      <w:r w:rsidRPr="00444B24">
        <w:t xml:space="preserve">Beiträge aus sozialen Netzwerken in einer Datenbank zusammen mit Inhalten, die aus anderen Quellen von anderen Lizenznehmern zusammengetragen wurden, zu speichern. </w:t>
      </w:r>
    </w:p>
    <w:p w:rsidR="00585E19" w:rsidRPr="00444B24" w:rsidRDefault="00585E19" w:rsidP="00967815">
      <w:pPr>
        <w:pStyle w:val="ProductList-Body"/>
        <w:numPr>
          <w:ilvl w:val="0"/>
          <w:numId w:val="13"/>
        </w:numPr>
        <w:spacing w:before="40"/>
        <w:ind w:left="447" w:hanging="274"/>
      </w:pPr>
      <w:r w:rsidRPr="00444B24">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585E19" w:rsidRPr="00444B24" w:rsidRDefault="00585E19" w:rsidP="00967815">
      <w:pPr>
        <w:pStyle w:val="ProductList-Body"/>
        <w:numPr>
          <w:ilvl w:val="0"/>
          <w:numId w:val="13"/>
        </w:numPr>
        <w:spacing w:before="40"/>
        <w:ind w:left="447" w:hanging="274"/>
      </w:pPr>
      <w:r w:rsidRPr="00444B24">
        <w:t>Den Kunden anzuweisen, den Beitrag aus sozialen Netzwerken zu editieren oder zu löschen, wenn der Kunde diesen Beitrag aus einem sozialen Netzwerk exportiert.</w:t>
      </w:r>
    </w:p>
    <w:p w:rsidR="00585E19" w:rsidRPr="00444B24" w:rsidRDefault="00585E19" w:rsidP="00967815">
      <w:pPr>
        <w:pStyle w:val="ProductList-Body"/>
        <w:numPr>
          <w:ilvl w:val="0"/>
          <w:numId w:val="13"/>
        </w:numPr>
        <w:spacing w:before="40"/>
        <w:ind w:left="447" w:hanging="274"/>
      </w:pPr>
      <w:r w:rsidRPr="00444B24">
        <w:t xml:space="preserve">Beiträge aus sozialen Netzwerken zu löschen oder den weiteren Zugriff darauf zu beschränken, nachdem der Onlinedienst gekündigt wurde oder ausläuft. </w:t>
      </w:r>
    </w:p>
    <w:p w:rsidR="00585E19" w:rsidRPr="00444B24" w:rsidRDefault="00B36E70" w:rsidP="00E776C5">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FC652B">
      <w:pPr>
        <w:pStyle w:val="ProductList-Offering2Heading"/>
        <w:outlineLvl w:val="2"/>
      </w:pPr>
      <w:r w:rsidRPr="00444B24">
        <w:tab/>
      </w:r>
      <w:bookmarkStart w:id="61" w:name="_Toc401641592"/>
      <w:r w:rsidRPr="00444B24">
        <w:t>Parature, von Microsoft</w:t>
      </w:r>
      <w:bookmarkEnd w:id="61"/>
    </w:p>
    <w:p w:rsidR="00585E19" w:rsidRPr="00444B24" w:rsidRDefault="00585E19" w:rsidP="00FC652B">
      <w:pPr>
        <w:pStyle w:val="ProductList-Body"/>
      </w:pPr>
      <w:r w:rsidRPr="00444B24">
        <w:rPr>
          <w:rFonts w:ascii="Calibri Light" w:hAnsi="Calibri Light"/>
          <w:sz w:val="16"/>
          <w:szCs w:val="16"/>
        </w:rPr>
        <w:t>Parature Enterprise</w:t>
      </w:r>
    </w:p>
    <w:p w:rsidR="00585E19" w:rsidRPr="008A56B4" w:rsidRDefault="00585E19" w:rsidP="00FC652B">
      <w:pPr>
        <w:pStyle w:val="ProductList-Body"/>
        <w:pBdr>
          <w:top w:val="single" w:sz="4" w:space="1" w:color="BFBFBF"/>
        </w:pBdr>
        <w:rPr>
          <w:sz w:val="8"/>
          <w:szCs w:val="8"/>
        </w:rPr>
      </w:pPr>
    </w:p>
    <w:p w:rsidR="00585E19" w:rsidRPr="00444B24" w:rsidRDefault="00585E19" w:rsidP="00FC652B">
      <w:pPr>
        <w:pStyle w:val="ProductList-Body"/>
      </w:pPr>
      <w:r w:rsidRPr="00444B24">
        <w:rPr>
          <w:b/>
          <w:color w:val="00188F"/>
        </w:rPr>
        <w:t>Vereinbarung zum Servicelevel</w:t>
      </w:r>
    </w:p>
    <w:p w:rsidR="00585E19" w:rsidRPr="00444B24" w:rsidRDefault="00585E19" w:rsidP="00FC652B">
      <w:pPr>
        <w:pStyle w:val="ProductList-Body"/>
      </w:pPr>
      <w:r w:rsidRPr="00444B24">
        <w:t>Es ist keine SLA für Parature, von Microsoft, vorhanden.</w:t>
      </w:r>
    </w:p>
    <w:p w:rsidR="00585E19" w:rsidRPr="00522BF1" w:rsidRDefault="00585E19" w:rsidP="00FC652B">
      <w:pPr>
        <w:pStyle w:val="ProductList-Body"/>
        <w:rPr>
          <w:sz w:val="14"/>
        </w:rPr>
      </w:pPr>
    </w:p>
    <w:p w:rsidR="00585E19" w:rsidRPr="00444B24" w:rsidRDefault="00585E19" w:rsidP="00FC652B">
      <w:pPr>
        <w:pStyle w:val="ProductList-Body"/>
      </w:pPr>
      <w:r w:rsidRPr="00444B24">
        <w:t>Die Kunden können Parature gemäß den Datenschutz- und/oder Sicherheitsbestimmungen unter http://www.parature.com/privacylegal/ nutzen.</w:t>
      </w:r>
    </w:p>
    <w:p w:rsidR="00585E19" w:rsidRPr="00444B24" w:rsidRDefault="00B36E70" w:rsidP="00E776C5">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D73EC5">
      <w:pPr>
        <w:pStyle w:val="ProductList-OfferingGroupHeading"/>
        <w:spacing w:after="80"/>
        <w:outlineLvl w:val="1"/>
      </w:pPr>
      <w:bookmarkStart w:id="62" w:name="_Toc401641593"/>
      <w:r w:rsidRPr="00444B24">
        <w:t>Office 365-Dienste</w:t>
      </w:r>
      <w:bookmarkEnd w:id="62"/>
    </w:p>
    <w:p w:rsidR="00585E19" w:rsidRPr="00444B24" w:rsidRDefault="00585E19" w:rsidP="000E3993">
      <w:pPr>
        <w:pStyle w:val="ProductList-Body"/>
        <w:tabs>
          <w:tab w:val="clear" w:pos="158"/>
          <w:tab w:val="left" w:pos="360"/>
        </w:tabs>
      </w:pPr>
      <w:r w:rsidRPr="00444B24">
        <w:rPr>
          <w:b/>
          <w:color w:val="00188F"/>
        </w:rPr>
        <w:t>Hinweise</w:t>
      </w:r>
    </w:p>
    <w:p w:rsidR="00585E19" w:rsidRPr="00444B24" w:rsidRDefault="00585E19" w:rsidP="000E3993">
      <w:pPr>
        <w:pStyle w:val="ProductList-Body"/>
      </w:pPr>
      <w:r w:rsidRPr="00444B24">
        <w:t xml:space="preserve">Die Hinweise zu Bing Maps in </w:t>
      </w:r>
      <w:hyperlink w:anchor="Attachment1" w:tooltip="Anhang 1" w:history="1">
        <w:r w:rsidRPr="00444B24">
          <w:rPr>
            <w:rStyle w:val="Hyperlink"/>
            <w:rFonts w:cs="Arial"/>
          </w:rPr>
          <w:t>Anhang 1</w:t>
        </w:r>
      </w:hyperlink>
      <w:r w:rsidRPr="00444B24">
        <w:t xml:space="preserve"> sind anwendbar.</w:t>
      </w:r>
    </w:p>
    <w:p w:rsidR="00585E19" w:rsidRPr="00522BF1" w:rsidRDefault="00585E19" w:rsidP="000E3993">
      <w:pPr>
        <w:pStyle w:val="ProductList-Body"/>
        <w:rPr>
          <w:sz w:val="14"/>
        </w:rPr>
      </w:pPr>
    </w:p>
    <w:p w:rsidR="00585E19" w:rsidRPr="00154BA3" w:rsidRDefault="00585E19" w:rsidP="009427A1">
      <w:pPr>
        <w:pStyle w:val="ProductList-Body"/>
      </w:pPr>
      <w:bookmarkStart w:id="63" w:name="CoreFeaturesforOffice365Services"/>
      <w:r w:rsidRPr="008E1564">
        <w:rPr>
          <w:b/>
          <w:color w:val="00188F"/>
        </w:rPr>
        <w:t xml:space="preserve">Core </w:t>
      </w:r>
      <w:r w:rsidRPr="00154BA3">
        <w:rPr>
          <w:b/>
          <w:color w:val="00188F"/>
        </w:rPr>
        <w:t>Feature der Office 365-Dienste</w:t>
      </w:r>
    </w:p>
    <w:bookmarkEnd w:id="63"/>
    <w:p w:rsidR="00585E19" w:rsidRPr="00444B24" w:rsidRDefault="00585E19" w:rsidP="009427A1">
      <w:pPr>
        <w:pStyle w:val="ProductList-Body"/>
      </w:pPr>
      <w:r w:rsidRPr="00444B24">
        <w:t>Während der Laufzeit des Kundenabonnements entsprechen die Office 365-Dienste im</w:t>
      </w:r>
      <w:r>
        <w:t xml:space="preserve"> Wesentlichen </w:t>
      </w:r>
      <w:r w:rsidRPr="00444B24">
        <w:t xml:space="preserve">der Beschreibung der </w:t>
      </w:r>
      <w:r>
        <w:t xml:space="preserve">Core </w:t>
      </w:r>
      <w:r w:rsidRPr="00444B24">
        <w:t>Feature in den nachstehenden Office 365</w:t>
      </w:r>
      <w:r>
        <w:t>-spezifischen Abschnitten</w:t>
      </w:r>
      <w:r w:rsidRPr="00444B24">
        <w:t>, vorbehaltlich der Produkteinschränkungen oder externer Faktoren (wie z. B. Empfänger, Nachrichtenrate,</w:t>
      </w:r>
      <w:r w:rsidRPr="00A07D2C">
        <w:t xml:space="preserve"> </w:t>
      </w:r>
      <w:r w:rsidRPr="00444B24">
        <w:t>Beschränkung</w:t>
      </w:r>
      <w:r>
        <w:t xml:space="preserve"> der</w:t>
      </w:r>
      <w:r w:rsidRPr="00444B24">
        <w:t xml:space="preserve"> Nachrichtengröße</w:t>
      </w:r>
      <w:r>
        <w:t xml:space="preserve"> und</w:t>
      </w:r>
      <w:r w:rsidRPr="00444B24">
        <w:t xml:space="preserve"> der Postfachgröße für E-Mails, standardmäßige oder vom Kunden auferlegte</w:t>
      </w:r>
      <w:r>
        <w:t xml:space="preserve"> Richtlinien für die Datenaufbewahrung</w:t>
      </w:r>
      <w:r w:rsidRPr="00444B24">
        <w:t>, Suchbeschränkungen, Speicherbeschränkungen, Kunden- oder Endbenutzerkonfigurationen und</w:t>
      </w:r>
      <w:r>
        <w:t> </w:t>
      </w:r>
      <w:r w:rsidRPr="00444B24">
        <w:t xml:space="preserve">Einschränkungen </w:t>
      </w:r>
      <w:r w:rsidRPr="00154BA3">
        <w:t>der Meeting-Kapazität ). Microsoft ist nur dazu berechtigt, eine unten aufgeführte Funktion dauerhaft einzustellen</w:t>
      </w:r>
      <w:r w:rsidRPr="00444B24">
        <w:t>, sofern sie</w:t>
      </w:r>
      <w:r>
        <w:t> </w:t>
      </w:r>
      <w:r w:rsidRPr="00444B24">
        <w:t>dem Kunden eine vernünftige alternative Funktion bereitstellt.</w:t>
      </w:r>
    </w:p>
    <w:p w:rsidR="00585E19" w:rsidRPr="00522BF1" w:rsidRDefault="00585E19" w:rsidP="009427A1">
      <w:pPr>
        <w:pStyle w:val="ProductList-Body"/>
        <w:rPr>
          <w:sz w:val="14"/>
        </w:rPr>
      </w:pPr>
    </w:p>
    <w:p w:rsidR="00585E19" w:rsidRPr="00444B24" w:rsidRDefault="00585E19" w:rsidP="00F750CE">
      <w:pPr>
        <w:pStyle w:val="ProductList-Body"/>
        <w:tabs>
          <w:tab w:val="clear" w:pos="158"/>
          <w:tab w:val="left" w:pos="360"/>
        </w:tabs>
        <w:ind w:left="180"/>
      </w:pPr>
      <w:r w:rsidRPr="00444B24">
        <w:rPr>
          <w:b/>
          <w:color w:val="0072C6"/>
        </w:rPr>
        <w:t>Verwaltungsportal</w:t>
      </w:r>
    </w:p>
    <w:p w:rsidR="00585E19" w:rsidRPr="00444B24" w:rsidRDefault="00585E19" w:rsidP="00F750CE">
      <w:pPr>
        <w:pStyle w:val="ProductList-Body"/>
        <w:tabs>
          <w:tab w:val="clear" w:pos="158"/>
          <w:tab w:val="left" w:pos="360"/>
        </w:tabs>
        <w:ind w:left="180"/>
      </w:pPr>
      <w:r w:rsidRPr="00444B24">
        <w:t>Der Kunde kann über das Microsoft Online</w:t>
      </w:r>
      <w:r>
        <w:t>dienste</w:t>
      </w:r>
      <w:r w:rsidRPr="00444B24">
        <w:t>-Portal oder die zugehörige Folgewebsite Endbenutzer und Domains hinzufügen und entfernen, Lizenzen verwalten und Gruppen erstellen.</w:t>
      </w:r>
    </w:p>
    <w:p w:rsidR="00585E19" w:rsidRPr="00522BF1" w:rsidRDefault="00585E19" w:rsidP="009427A1">
      <w:pPr>
        <w:pStyle w:val="ProductList-Body"/>
        <w:rPr>
          <w:sz w:val="14"/>
        </w:rPr>
      </w:pPr>
    </w:p>
    <w:p w:rsidR="00585E19" w:rsidRPr="00444B24" w:rsidRDefault="00585E19" w:rsidP="004A2A95">
      <w:pPr>
        <w:pStyle w:val="ProductList-Body"/>
        <w:tabs>
          <w:tab w:val="clear" w:pos="158"/>
          <w:tab w:val="left" w:pos="180"/>
        </w:tabs>
      </w:pPr>
      <w:r w:rsidRPr="00444B24">
        <w:rPr>
          <w:b/>
          <w:color w:val="00188F"/>
        </w:rPr>
        <w:t>Abonnementlizenz</w:t>
      </w:r>
      <w:r>
        <w:rPr>
          <w:b/>
          <w:color w:val="00188F"/>
        </w:rPr>
        <w:t xml:space="preserve">en für </w:t>
      </w:r>
      <w:r w:rsidRPr="00444B24">
        <w:rPr>
          <w:b/>
          <w:color w:val="00188F"/>
        </w:rPr>
        <w:t>Suites</w:t>
      </w:r>
    </w:p>
    <w:p w:rsidR="00585E19" w:rsidRPr="00444B24" w:rsidRDefault="00585E19" w:rsidP="004A2A95">
      <w:pPr>
        <w:pStyle w:val="ProductList-Body"/>
        <w:tabs>
          <w:tab w:val="clear" w:pos="158"/>
          <w:tab w:val="left" w:pos="180"/>
        </w:tabs>
      </w:pPr>
      <w:r w:rsidRPr="00444B24">
        <w:t>Neben den Nutzer-ALs,</w:t>
      </w:r>
      <w:r>
        <w:t xml:space="preserve"> finden Sie in </w:t>
      </w:r>
      <w:hyperlink w:anchor="Attachment2" w:tooltip="Anhang 2" w:history="1">
        <w:r w:rsidRPr="00444B24">
          <w:rPr>
            <w:rStyle w:val="Hyperlink"/>
            <w:rFonts w:cs="Arial"/>
          </w:rPr>
          <w:t>Anhang 2</w:t>
        </w:r>
      </w:hyperlink>
      <w:r w:rsidRPr="00444B24">
        <w:t xml:space="preserve"> weitere ALs</w:t>
      </w:r>
      <w:r>
        <w:t>, die</w:t>
      </w:r>
      <w:r w:rsidRPr="00444B24">
        <w:t xml:space="preserve"> die Anforderungen für Exchange Online Plan 1 und 2, Lync Online Plan 1 und 2 und SharePoint Online Plan 1 und 2</w:t>
      </w:r>
      <w:r>
        <w:t xml:space="preserve"> erfüllen</w:t>
      </w:r>
      <w:r w:rsidRPr="00444B24">
        <w:t>.</w:t>
      </w:r>
    </w:p>
    <w:p w:rsidR="00585E19" w:rsidRPr="00522BF1" w:rsidRDefault="00585E19" w:rsidP="004A2A95">
      <w:pPr>
        <w:pStyle w:val="ProductList-Body"/>
        <w:rPr>
          <w:sz w:val="14"/>
        </w:rPr>
      </w:pPr>
    </w:p>
    <w:p w:rsidR="00585E19" w:rsidRPr="00444B24" w:rsidRDefault="00585E19" w:rsidP="00D73EC5">
      <w:pPr>
        <w:pStyle w:val="ProductList-Offering2Heading"/>
        <w:outlineLvl w:val="2"/>
      </w:pPr>
      <w:r w:rsidRPr="00444B24">
        <w:tab/>
      </w:r>
      <w:bookmarkStart w:id="64" w:name="_Toc401641594"/>
      <w:r w:rsidRPr="00444B24">
        <w:t>Exchange Online</w:t>
      </w:r>
      <w:bookmarkEnd w:id="64"/>
    </w:p>
    <w:p w:rsidR="00585E19" w:rsidRPr="00444B24" w:rsidRDefault="00585E19" w:rsidP="004E52BA">
      <w:pPr>
        <w:pStyle w:val="ProductList-Offering1"/>
        <w:sectPr w:rsidR="00585E19" w:rsidRPr="00444B24" w:rsidSect="00E275D6">
          <w:type w:val="continuous"/>
          <w:pgSz w:w="12240" w:h="15840"/>
          <w:pgMar w:top="1440" w:right="720" w:bottom="1440" w:left="720" w:header="720" w:footer="720" w:gutter="0"/>
          <w:cols w:space="720"/>
          <w:titlePg/>
          <w:docGrid w:linePitch="360"/>
        </w:sectPr>
      </w:pPr>
    </w:p>
    <w:p w:rsidR="00585E19" w:rsidRPr="00444B24" w:rsidRDefault="00585E19" w:rsidP="00EF1E73">
      <w:pPr>
        <w:pStyle w:val="ProductList-Body"/>
      </w:pPr>
      <w:r w:rsidRPr="00444B24">
        <w:rPr>
          <w:rFonts w:ascii="Calibri Light" w:hAnsi="Calibri Light"/>
          <w:sz w:val="16"/>
          <w:szCs w:val="16"/>
        </w:rPr>
        <w:t>Vermeidung von Datenverlusten</w:t>
      </w:r>
    </w:p>
    <w:p w:rsidR="00585E19" w:rsidRPr="00444B24" w:rsidRDefault="00585E19" w:rsidP="00EF1E73">
      <w:pPr>
        <w:pStyle w:val="ProductList-Body"/>
      </w:pPr>
      <w:r w:rsidRPr="00444B24">
        <w:rPr>
          <w:rFonts w:ascii="Calibri Light" w:hAnsi="Calibri Light"/>
          <w:sz w:val="16"/>
          <w:szCs w:val="16"/>
        </w:rPr>
        <w:t>Exchange Online-Archivierung für Exchange Online</w:t>
      </w:r>
    </w:p>
    <w:p w:rsidR="00585E19" w:rsidRPr="00444B24" w:rsidRDefault="00585E19" w:rsidP="00EF1E73">
      <w:pPr>
        <w:pStyle w:val="ProductList-Body"/>
      </w:pPr>
      <w:r w:rsidRPr="00444B24">
        <w:rPr>
          <w:rFonts w:ascii="Calibri Light" w:hAnsi="Calibri Light"/>
          <w:sz w:val="16"/>
          <w:szCs w:val="16"/>
        </w:rPr>
        <w:t>Exchange Online-Archivierung für Exchange Server</w:t>
      </w:r>
    </w:p>
    <w:p w:rsidR="00585E19" w:rsidRPr="00444B24" w:rsidRDefault="00585E19" w:rsidP="00EF1E73">
      <w:pPr>
        <w:pStyle w:val="ProductList-Body"/>
      </w:pPr>
      <w:r w:rsidRPr="00444B24">
        <w:rPr>
          <w:rFonts w:ascii="Calibri Light" w:hAnsi="Calibri Light"/>
          <w:sz w:val="16"/>
          <w:szCs w:val="16"/>
        </w:rPr>
        <w:t>Exchange Online Kiosk</w:t>
      </w:r>
    </w:p>
    <w:p w:rsidR="00585E19" w:rsidRPr="00444B24" w:rsidRDefault="00585E19" w:rsidP="00EF1E73">
      <w:pPr>
        <w:pStyle w:val="ProductList-Body"/>
      </w:pPr>
      <w:r w:rsidRPr="00444B24">
        <w:rPr>
          <w:rFonts w:ascii="Calibri Light" w:hAnsi="Calibri Light"/>
          <w:sz w:val="16"/>
          <w:szCs w:val="16"/>
        </w:rPr>
        <w:t>Exchange Online Plan 1</w:t>
      </w:r>
    </w:p>
    <w:p w:rsidR="00585E19" w:rsidRPr="00444B24" w:rsidRDefault="00585E19" w:rsidP="00EF1E73">
      <w:pPr>
        <w:pStyle w:val="ProductList-Body"/>
      </w:pPr>
      <w:r w:rsidRPr="00444B24">
        <w:rPr>
          <w:rFonts w:ascii="Calibri Light" w:hAnsi="Calibri Light"/>
          <w:sz w:val="16"/>
          <w:szCs w:val="16"/>
        </w:rPr>
        <w:t>Exchange Online Plan 2</w:t>
      </w:r>
    </w:p>
    <w:p w:rsidR="00585E19" w:rsidRPr="00444B24" w:rsidRDefault="00585E19" w:rsidP="00E93FD0">
      <w:pPr>
        <w:pStyle w:val="ProductList-Offering2"/>
        <w:sectPr w:rsidR="00585E19" w:rsidRPr="00444B24" w:rsidSect="00E275D6">
          <w:type w:val="continuous"/>
          <w:pgSz w:w="12240" w:h="15840"/>
          <w:pgMar w:top="1440" w:right="720" w:bottom="1440" w:left="720" w:header="720" w:footer="720" w:gutter="0"/>
          <w:cols w:num="2" w:space="720"/>
          <w:titlePg/>
          <w:docGrid w:linePitch="360"/>
        </w:sectPr>
      </w:pPr>
    </w:p>
    <w:p w:rsidR="00585E19" w:rsidRPr="007F35EE" w:rsidRDefault="00585E19" w:rsidP="00123E7D">
      <w:pPr>
        <w:pStyle w:val="ProductList-Body"/>
        <w:pBdr>
          <w:top w:val="single" w:sz="4" w:space="1" w:color="BFBFBF"/>
        </w:pBdr>
        <w:rPr>
          <w:sz w:val="8"/>
          <w:szCs w:val="8"/>
        </w:rPr>
      </w:pPr>
    </w:p>
    <w:p w:rsidR="00585E19" w:rsidRPr="00AE2FFA" w:rsidRDefault="00585E19" w:rsidP="001A19E0">
      <w:pPr>
        <w:pStyle w:val="ProductList-Body"/>
      </w:pPr>
      <w:r w:rsidRPr="008E1564">
        <w:rPr>
          <w:b/>
          <w:color w:val="00188F"/>
        </w:rPr>
        <w:t xml:space="preserve">Core </w:t>
      </w:r>
      <w:r w:rsidRPr="00AE2FFA">
        <w:rPr>
          <w:b/>
          <w:color w:val="00188F"/>
        </w:rPr>
        <w:t>Feature der Office 365-Dienste – Exchange Online</w:t>
      </w:r>
    </w:p>
    <w:p w:rsidR="00585E19" w:rsidRPr="00444B24" w:rsidRDefault="00585E19" w:rsidP="001A19E0">
      <w:pPr>
        <w:pStyle w:val="ProductList-Body"/>
      </w:pPr>
      <w:r w:rsidRPr="00444B24">
        <w:t xml:space="preserve">Exchange Online oder entsprechende Nachfolgedienste verfügen über die folgenden </w:t>
      </w:r>
      <w:hyperlink w:anchor="CoreFeaturesforOffice365Services" w:history="1">
        <w:r>
          <w:rPr>
            <w:rStyle w:val="Hyperlink"/>
            <w:rFonts w:cs="Arial"/>
          </w:rPr>
          <w:t xml:space="preserve">Core </w:t>
        </w:r>
        <w:r w:rsidRPr="00444B24">
          <w:rPr>
            <w:rStyle w:val="Hyperlink"/>
            <w:rFonts w:cs="Arial"/>
          </w:rPr>
          <w:t>Feature</w:t>
        </w:r>
      </w:hyperlink>
      <w:r w:rsidRPr="00444B24">
        <w:t>-Funktionen:</w:t>
      </w:r>
    </w:p>
    <w:p w:rsidR="00585E19" w:rsidRPr="00444B24" w:rsidRDefault="00585E19" w:rsidP="001A19E0">
      <w:pPr>
        <w:pStyle w:val="ProductList-Body"/>
      </w:pPr>
    </w:p>
    <w:p w:rsidR="00585E19" w:rsidRPr="00444B24" w:rsidRDefault="00585E19" w:rsidP="001A19E0">
      <w:pPr>
        <w:pStyle w:val="ProductList-Body"/>
        <w:ind w:left="180"/>
      </w:pPr>
      <w:r w:rsidRPr="00444B24">
        <w:rPr>
          <w:b/>
          <w:color w:val="0072C6"/>
        </w:rPr>
        <w:t>E-Mails</w:t>
      </w:r>
    </w:p>
    <w:p w:rsidR="00585E19" w:rsidRPr="00444B24" w:rsidRDefault="00585E19" w:rsidP="001A19E0">
      <w:pPr>
        <w:pStyle w:val="ProductList-Body"/>
        <w:ind w:left="180"/>
      </w:pPr>
      <w:r w:rsidRPr="00444B24">
        <w:t>Ein Endbenutzer kann E-Mails senden und empfangen, die von</w:t>
      </w:r>
      <w:r>
        <w:t xml:space="preserve"> intern </w:t>
      </w:r>
      <w:r w:rsidRPr="00444B24">
        <w:t>oder</w:t>
      </w:r>
      <w:r>
        <w:t xml:space="preserve"> extern bezogen auf das Unternehmen des Kunden </w:t>
      </w:r>
      <w:r w:rsidRPr="00444B24">
        <w:t>stammen, und kann auf das Postfach des Endbenutzers zugreifen.</w:t>
      </w:r>
    </w:p>
    <w:p w:rsidR="00585E19" w:rsidRPr="00444B24" w:rsidRDefault="00585E19" w:rsidP="001A19E0">
      <w:pPr>
        <w:pStyle w:val="ProductList-Body"/>
        <w:ind w:left="180"/>
      </w:pPr>
    </w:p>
    <w:p w:rsidR="00585E19" w:rsidRPr="00444B24" w:rsidRDefault="00585E19" w:rsidP="001A19E0">
      <w:pPr>
        <w:pStyle w:val="ProductList-Body"/>
        <w:ind w:left="180"/>
      </w:pPr>
      <w:r>
        <w:rPr>
          <w:b/>
          <w:color w:val="0072C6"/>
        </w:rPr>
        <w:t xml:space="preserve">Mobiler </w:t>
      </w:r>
      <w:r w:rsidRPr="00444B24">
        <w:rPr>
          <w:b/>
          <w:color w:val="0072C6"/>
        </w:rPr>
        <w:t xml:space="preserve">Zugriff </w:t>
      </w:r>
      <w:r>
        <w:rPr>
          <w:b/>
          <w:color w:val="0072C6"/>
        </w:rPr>
        <w:t xml:space="preserve">und Zugriff </w:t>
      </w:r>
      <w:r w:rsidRPr="00444B24">
        <w:rPr>
          <w:b/>
          <w:color w:val="0072C6"/>
        </w:rPr>
        <w:t>auf den Webbrowser</w:t>
      </w:r>
    </w:p>
    <w:p w:rsidR="00585E19" w:rsidRPr="00DC68DD" w:rsidRDefault="00585E19" w:rsidP="001A19E0">
      <w:pPr>
        <w:pStyle w:val="ProductList-Body"/>
        <w:ind w:left="180"/>
      </w:pPr>
      <w:r w:rsidRPr="00DC68DD">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585E19" w:rsidRPr="00444B24" w:rsidRDefault="00585E19" w:rsidP="001A19E0">
      <w:pPr>
        <w:pStyle w:val="ProductList-Body"/>
        <w:ind w:left="180"/>
      </w:pPr>
    </w:p>
    <w:p w:rsidR="00585E19" w:rsidRPr="00444B24" w:rsidRDefault="00585E19" w:rsidP="001A19E0">
      <w:pPr>
        <w:pStyle w:val="ProductList-Body"/>
        <w:ind w:left="180"/>
      </w:pPr>
      <w:r w:rsidRPr="00444B24">
        <w:rPr>
          <w:b/>
          <w:color w:val="0072C6"/>
        </w:rPr>
        <w:t>Aufbewahrungsrichtlinien</w:t>
      </w:r>
    </w:p>
    <w:p w:rsidR="00585E19" w:rsidRPr="00444B24" w:rsidRDefault="00585E19" w:rsidP="001A19E0">
      <w:pPr>
        <w:pStyle w:val="ProductList-Body"/>
        <w:ind w:left="180"/>
      </w:pPr>
      <w:r w:rsidRPr="00444B24">
        <w:t>Der Kunde kann Richtlinien für die Archivierung und Löschung von E-Mail-Nachrichten verfassen.</w:t>
      </w:r>
    </w:p>
    <w:p w:rsidR="00585E19" w:rsidRPr="00444B24" w:rsidRDefault="00585E19" w:rsidP="001A19E0">
      <w:pPr>
        <w:pStyle w:val="ProductList-Body"/>
        <w:ind w:left="180"/>
      </w:pPr>
    </w:p>
    <w:p w:rsidR="00585E19" w:rsidRPr="00444B24" w:rsidRDefault="00585E19" w:rsidP="001A19E0">
      <w:pPr>
        <w:pStyle w:val="ProductList-Body"/>
        <w:ind w:left="180"/>
      </w:pPr>
      <w:r>
        <w:rPr>
          <w:b/>
          <w:color w:val="0072C6"/>
        </w:rPr>
        <w:t>Wiederherstellung g</w:t>
      </w:r>
      <w:r w:rsidRPr="00444B24">
        <w:rPr>
          <w:b/>
          <w:color w:val="0072C6"/>
        </w:rPr>
        <w:t>elöschte</w:t>
      </w:r>
      <w:r>
        <w:rPr>
          <w:b/>
          <w:color w:val="0072C6"/>
        </w:rPr>
        <w:t>r</w:t>
      </w:r>
      <w:r w:rsidRPr="00444B24">
        <w:rPr>
          <w:b/>
          <w:color w:val="0072C6"/>
        </w:rPr>
        <w:t xml:space="preserve"> Elemente und Postfachwiederherstellung</w:t>
      </w:r>
    </w:p>
    <w:p w:rsidR="00585E19" w:rsidRPr="00444B24" w:rsidRDefault="00585E19" w:rsidP="001A19E0">
      <w:pPr>
        <w:pStyle w:val="ProductList-Body"/>
        <w:ind w:left="180"/>
      </w:pPr>
      <w:r w:rsidRPr="00444B24">
        <w:t xml:space="preserve">Der Kunde kann die Inhalte eines gelöschten, nicht freigegebenen Postfachs wiederherstellen, und ein Endbenutzer </w:t>
      </w:r>
      <w:r>
        <w:t>kann</w:t>
      </w:r>
      <w:r w:rsidRPr="00444B24">
        <w:t xml:space="preserve"> ein Element, das aus einem E-Mail-Ordner des Endbenutzers gelöscht wurde, wiederherstellen.</w:t>
      </w:r>
    </w:p>
    <w:p w:rsidR="00585E19" w:rsidRPr="00444B24" w:rsidRDefault="00585E19" w:rsidP="001A19E0">
      <w:pPr>
        <w:pStyle w:val="ProductList-Body"/>
        <w:ind w:left="180"/>
      </w:pPr>
    </w:p>
    <w:p w:rsidR="00585E19" w:rsidRPr="00444B24" w:rsidRDefault="00585E19" w:rsidP="001A19E0">
      <w:pPr>
        <w:pStyle w:val="ProductList-Body"/>
        <w:ind w:left="180"/>
      </w:pPr>
      <w:r w:rsidRPr="00444B24">
        <w:rPr>
          <w:b/>
          <w:color w:val="0072C6"/>
        </w:rPr>
        <w:t>Postfachübergreifende Suche</w:t>
      </w:r>
    </w:p>
    <w:p w:rsidR="00585E19" w:rsidRPr="00444B24" w:rsidRDefault="00585E19" w:rsidP="001A19E0">
      <w:pPr>
        <w:pStyle w:val="ProductList-Body"/>
        <w:ind w:left="180"/>
      </w:pPr>
      <w:r w:rsidRPr="00444B24">
        <w:t>Der Kunde kann in mehreren Postfächern innerhalb seines Unternehmens nach Inhalten suchen.</w:t>
      </w:r>
    </w:p>
    <w:p w:rsidR="00585E19" w:rsidRPr="00444B24" w:rsidRDefault="00585E19" w:rsidP="001A19E0">
      <w:pPr>
        <w:pStyle w:val="ProductList-Body"/>
        <w:ind w:left="180"/>
      </w:pPr>
    </w:p>
    <w:p w:rsidR="00585E19" w:rsidRPr="00444B24" w:rsidRDefault="00585E19" w:rsidP="001A19E0">
      <w:pPr>
        <w:pStyle w:val="ProductList-Body"/>
        <w:ind w:left="180"/>
      </w:pPr>
      <w:r w:rsidRPr="00444B24">
        <w:rPr>
          <w:b/>
          <w:color w:val="0072C6"/>
        </w:rPr>
        <w:t>Kalender</w:t>
      </w:r>
    </w:p>
    <w:p w:rsidR="00585E19" w:rsidRPr="00444B24" w:rsidRDefault="00585E19" w:rsidP="001A19E0">
      <w:pPr>
        <w:pStyle w:val="ProductList-Body"/>
        <w:ind w:left="180"/>
      </w:pPr>
      <w:r w:rsidRPr="00444B24">
        <w:t>Ein Endbenutzer kann einen Kalender anzeigen und Termine, Besprechungen und automatische Antworten auf eingehende E-Mail-Nachrichten festlegen.</w:t>
      </w:r>
    </w:p>
    <w:p w:rsidR="00585E19" w:rsidRPr="00444B24" w:rsidRDefault="00585E19" w:rsidP="001A19E0">
      <w:pPr>
        <w:pStyle w:val="ProductList-Body"/>
        <w:ind w:left="180"/>
      </w:pPr>
    </w:p>
    <w:p w:rsidR="00585E19" w:rsidRPr="00444B24" w:rsidRDefault="00585E19" w:rsidP="001A19E0">
      <w:pPr>
        <w:pStyle w:val="ProductList-Body"/>
        <w:ind w:left="180"/>
      </w:pPr>
      <w:r w:rsidRPr="00444B24">
        <w:rPr>
          <w:b/>
          <w:color w:val="0072C6"/>
        </w:rPr>
        <w:t>Kontaktpersonen</w:t>
      </w:r>
    </w:p>
    <w:p w:rsidR="00585E19" w:rsidRPr="00444B24" w:rsidRDefault="00585E19" w:rsidP="001A19E0">
      <w:pPr>
        <w:pStyle w:val="ProductList-Body"/>
        <w:ind w:left="180"/>
      </w:pPr>
      <w:r w:rsidRPr="00444B24">
        <w:t>Über eine durch Exchange Online bereitgestellte Benutzeroberfläche kann der Kunde Verteilergruppen und ein unternehmensweites Verzeichnis von Endbenutzern</w:t>
      </w:r>
      <w:r>
        <w:t xml:space="preserve"> mit E-Mail-Adresse</w:t>
      </w:r>
      <w:r w:rsidRPr="00444B24">
        <w:t>, Verteilergruppen und externen Kontakten erstellen und verwalten.</w:t>
      </w:r>
    </w:p>
    <w:p w:rsidR="00585E19" w:rsidRPr="00444B24" w:rsidRDefault="00585E19" w:rsidP="001A19E0">
      <w:pPr>
        <w:pStyle w:val="ProductList-Body"/>
      </w:pPr>
    </w:p>
    <w:p w:rsidR="00585E19" w:rsidRPr="00444B24" w:rsidRDefault="00585E19" w:rsidP="00DC0A1F">
      <w:pPr>
        <w:pStyle w:val="ProductList-Body"/>
      </w:pPr>
      <w:r>
        <w:rPr>
          <w:b/>
          <w:color w:val="00188F"/>
        </w:rPr>
        <w:t xml:space="preserve">Core </w:t>
      </w:r>
      <w:r w:rsidRPr="00444B24">
        <w:rPr>
          <w:b/>
          <w:color w:val="00188F"/>
        </w:rPr>
        <w:t>Feature der Office 365-Dienste – Exchange Online-Archivierung</w:t>
      </w:r>
    </w:p>
    <w:p w:rsidR="00585E19" w:rsidRPr="00444B24" w:rsidRDefault="00585E19" w:rsidP="00BE6471">
      <w:pPr>
        <w:pStyle w:val="ProductList-Body"/>
      </w:pPr>
      <w:r w:rsidRPr="00444B24">
        <w:t>Exchange Online</w:t>
      </w:r>
      <w:r>
        <w:t>-Archivierung</w:t>
      </w:r>
      <w:r w:rsidRPr="00444B24">
        <w:t xml:space="preserve"> oder entsprechende Nachfolgedienste verfügen über die folgenden </w:t>
      </w:r>
      <w:hyperlink w:anchor="CoreFeaturesforOffice365Services" w:history="1">
        <w:r>
          <w:rPr>
            <w:rStyle w:val="Hyperlink"/>
            <w:rFonts w:cs="Arial"/>
          </w:rPr>
          <w:t xml:space="preserve">Core </w:t>
        </w:r>
        <w:r w:rsidRPr="00444B24">
          <w:rPr>
            <w:rStyle w:val="Hyperlink"/>
            <w:rFonts w:cs="Arial"/>
          </w:rPr>
          <w:t>Feature</w:t>
        </w:r>
      </w:hyperlink>
      <w:r w:rsidRPr="00444B24">
        <w:t>-Funktionen:</w:t>
      </w:r>
    </w:p>
    <w:p w:rsidR="00585E19" w:rsidRPr="00444B24" w:rsidRDefault="00585E19" w:rsidP="00DC0A1F">
      <w:pPr>
        <w:pStyle w:val="ProductList-Body"/>
      </w:pPr>
    </w:p>
    <w:p w:rsidR="00585E19" w:rsidRPr="00444B24" w:rsidRDefault="00585E19" w:rsidP="00ED50E6">
      <w:pPr>
        <w:pStyle w:val="ProductList-Body"/>
        <w:ind w:left="180"/>
      </w:pPr>
      <w:r w:rsidRPr="00444B24">
        <w:rPr>
          <w:b/>
          <w:color w:val="0072C6"/>
        </w:rPr>
        <w:t>Speicher</w:t>
      </w:r>
    </w:p>
    <w:p w:rsidR="00585E19" w:rsidRPr="00444B24" w:rsidRDefault="00585E19" w:rsidP="00ED50E6">
      <w:pPr>
        <w:pStyle w:val="ProductList-Body"/>
        <w:ind w:left="180"/>
      </w:pPr>
      <w:r w:rsidRPr="00444B24">
        <w:t>Der Kunde kann es einem Endbenutzer ermöglichen, E-Mail-Nachrichten zu speichern.</w:t>
      </w:r>
    </w:p>
    <w:p w:rsidR="00585E19" w:rsidRPr="00444B24" w:rsidRDefault="00585E19" w:rsidP="00ED50E6">
      <w:pPr>
        <w:pStyle w:val="ProductList-Body"/>
        <w:ind w:left="180"/>
      </w:pPr>
    </w:p>
    <w:p w:rsidR="00585E19" w:rsidRPr="00444B24" w:rsidRDefault="00585E19" w:rsidP="00ED50E6">
      <w:pPr>
        <w:pStyle w:val="ProductList-Body"/>
        <w:ind w:left="180"/>
      </w:pPr>
      <w:r w:rsidRPr="00444B24">
        <w:rPr>
          <w:b/>
          <w:color w:val="0072C6"/>
        </w:rPr>
        <w:t>Aufbewahrungsrichtlinien</w:t>
      </w:r>
    </w:p>
    <w:p w:rsidR="00585E19" w:rsidRPr="00444B24" w:rsidRDefault="00585E19" w:rsidP="00ED50E6">
      <w:pPr>
        <w:pStyle w:val="ProductList-Body"/>
        <w:ind w:left="180"/>
      </w:pPr>
      <w:r w:rsidRPr="00444B24">
        <w:t>Der Kunde kann Richtlinien für die Archivierung und Löschung von E-Mail-Nachrichten verfassen, die sich von jenen Richtlinien unterscheiden, die ein Endbenutzer auf sein eigenes Postfach anwenden kann.</w:t>
      </w:r>
    </w:p>
    <w:p w:rsidR="00585E19" w:rsidRPr="00444B24" w:rsidRDefault="00585E19" w:rsidP="00ED50E6">
      <w:pPr>
        <w:pStyle w:val="ProductList-Body"/>
        <w:ind w:left="180"/>
      </w:pPr>
    </w:p>
    <w:p w:rsidR="00585E19" w:rsidRPr="00444B24" w:rsidRDefault="00585E19" w:rsidP="00ED50E6">
      <w:pPr>
        <w:pStyle w:val="ProductList-Body"/>
        <w:ind w:left="180"/>
      </w:pPr>
      <w:r>
        <w:rPr>
          <w:b/>
          <w:color w:val="0072C6"/>
        </w:rPr>
        <w:t>Wiederherstellung g</w:t>
      </w:r>
      <w:r w:rsidRPr="00444B24">
        <w:rPr>
          <w:b/>
          <w:color w:val="0072C6"/>
        </w:rPr>
        <w:t>elöschte</w:t>
      </w:r>
      <w:r>
        <w:rPr>
          <w:b/>
          <w:color w:val="0072C6"/>
        </w:rPr>
        <w:t>r</w:t>
      </w:r>
      <w:r w:rsidRPr="00444B24">
        <w:rPr>
          <w:b/>
          <w:color w:val="0072C6"/>
        </w:rPr>
        <w:t xml:space="preserve"> Elemente und Postfachwiederherstellung</w:t>
      </w:r>
    </w:p>
    <w:p w:rsidR="00585E19" w:rsidRPr="00444B24" w:rsidRDefault="00585E19" w:rsidP="00ED50E6">
      <w:pPr>
        <w:pStyle w:val="ProductList-Body"/>
        <w:ind w:left="180"/>
      </w:pPr>
      <w:r w:rsidRPr="00444B24">
        <w:t>Der Kunde kann mittels Office 365-Support</w:t>
      </w:r>
      <w:r>
        <w:t xml:space="preserve">services </w:t>
      </w:r>
      <w:r w:rsidRPr="00444B24">
        <w:t>ein gelöschtes, archiviertes Postfach wiederherstellen, und ein Endbenutzer</w:t>
      </w:r>
      <w:r>
        <w:t xml:space="preserve"> kann </w:t>
      </w:r>
      <w:r w:rsidRPr="00444B24">
        <w:t>ein Element, das aus einem E-Mail-Ordner des Endbenutzers gelöscht wurde, im Archiv des Endbenutzers wiederherstellen.</w:t>
      </w:r>
    </w:p>
    <w:p w:rsidR="00585E19" w:rsidRPr="00444B24" w:rsidRDefault="00585E19" w:rsidP="00ED50E6">
      <w:pPr>
        <w:pStyle w:val="ProductList-Body"/>
        <w:ind w:left="180"/>
      </w:pPr>
    </w:p>
    <w:p w:rsidR="00585E19" w:rsidRPr="00444B24" w:rsidRDefault="00585E19" w:rsidP="00ED50E6">
      <w:pPr>
        <w:pStyle w:val="ProductList-Body"/>
        <w:ind w:left="180"/>
      </w:pPr>
      <w:r w:rsidRPr="00444B24">
        <w:rPr>
          <w:b/>
          <w:color w:val="0072C6"/>
        </w:rPr>
        <w:t>Postfachübergreifende Suche</w:t>
      </w:r>
    </w:p>
    <w:p w:rsidR="00585E19" w:rsidRPr="00444B24" w:rsidRDefault="00585E19" w:rsidP="00ED50E6">
      <w:pPr>
        <w:pStyle w:val="ProductList-Body"/>
        <w:ind w:left="180"/>
      </w:pPr>
      <w:r w:rsidRPr="00444B24">
        <w:t>Der Kunde kann in mehreren Postfächern innerhalb seines Unternehmens nach Inhalten suchen.</w:t>
      </w:r>
    </w:p>
    <w:p w:rsidR="00585E19" w:rsidRPr="00444B24" w:rsidRDefault="00585E19" w:rsidP="00ED50E6">
      <w:pPr>
        <w:pStyle w:val="ProductList-Body"/>
        <w:ind w:left="180"/>
      </w:pPr>
    </w:p>
    <w:p w:rsidR="00585E19" w:rsidRPr="00444B24" w:rsidRDefault="00585E19" w:rsidP="00ED50E6">
      <w:pPr>
        <w:pStyle w:val="ProductList-Body"/>
        <w:ind w:left="180"/>
      </w:pPr>
      <w:r w:rsidRPr="00444B24">
        <w:rPr>
          <w:b/>
          <w:color w:val="0072C6"/>
        </w:rPr>
        <w:t>Legal Hold</w:t>
      </w:r>
    </w:p>
    <w:p w:rsidR="00585E19" w:rsidRPr="00444B24" w:rsidRDefault="00585E19" w:rsidP="00ED50E6">
      <w:pPr>
        <w:pStyle w:val="ProductList-Body"/>
        <w:ind w:left="180"/>
      </w:pPr>
      <w:r w:rsidRPr="00444B24">
        <w:t>Der Kunde kann die Aufbewahrung des primären Postfachs des Endbenutzers aus juristischen Überlegungen (Legal Hold) und die Archivierung des Postfachs zum Schutz der im Postfach enthaltenen Inhalte anweisen.</w:t>
      </w:r>
    </w:p>
    <w:p w:rsidR="00585E19" w:rsidRPr="00444B24" w:rsidRDefault="00585E19" w:rsidP="006523C8">
      <w:pPr>
        <w:pStyle w:val="ProductList-Body"/>
      </w:pPr>
    </w:p>
    <w:p w:rsidR="00585E19" w:rsidRPr="00444B24" w:rsidRDefault="00585E19" w:rsidP="006523C8">
      <w:pPr>
        <w:pStyle w:val="ProductList-Body"/>
        <w:ind w:left="180"/>
      </w:pPr>
      <w:r w:rsidRPr="00444B24">
        <w:rPr>
          <w:b/>
          <w:color w:val="0072C6"/>
        </w:rPr>
        <w:t>Archivierung</w:t>
      </w:r>
    </w:p>
    <w:p w:rsidR="00585E19" w:rsidRPr="00444B24" w:rsidRDefault="00585E19" w:rsidP="006523C8">
      <w:pPr>
        <w:pStyle w:val="ProductList-Body"/>
        <w:ind w:left="180"/>
      </w:pPr>
      <w:r w:rsidRPr="00444B24">
        <w:t>Die Archivierung darf nur als Messaging-Speicher mit Exchange Online Plan 1 und 2 verwendet werden.</w:t>
      </w:r>
    </w:p>
    <w:p w:rsidR="00585E19" w:rsidRPr="00444B24" w:rsidRDefault="00585E19" w:rsidP="006523C8">
      <w:pPr>
        <w:pStyle w:val="ProductList-Body"/>
        <w:ind w:left="180"/>
      </w:pPr>
    </w:p>
    <w:p w:rsidR="00585E19" w:rsidRPr="00AE2FFA" w:rsidRDefault="00585E19" w:rsidP="006523C8">
      <w:pPr>
        <w:pStyle w:val="ProductList-Body"/>
        <w:ind w:left="180"/>
      </w:pPr>
      <w:r w:rsidRPr="00AE2FFA">
        <w:rPr>
          <w:b/>
          <w:color w:val="0072C6"/>
        </w:rPr>
        <w:t>Exchange Server-Archivierung</w:t>
      </w:r>
    </w:p>
    <w:p w:rsidR="00585E19" w:rsidRPr="00444B24" w:rsidRDefault="00585E19" w:rsidP="006523C8">
      <w:pPr>
        <w:pStyle w:val="ProductList-Body"/>
        <w:ind w:left="180"/>
      </w:pPr>
      <w:r w:rsidRPr="00444B24">
        <w:t>Nutzer, die über eine Client-Zugriffslizenz für Exchange Server 2013 Standard verfügen, sind dazu berechtigt, auf die CAL-Feature von Exchange Server 2013 Enterprise zuzugreifen, die zur Verwendung der Exchange Online-Archivierung für Exchange Server benötigt werden.</w:t>
      </w:r>
    </w:p>
    <w:p w:rsidR="00585E19" w:rsidRPr="00A42B90" w:rsidRDefault="00585E19" w:rsidP="006523C8">
      <w:pPr>
        <w:pStyle w:val="ProductList-Body"/>
        <w:ind w:left="180"/>
        <w:rPr>
          <w:sz w:val="14"/>
        </w:rPr>
      </w:pPr>
    </w:p>
    <w:p w:rsidR="00585E19" w:rsidRPr="00444B24" w:rsidRDefault="00585E19" w:rsidP="006523C8">
      <w:pPr>
        <w:pStyle w:val="ProductList-Body"/>
        <w:tabs>
          <w:tab w:val="clear" w:pos="158"/>
          <w:tab w:val="left" w:pos="270"/>
        </w:tabs>
      </w:pPr>
      <w:r w:rsidRPr="00444B24">
        <w:rPr>
          <w:b/>
          <w:color w:val="00188F"/>
        </w:rPr>
        <w:t>Migration von Exchange Hosted Archive</w:t>
      </w:r>
      <w:r>
        <w:rPr>
          <w:b/>
          <w:color w:val="00188F"/>
        </w:rPr>
        <w:t xml:space="preserve"> auf Exchange Online Plan 2</w:t>
      </w:r>
    </w:p>
    <w:p w:rsidR="00585E19" w:rsidRPr="00444B24" w:rsidRDefault="00585E19" w:rsidP="003F29FD">
      <w:pPr>
        <w:pStyle w:val="ProductList-Body"/>
        <w:tabs>
          <w:tab w:val="clear" w:pos="158"/>
          <w:tab w:val="left" w:pos="270"/>
        </w:tabs>
      </w:pPr>
      <w:r w:rsidRPr="00444B24">
        <w:t>Exchange Online Plan 2 ist ein Folge-Onlinedienst für Exchange Hosted Archive. Wenn ein Kunde von Exchange Hosted Archive auf Exchange Online Plan 2</w:t>
      </w:r>
      <w:r>
        <w:t xml:space="preserve"> aktualisiert </w:t>
      </w:r>
      <w:r w:rsidRPr="00444B24">
        <w:t>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w:t>
      </w:r>
      <w:r>
        <w:t> </w:t>
      </w:r>
      <w:r w:rsidRPr="00444B24">
        <w:t xml:space="preserve">Produktbenutzungsrechte befinden sich unter </w:t>
      </w:r>
      <w:hyperlink r:id="rId40" w:history="1">
        <w:r w:rsidRPr="00444B24">
          <w:rPr>
            <w:rStyle w:val="Hyperlink"/>
            <w:rFonts w:cs="Arial"/>
          </w:rPr>
          <w:t>http://go.microsoft.com/?linkid=9839206</w:t>
        </w:r>
      </w:hyperlink>
      <w:r w:rsidRPr="00B67218">
        <w:rPr>
          <w:rStyle w:val="Hyperlink"/>
          <w:rFonts w:cs="Arial"/>
          <w:color w:val="auto"/>
          <w:u w:val="none"/>
        </w:rPr>
        <w:t>.</w:t>
      </w:r>
    </w:p>
    <w:p w:rsidR="00585E19" w:rsidRPr="00444B24" w:rsidRDefault="00585E19" w:rsidP="006523C8">
      <w:pPr>
        <w:pStyle w:val="ProductList-Body"/>
      </w:pPr>
    </w:p>
    <w:p w:rsidR="00585E19" w:rsidRPr="00444B24" w:rsidRDefault="00585E19" w:rsidP="009427A1">
      <w:pPr>
        <w:pStyle w:val="ProductList-Body"/>
        <w:tabs>
          <w:tab w:val="clear" w:pos="158"/>
          <w:tab w:val="left" w:pos="180"/>
        </w:tabs>
      </w:pPr>
      <w:r w:rsidRPr="00444B24">
        <w:rPr>
          <w:b/>
          <w:color w:val="00188F"/>
        </w:rPr>
        <w:t>Datenverlustprävention nach Gerätelizenz</w:t>
      </w:r>
    </w:p>
    <w:p w:rsidR="00585E19" w:rsidRPr="00444B24" w:rsidRDefault="00585E19" w:rsidP="009427A1">
      <w:pPr>
        <w:pStyle w:val="ProductList-Body"/>
        <w:tabs>
          <w:tab w:val="clear" w:pos="158"/>
          <w:tab w:val="left" w:pos="180"/>
        </w:tabs>
      </w:pPr>
      <w:r w:rsidRPr="00444B24">
        <w:t>Wenn ein Kunde</w:t>
      </w:r>
      <w:r>
        <w:t xml:space="preserve"> für die </w:t>
      </w:r>
      <w:r w:rsidRPr="00444B24">
        <w:t>Datenverlustprävention nach</w:t>
      </w:r>
      <w:r>
        <w:t xml:space="preserve"> Geräten </w:t>
      </w:r>
      <w:r w:rsidRPr="00444B24">
        <w:t>lizenziert ist, sind alle Nutzer des Lizenzierten Geräts für den Onlinedienst lizenziert.</w:t>
      </w:r>
    </w:p>
    <w:p w:rsidR="00585E19" w:rsidRPr="00444B24" w:rsidRDefault="00B36E70" w:rsidP="00E93FD0">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D73EC5">
      <w:pPr>
        <w:pStyle w:val="ProductList-Offering2Heading"/>
        <w:outlineLvl w:val="2"/>
      </w:pPr>
      <w:r w:rsidRPr="00444B24">
        <w:tab/>
      </w:r>
      <w:bookmarkStart w:id="65" w:name="_Toc401641595"/>
      <w:r w:rsidRPr="00444B24">
        <w:t>Lync Online</w:t>
      </w:r>
      <w:bookmarkEnd w:id="65"/>
    </w:p>
    <w:p w:rsidR="00585E19" w:rsidRPr="00444B24" w:rsidRDefault="00585E19" w:rsidP="00EF1E73">
      <w:pPr>
        <w:pStyle w:val="ProductList-Body"/>
      </w:pPr>
      <w:r w:rsidRPr="00444B24">
        <w:rPr>
          <w:rFonts w:ascii="Calibri Light" w:hAnsi="Calibri Light"/>
          <w:sz w:val="16"/>
          <w:szCs w:val="16"/>
        </w:rPr>
        <w:t>Lync Online Plan 1</w:t>
      </w:r>
    </w:p>
    <w:p w:rsidR="00585E19" w:rsidRPr="00444B24" w:rsidRDefault="00585E19" w:rsidP="00EF1E73">
      <w:pPr>
        <w:pStyle w:val="ProductList-Body"/>
      </w:pPr>
      <w:r w:rsidRPr="00444B24">
        <w:rPr>
          <w:rFonts w:ascii="Calibri Light" w:hAnsi="Calibri Light"/>
          <w:sz w:val="16"/>
          <w:szCs w:val="16"/>
        </w:rPr>
        <w:t>Lync Online Plan 2</w:t>
      </w:r>
    </w:p>
    <w:p w:rsidR="00585E19" w:rsidRPr="00D74D5F" w:rsidRDefault="00585E19" w:rsidP="00123E7D">
      <w:pPr>
        <w:pStyle w:val="ProductList-Body"/>
        <w:pBdr>
          <w:top w:val="single" w:sz="4" w:space="1" w:color="BFBFBF"/>
        </w:pBdr>
        <w:rPr>
          <w:sz w:val="8"/>
          <w:szCs w:val="8"/>
        </w:rPr>
      </w:pPr>
    </w:p>
    <w:p w:rsidR="00585E19" w:rsidRPr="00444B24" w:rsidRDefault="00585E19" w:rsidP="00123E7D">
      <w:pPr>
        <w:pStyle w:val="ProductList-Body"/>
        <w:tabs>
          <w:tab w:val="clear" w:pos="158"/>
          <w:tab w:val="left" w:pos="360"/>
        </w:tabs>
      </w:pPr>
      <w:r w:rsidRPr="00444B24">
        <w:rPr>
          <w:b/>
          <w:color w:val="00188F"/>
        </w:rPr>
        <w:t>Hinweise</w:t>
      </w:r>
    </w:p>
    <w:p w:rsidR="00585E19" w:rsidRPr="00444B24" w:rsidRDefault="00585E19" w:rsidP="00123E7D">
      <w:pPr>
        <w:pStyle w:val="ProductList-Body"/>
      </w:pPr>
      <w:r w:rsidRPr="00444B24">
        <w:t xml:space="preserve">Die Hinweise in Bezug auf Aufzeichnungen und H.264/MPEG-4 AVC und/oder VC-1 in </w:t>
      </w:r>
      <w:hyperlink w:anchor="Attachment1" w:tooltip="Anhang 1" w:history="1">
        <w:r w:rsidRPr="00444B24">
          <w:rPr>
            <w:rStyle w:val="Hyperlink"/>
            <w:rFonts w:cs="Arial"/>
          </w:rPr>
          <w:t>Anhang 1</w:t>
        </w:r>
      </w:hyperlink>
      <w:r w:rsidRPr="00444B24">
        <w:t xml:space="preserve"> sind anwendbar.</w:t>
      </w:r>
    </w:p>
    <w:p w:rsidR="00585E19" w:rsidRPr="00444B24" w:rsidRDefault="00585E19" w:rsidP="00123E7D">
      <w:pPr>
        <w:pStyle w:val="ProductList-Body"/>
      </w:pPr>
    </w:p>
    <w:p w:rsidR="00585E19" w:rsidRPr="003F427E" w:rsidRDefault="00585E19" w:rsidP="00D7478E">
      <w:pPr>
        <w:pStyle w:val="ProductList-Body"/>
      </w:pPr>
      <w:r w:rsidRPr="003F427E">
        <w:rPr>
          <w:b/>
          <w:color w:val="00188F"/>
        </w:rPr>
        <w:t>Core Feature der Office 365-Dienste</w:t>
      </w:r>
    </w:p>
    <w:p w:rsidR="00585E19" w:rsidRPr="00444B24" w:rsidRDefault="00585E19" w:rsidP="00D7478E">
      <w:pPr>
        <w:pStyle w:val="ProductList-Body"/>
      </w:pPr>
      <w:r w:rsidRPr="00444B24">
        <w:t xml:space="preserve">Lync Online oder entsprechende Nachfolgedienste verfügen über die folgenden </w:t>
      </w:r>
      <w:hyperlink w:anchor="CoreFeaturesforOffice365Services" w:history="1">
        <w:r>
          <w:rPr>
            <w:rStyle w:val="Hyperlink"/>
            <w:rFonts w:cs="Arial"/>
          </w:rPr>
          <w:t xml:space="preserve">Core </w:t>
        </w:r>
        <w:r w:rsidRPr="00444B24">
          <w:rPr>
            <w:rStyle w:val="Hyperlink"/>
            <w:rFonts w:cs="Arial"/>
          </w:rPr>
          <w:t>Feature</w:t>
        </w:r>
      </w:hyperlink>
      <w:r w:rsidRPr="00444B24">
        <w:t>-Funktionen:</w:t>
      </w:r>
    </w:p>
    <w:p w:rsidR="00585E19" w:rsidRPr="00444B24" w:rsidRDefault="00585E19" w:rsidP="00D7478E">
      <w:pPr>
        <w:pStyle w:val="ProductList-Body"/>
      </w:pPr>
    </w:p>
    <w:p w:rsidR="00585E19" w:rsidRPr="00444B24" w:rsidRDefault="00585E19" w:rsidP="00D7478E">
      <w:pPr>
        <w:pStyle w:val="ProductList-Body"/>
        <w:tabs>
          <w:tab w:val="clear" w:pos="158"/>
          <w:tab w:val="left" w:pos="360"/>
        </w:tabs>
        <w:ind w:left="180"/>
      </w:pPr>
      <w:r w:rsidRPr="00444B24">
        <w:rPr>
          <w:b/>
          <w:color w:val="0072C6"/>
        </w:rPr>
        <w:t>Instant Messaging</w:t>
      </w:r>
    </w:p>
    <w:p w:rsidR="00585E19" w:rsidRPr="00444B24" w:rsidRDefault="00585E19" w:rsidP="00D7478E">
      <w:pPr>
        <w:pStyle w:val="ProductList-Body"/>
        <w:tabs>
          <w:tab w:val="clear" w:pos="158"/>
          <w:tab w:val="left" w:pos="360"/>
        </w:tabs>
        <w:ind w:left="180"/>
      </w:pPr>
      <w:r w:rsidRPr="00444B24">
        <w:t>Ein Endbenutzer kann eine Textnachricht über ein</w:t>
      </w:r>
      <w:r>
        <w:t xml:space="preserve"> IP-Netzwerk </w:t>
      </w:r>
      <w:r w:rsidRPr="00444B24">
        <w:t>in Echtzeit an einen anderen Endbenutzer übertragen.</w:t>
      </w:r>
    </w:p>
    <w:p w:rsidR="00585E19" w:rsidRPr="00444B24" w:rsidRDefault="00585E19" w:rsidP="00D7478E">
      <w:pPr>
        <w:pStyle w:val="ProductList-Body"/>
        <w:tabs>
          <w:tab w:val="clear" w:pos="158"/>
          <w:tab w:val="left" w:pos="360"/>
        </w:tabs>
        <w:ind w:left="180"/>
      </w:pPr>
    </w:p>
    <w:p w:rsidR="00585E19" w:rsidRPr="00444B24" w:rsidRDefault="00585E19" w:rsidP="00D7478E">
      <w:pPr>
        <w:pStyle w:val="ProductList-Body"/>
        <w:tabs>
          <w:tab w:val="clear" w:pos="158"/>
          <w:tab w:val="left" w:pos="360"/>
        </w:tabs>
        <w:ind w:left="180"/>
      </w:pPr>
      <w:r w:rsidRPr="00444B24">
        <w:rPr>
          <w:b/>
          <w:color w:val="0072C6"/>
        </w:rPr>
        <w:t>Anwesenheit</w:t>
      </w:r>
    </w:p>
    <w:p w:rsidR="00585E19" w:rsidRPr="00444B24" w:rsidRDefault="00585E19" w:rsidP="00D7478E">
      <w:pPr>
        <w:pStyle w:val="ProductList-Body"/>
        <w:tabs>
          <w:tab w:val="clear" w:pos="158"/>
          <w:tab w:val="left" w:pos="360"/>
        </w:tabs>
        <w:ind w:left="180"/>
      </w:pPr>
      <w:r w:rsidRPr="00444B24">
        <w:t>Ein Endbenutzer ist in der Lage, seine Verfügbarkeit</w:t>
      </w:r>
      <w:r>
        <w:t xml:space="preserve"> einzustellen </w:t>
      </w:r>
      <w:r w:rsidRPr="00444B24">
        <w:t>und anzuzeigen und die Verfügbarkeit eines anderen Endbenutzers anzuzeigen.</w:t>
      </w:r>
    </w:p>
    <w:p w:rsidR="00585E19" w:rsidRPr="00444B24" w:rsidRDefault="00585E19" w:rsidP="00D7478E">
      <w:pPr>
        <w:pStyle w:val="ProductList-Body"/>
        <w:tabs>
          <w:tab w:val="clear" w:pos="158"/>
          <w:tab w:val="left" w:pos="360"/>
        </w:tabs>
        <w:ind w:left="180"/>
      </w:pPr>
    </w:p>
    <w:p w:rsidR="00585E19" w:rsidRPr="00444B24" w:rsidRDefault="00585E19" w:rsidP="00D7478E">
      <w:pPr>
        <w:pStyle w:val="ProductList-Body"/>
        <w:tabs>
          <w:tab w:val="clear" w:pos="158"/>
          <w:tab w:val="left" w:pos="360"/>
        </w:tabs>
        <w:ind w:left="180"/>
      </w:pPr>
      <w:r w:rsidRPr="00444B24">
        <w:rPr>
          <w:b/>
          <w:color w:val="0072C6"/>
        </w:rPr>
        <w:t>Online-Meetings</w:t>
      </w:r>
    </w:p>
    <w:p w:rsidR="00585E19" w:rsidRPr="00444B24" w:rsidRDefault="00585E19" w:rsidP="00D7478E">
      <w:pPr>
        <w:pStyle w:val="ProductList-Body"/>
        <w:tabs>
          <w:tab w:val="clear" w:pos="158"/>
          <w:tab w:val="left" w:pos="360"/>
        </w:tabs>
        <w:ind w:left="180"/>
      </w:pPr>
      <w:r w:rsidRPr="00444B24">
        <w:t>Ein Endbenutzer ist in der Lage, ein webbasierte</w:t>
      </w:r>
      <w:r>
        <w:t xml:space="preserve">s Meeting </w:t>
      </w:r>
      <w:r w:rsidRPr="00444B24">
        <w:t>mit anderen Endbenutzern abzuhalten, wobei ihm Audio- und Videokonferenzfunktionen zur Verfügung stehen.</w:t>
      </w:r>
    </w:p>
    <w:p w:rsidR="00585E19" w:rsidRPr="00444B24" w:rsidRDefault="00B36E70" w:rsidP="00E93FD0">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D73EC5">
      <w:pPr>
        <w:pStyle w:val="ProductList-Offering2Heading"/>
        <w:outlineLvl w:val="2"/>
      </w:pPr>
      <w:r w:rsidRPr="00444B24">
        <w:tab/>
      </w:r>
      <w:bookmarkStart w:id="66" w:name="_Toc401641596"/>
      <w:r w:rsidRPr="00444B24">
        <w:t>Office 365-Anwendungen</w:t>
      </w:r>
      <w:bookmarkEnd w:id="66"/>
    </w:p>
    <w:p w:rsidR="00585E19" w:rsidRPr="00444B24" w:rsidRDefault="00585E19" w:rsidP="00862C50">
      <w:pPr>
        <w:pStyle w:val="ProductList-Offering1"/>
        <w:sectPr w:rsidR="00585E19" w:rsidRPr="00444B24" w:rsidSect="00E275D6">
          <w:type w:val="continuous"/>
          <w:pgSz w:w="12240" w:h="15840"/>
          <w:pgMar w:top="1440" w:right="720" w:bottom="1440" w:left="720" w:header="720" w:footer="720" w:gutter="0"/>
          <w:cols w:space="720"/>
          <w:titlePg/>
          <w:docGrid w:linePitch="360"/>
        </w:sectPr>
      </w:pPr>
    </w:p>
    <w:p w:rsidR="00585E19" w:rsidRPr="00444B24" w:rsidRDefault="00585E19" w:rsidP="00862C50">
      <w:pPr>
        <w:pStyle w:val="ProductList-Body"/>
      </w:pPr>
      <w:r w:rsidRPr="00444B24">
        <w:rPr>
          <w:rFonts w:ascii="Calibri Light" w:hAnsi="Calibri Light"/>
          <w:sz w:val="16"/>
          <w:szCs w:val="16"/>
        </w:rPr>
        <w:t>Office 365 Business</w:t>
      </w:r>
    </w:p>
    <w:p w:rsidR="00585E19" w:rsidRPr="00A426CD" w:rsidRDefault="00585E19" w:rsidP="00862C50">
      <w:pPr>
        <w:pStyle w:val="ProductList-Body"/>
        <w:rPr>
          <w:lang w:val="en-US"/>
        </w:rPr>
      </w:pPr>
      <w:r w:rsidRPr="00A426CD">
        <w:rPr>
          <w:rFonts w:ascii="Calibri Light" w:hAnsi="Calibri Light"/>
          <w:sz w:val="16"/>
          <w:szCs w:val="16"/>
          <w:lang w:val="en-US"/>
        </w:rPr>
        <w:t>Office 365 ProPlus</w:t>
      </w:r>
    </w:p>
    <w:p w:rsidR="00585E19" w:rsidRPr="00A426CD" w:rsidRDefault="00585E19" w:rsidP="00862C50">
      <w:pPr>
        <w:pStyle w:val="ProductList-Body"/>
        <w:rPr>
          <w:lang w:val="en-US"/>
        </w:rPr>
      </w:pPr>
      <w:r w:rsidRPr="00A426CD">
        <w:rPr>
          <w:rFonts w:ascii="Calibri Light" w:hAnsi="Calibri Light"/>
          <w:sz w:val="16"/>
          <w:szCs w:val="16"/>
          <w:lang w:val="en-US"/>
        </w:rPr>
        <w:t>Project Pro für Office 365</w:t>
      </w:r>
    </w:p>
    <w:p w:rsidR="00585E19" w:rsidRPr="00444B24" w:rsidRDefault="00585E19" w:rsidP="00862C50">
      <w:pPr>
        <w:pStyle w:val="ProductList-Body"/>
      </w:pPr>
      <w:r w:rsidRPr="00444B24">
        <w:rPr>
          <w:rFonts w:ascii="Calibri Light" w:hAnsi="Calibri Light"/>
          <w:sz w:val="16"/>
          <w:szCs w:val="16"/>
        </w:rPr>
        <w:t>Visio Pro für Office 365</w:t>
      </w:r>
    </w:p>
    <w:p w:rsidR="00585E19" w:rsidRPr="00444B24" w:rsidRDefault="00585E19" w:rsidP="00862C50">
      <w:pPr>
        <w:pStyle w:val="ProductList-Offering2"/>
        <w:sectPr w:rsidR="00585E19" w:rsidRPr="00444B24" w:rsidSect="005B7124">
          <w:type w:val="continuous"/>
          <w:pgSz w:w="12240" w:h="15840"/>
          <w:pgMar w:top="1440" w:right="720" w:bottom="1440" w:left="720" w:header="720" w:footer="720" w:gutter="0"/>
          <w:cols w:num="2" w:space="720"/>
          <w:titlePg/>
          <w:docGrid w:linePitch="360"/>
        </w:sectPr>
      </w:pPr>
    </w:p>
    <w:p w:rsidR="00585E19" w:rsidRPr="00CE0DB2" w:rsidRDefault="00585E19" w:rsidP="00862C50">
      <w:pPr>
        <w:pStyle w:val="ProductList-Body"/>
        <w:pBdr>
          <w:top w:val="single" w:sz="4" w:space="1" w:color="BFBFBF"/>
        </w:pBdr>
        <w:rPr>
          <w:sz w:val="8"/>
          <w:szCs w:val="8"/>
        </w:rPr>
      </w:pPr>
    </w:p>
    <w:p w:rsidR="00585E19" w:rsidRPr="00444B24" w:rsidRDefault="00585E19" w:rsidP="00123E7D">
      <w:pPr>
        <w:pStyle w:val="ProductList-Body"/>
      </w:pPr>
      <w:r w:rsidRPr="00444B24">
        <w:rPr>
          <w:b/>
          <w:color w:val="00188F"/>
        </w:rPr>
        <w:t>Vereinbarung zum Servicelevel</w:t>
      </w:r>
    </w:p>
    <w:p w:rsidR="00585E19" w:rsidRPr="00444B24" w:rsidRDefault="00585E19" w:rsidP="00123E7D">
      <w:pPr>
        <w:pStyle w:val="ProductList-Body"/>
      </w:pPr>
      <w:r w:rsidRPr="00444B24">
        <w:t>Es ist keine SLA für Project Pro</w:t>
      </w:r>
      <w:r>
        <w:t xml:space="preserve"> für </w:t>
      </w:r>
      <w:r w:rsidRPr="00444B24">
        <w:t>Office 365 und Visio Pro</w:t>
      </w:r>
      <w:r>
        <w:t xml:space="preserve"> für </w:t>
      </w:r>
      <w:r w:rsidRPr="00444B24">
        <w:t>Office 365 vorhanden.</w:t>
      </w:r>
    </w:p>
    <w:p w:rsidR="00585E19" w:rsidRPr="00444B24" w:rsidRDefault="00585E19" w:rsidP="00123E7D">
      <w:pPr>
        <w:pStyle w:val="ProductList-Body"/>
      </w:pPr>
    </w:p>
    <w:p w:rsidR="00585E19" w:rsidRPr="00444B24" w:rsidRDefault="00585E19" w:rsidP="00123E7D">
      <w:pPr>
        <w:pStyle w:val="ProductList-Body"/>
        <w:tabs>
          <w:tab w:val="clear" w:pos="158"/>
          <w:tab w:val="left" w:pos="180"/>
        </w:tabs>
      </w:pPr>
      <w:r w:rsidRPr="00444B24">
        <w:rPr>
          <w:b/>
          <w:color w:val="00188F"/>
        </w:rPr>
        <w:t>Rechte zur Installation und Nutzung</w:t>
      </w:r>
    </w:p>
    <w:p w:rsidR="00585E19" w:rsidRPr="00444B24" w:rsidRDefault="00585E19" w:rsidP="00123E7D">
      <w:pPr>
        <w:pStyle w:val="ProductList-Body"/>
        <w:tabs>
          <w:tab w:val="clear" w:pos="158"/>
          <w:tab w:val="left" w:pos="180"/>
        </w:tabs>
      </w:pPr>
      <w:r w:rsidRPr="00444B24">
        <w:t>Jeder Nutzer, dem der Kunde eine Nutzer-AL zuweist, muss ein Microsoft-Account haben, um die mit dem Abonnement bereitgestellte Software zu</w:t>
      </w:r>
      <w:r>
        <w:t> </w:t>
      </w:r>
      <w:r w:rsidRPr="00444B24">
        <w:t>nutzen. Diese Nutzer:</w:t>
      </w:r>
    </w:p>
    <w:p w:rsidR="00585E19" w:rsidRPr="00444B24" w:rsidRDefault="00585E19" w:rsidP="003F5B23">
      <w:pPr>
        <w:pStyle w:val="ProductList-Body"/>
        <w:numPr>
          <w:ilvl w:val="0"/>
          <w:numId w:val="17"/>
        </w:numPr>
        <w:ind w:left="461" w:hanging="274"/>
      </w:pPr>
      <w:r w:rsidRPr="00444B24">
        <w:t>sind berechtigt, die mit</w:t>
      </w:r>
      <w:r>
        <w:t xml:space="preserve"> der </w:t>
      </w:r>
      <w:r w:rsidRPr="00444B24">
        <w:t>AL bereitgestellte Software zur lokalen oder Remoteverwendung in bis zu fünf gleichzeitigen OSE</w:t>
      </w:r>
      <w:r>
        <w:t>s</w:t>
      </w:r>
      <w:r w:rsidRPr="00444B24">
        <w:t xml:space="preserve"> zu aktivieren.</w:t>
      </w:r>
    </w:p>
    <w:p w:rsidR="00585E19" w:rsidRPr="00444B24" w:rsidRDefault="00585E19" w:rsidP="003F5B23">
      <w:pPr>
        <w:pStyle w:val="ProductList-Body"/>
        <w:numPr>
          <w:ilvl w:val="0"/>
          <w:numId w:val="17"/>
        </w:numPr>
        <w:spacing w:before="40"/>
        <w:ind w:left="461" w:hanging="274"/>
      </w:pPr>
      <w:r w:rsidRPr="00444B24">
        <w:t xml:space="preserve">können die Software mit Shared Computer Activation (SCA) </w:t>
      </w:r>
      <w:r>
        <w:t xml:space="preserve">auch </w:t>
      </w:r>
      <w:r w:rsidRPr="00444B24">
        <w:t>auf einem Netzwerkserver oder Microsoft Azure Platform-Diensten installieren und die Software zum Erstellen, Bearbeiten oder Speichern von Dokumenten verwenden. Im Sinne dieses Nutzungsrechts ist ein „Netzwerkserver“ ein</w:t>
      </w:r>
      <w:r>
        <w:t xml:space="preserve"> physischer </w:t>
      </w:r>
      <w:r w:rsidRPr="00444B24">
        <w:t>Hardwareserver, der ausschließlich der</w:t>
      </w:r>
      <w:r>
        <w:t xml:space="preserve"> Nutzung durch den Kunden </w:t>
      </w:r>
      <w:r w:rsidRPr="00444B24">
        <w:t>dient. Diese SCA-Bestimmung gilt nicht für die Lizenz der Kunden für Office 365 Business, und</w:t>
      </w:r>
    </w:p>
    <w:p w:rsidR="00585E19" w:rsidRDefault="00585E19" w:rsidP="003F5B23">
      <w:pPr>
        <w:pStyle w:val="ProductList-Body"/>
        <w:numPr>
          <w:ilvl w:val="0"/>
          <w:numId w:val="17"/>
        </w:numPr>
        <w:spacing w:before="40"/>
        <w:ind w:left="461" w:hanging="274"/>
      </w:pPr>
      <w:r w:rsidRPr="00444B24">
        <w:t>müssen jedes Gerät, auf dem der Nutzer die Software installiert hat, mindestens alle 30 Tage mit dem Internet verbinden, da sonst die</w:t>
      </w:r>
      <w:r>
        <w:t> </w:t>
      </w:r>
      <w:r w:rsidRPr="00444B24">
        <w:t>Funktionalität der Software beeinträchtigt werden könnte.</w:t>
      </w:r>
    </w:p>
    <w:p w:rsidR="00585E19" w:rsidRPr="00444B24" w:rsidRDefault="00585E19" w:rsidP="003236C3">
      <w:pPr>
        <w:pStyle w:val="ProductList-Body"/>
        <w:spacing w:before="40"/>
        <w:ind w:left="461"/>
      </w:pPr>
    </w:p>
    <w:p w:rsidR="00585E19" w:rsidRDefault="00585E19" w:rsidP="009427A1">
      <w:pPr>
        <w:pStyle w:val="ProductList-Body"/>
        <w:rPr>
          <w:b/>
          <w:color w:val="00188F"/>
        </w:rPr>
      </w:pPr>
    </w:p>
    <w:p w:rsidR="00585E19" w:rsidRDefault="00585E19" w:rsidP="009427A1">
      <w:pPr>
        <w:pStyle w:val="ProductList-Body"/>
        <w:rPr>
          <w:b/>
          <w:color w:val="00188F"/>
        </w:rPr>
      </w:pPr>
    </w:p>
    <w:p w:rsidR="00585E19" w:rsidRDefault="00585E19" w:rsidP="009427A1">
      <w:pPr>
        <w:pStyle w:val="ProductList-Body"/>
        <w:rPr>
          <w:b/>
          <w:color w:val="00188F"/>
        </w:rPr>
      </w:pPr>
    </w:p>
    <w:p w:rsidR="00585E19" w:rsidRPr="00444B24" w:rsidRDefault="00585E19" w:rsidP="009427A1">
      <w:pPr>
        <w:pStyle w:val="ProductList-Body"/>
      </w:pPr>
      <w:r w:rsidRPr="00444B24">
        <w:rPr>
          <w:b/>
          <w:color w:val="00188F"/>
        </w:rPr>
        <w:t>Die folgenden Bestimmungen gelten nur für Office 365 Business und Office 365 ProPlus</w:t>
      </w:r>
    </w:p>
    <w:p w:rsidR="00585E19" w:rsidRPr="00444B24" w:rsidRDefault="00585E19" w:rsidP="009427A1">
      <w:pPr>
        <w:pStyle w:val="ProductList-Body"/>
        <w:ind w:left="180"/>
      </w:pPr>
      <w:r w:rsidRPr="00444B24">
        <w:rPr>
          <w:b/>
          <w:color w:val="0072C6"/>
        </w:rPr>
        <w:t>Smartphone- und Tablet-Geräte</w:t>
      </w:r>
    </w:p>
    <w:p w:rsidR="00585E19" w:rsidRPr="00444B24" w:rsidRDefault="00585E19" w:rsidP="009427A1">
      <w:pPr>
        <w:pStyle w:val="ProductList-Body"/>
        <w:ind w:left="180"/>
      </w:pPr>
      <w:r w:rsidRPr="00444B24">
        <w:t>Jeder Nutzer, dem der Kunde eine Nutzer-AL zuweist, ist berechtigt, die Microsoft Office Mobile-Software auch zu aktivieren, um auf bis zu fünf Smartphones des Nutzers und fünf Tablets des Nutzers Dokumente zu erstellen, zu bearbeiten oder zu speichern.</w:t>
      </w:r>
    </w:p>
    <w:p w:rsidR="00585E19" w:rsidRPr="00444B24" w:rsidRDefault="00585E19" w:rsidP="009427A1">
      <w:pPr>
        <w:pStyle w:val="ProductList-Body"/>
        <w:ind w:left="180"/>
      </w:pPr>
    </w:p>
    <w:p w:rsidR="00585E19" w:rsidRPr="00444B24" w:rsidRDefault="00585E19" w:rsidP="005A27D3">
      <w:pPr>
        <w:pStyle w:val="ProductList-Body"/>
      </w:pPr>
      <w:r w:rsidRPr="00444B24">
        <w:rPr>
          <w:b/>
          <w:color w:val="00188F"/>
        </w:rPr>
        <w:t>Die folgenden Bestimmungen gelten nur für Office 365 ProPlus</w:t>
      </w:r>
    </w:p>
    <w:p w:rsidR="00585E19" w:rsidRPr="00444B24" w:rsidRDefault="00585E19" w:rsidP="009427A1">
      <w:pPr>
        <w:pStyle w:val="ProductList-Body"/>
        <w:ind w:left="180"/>
      </w:pPr>
      <w:r w:rsidRPr="00444B24">
        <w:rPr>
          <w:b/>
          <w:color w:val="0072C6"/>
        </w:rPr>
        <w:t>Kommerzielle Nutzung für Office Home &amp; Student 2013 RT</w:t>
      </w:r>
    </w:p>
    <w:p w:rsidR="00585E19" w:rsidRPr="00444B24" w:rsidRDefault="00585E19" w:rsidP="009427A1">
      <w:pPr>
        <w:pStyle w:val="ProductList-Body"/>
        <w:ind w:left="180"/>
      </w:pPr>
      <w:r w:rsidRPr="00444B24">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w:t>
      </w:r>
      <w:r>
        <w:t> </w:t>
      </w:r>
      <w:r w:rsidRPr="00444B24">
        <w:t>&amp; Student 2013 RT-Lizenz bereitgestellt werden.</w:t>
      </w:r>
    </w:p>
    <w:p w:rsidR="00585E19" w:rsidRPr="00444B24" w:rsidRDefault="00585E19" w:rsidP="009427A1">
      <w:pPr>
        <w:pStyle w:val="ProductList-Body"/>
        <w:ind w:left="180"/>
      </w:pPr>
    </w:p>
    <w:p w:rsidR="00585E19" w:rsidRPr="00444B24" w:rsidRDefault="00585E19" w:rsidP="009427A1">
      <w:pPr>
        <w:pStyle w:val="ProductList-Body"/>
        <w:ind w:left="180"/>
      </w:pPr>
      <w:r w:rsidRPr="00444B24">
        <w:rPr>
          <w:b/>
          <w:color w:val="0072C6"/>
        </w:rPr>
        <w:t>Office Web Apps Server 2013</w:t>
      </w:r>
    </w:p>
    <w:p w:rsidR="00585E19" w:rsidRPr="00444B24" w:rsidRDefault="00585E19" w:rsidP="009427A1">
      <w:pPr>
        <w:pStyle w:val="ProductList-Body"/>
        <w:ind w:left="180"/>
      </w:pPr>
      <w:r w:rsidRPr="00444B24">
        <w:t>Jeder Nutzer von Office 365 ProPlus ist berechtigt, die Office Web Apps Server 2013-Software zu verwenden. Diese Bestimmung gilt nicht für Kunden, die dieses Produkt unter dem Microsoft Online-Abonnement</w:t>
      </w:r>
      <w:r>
        <w:t>v</w:t>
      </w:r>
      <w:r w:rsidRPr="00444B24">
        <w:t>ertrag oder unter einem anderen Microsoft-Vertrag lizenzieren, der nur Onlinedienste abdeckt.</w:t>
      </w:r>
    </w:p>
    <w:p w:rsidR="00585E19" w:rsidRPr="00444B24" w:rsidRDefault="00585E19" w:rsidP="00CD7001">
      <w:pPr>
        <w:pStyle w:val="ProductList-Body"/>
        <w:ind w:left="180"/>
      </w:pPr>
    </w:p>
    <w:p w:rsidR="00585E19" w:rsidRPr="00444B24" w:rsidRDefault="00585E19" w:rsidP="005B7124">
      <w:pPr>
        <w:pStyle w:val="ProductList-Body"/>
        <w:ind w:left="180"/>
      </w:pPr>
      <w:r w:rsidRPr="00444B24">
        <w:rPr>
          <w:b/>
          <w:color w:val="0072C6"/>
        </w:rPr>
        <w:t>Abonnementlizenz</w:t>
      </w:r>
      <w:r>
        <w:rPr>
          <w:b/>
          <w:color w:val="0072C6"/>
        </w:rPr>
        <w:t xml:space="preserve">en für </w:t>
      </w:r>
      <w:r w:rsidRPr="00444B24">
        <w:rPr>
          <w:b/>
          <w:color w:val="0072C6"/>
        </w:rPr>
        <w:t>Suites</w:t>
      </w:r>
    </w:p>
    <w:p w:rsidR="00585E19" w:rsidRPr="00444B24" w:rsidRDefault="00585E19" w:rsidP="005B7124">
      <w:pPr>
        <w:pStyle w:val="ProductList-Body"/>
        <w:ind w:left="180"/>
      </w:pPr>
      <w:r w:rsidRPr="00444B24">
        <w:t>Neben</w:t>
      </w:r>
      <w:r>
        <w:t xml:space="preserve"> den </w:t>
      </w:r>
      <w:r w:rsidRPr="00444B24">
        <w:t>Nutzer-ALs für Office 365 ProPlus kann der Kunde die SL-Anforderung für dieses Produkt erfüllen, indem er ein Suite</w:t>
      </w:r>
      <w:r>
        <w:t>-</w:t>
      </w:r>
      <w:r w:rsidRPr="00444B24">
        <w:t>AL erwirbt (siehe</w:t>
      </w:r>
      <w:r>
        <w:t> </w:t>
      </w:r>
      <w:hyperlink w:anchor="Attachment2" w:tooltip="Anhang 2" w:history="1">
        <w:r w:rsidRPr="00444B24">
          <w:rPr>
            <w:rStyle w:val="Hyperlink"/>
            <w:rFonts w:cs="Arial"/>
          </w:rPr>
          <w:t>Anhang 2</w:t>
        </w:r>
      </w:hyperlink>
      <w:r w:rsidRPr="00444B24">
        <w:t>).</w:t>
      </w:r>
    </w:p>
    <w:p w:rsidR="00585E19" w:rsidRPr="00444B24" w:rsidRDefault="00B36E70" w:rsidP="009C1170">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D73EC5">
      <w:pPr>
        <w:pStyle w:val="ProductList-Offering2Heading"/>
        <w:outlineLvl w:val="2"/>
      </w:pPr>
      <w:r w:rsidRPr="00444B24">
        <w:tab/>
      </w:r>
      <w:bookmarkStart w:id="67" w:name="_Toc401641597"/>
      <w:r w:rsidRPr="00444B24">
        <w:t>Office Online</w:t>
      </w:r>
      <w:bookmarkEnd w:id="67"/>
    </w:p>
    <w:p w:rsidR="00585E19" w:rsidRPr="003F427E" w:rsidRDefault="00585E19" w:rsidP="00D7478E">
      <w:pPr>
        <w:pStyle w:val="ProductList-Body"/>
      </w:pPr>
      <w:r w:rsidRPr="003F427E">
        <w:rPr>
          <w:b/>
          <w:color w:val="00188F"/>
        </w:rPr>
        <w:t>Core Feature der Office 365-Dienste</w:t>
      </w:r>
    </w:p>
    <w:p w:rsidR="00585E19" w:rsidRPr="00444B24" w:rsidRDefault="00585E19" w:rsidP="00D7478E">
      <w:pPr>
        <w:pStyle w:val="ProductList-Body"/>
        <w:spacing w:after="120"/>
      </w:pPr>
      <w:r w:rsidRPr="00444B24">
        <w:t xml:space="preserve">Office Online oder entsprechende Nachfolgedienste verfügen über die folgenden </w:t>
      </w:r>
      <w:hyperlink w:anchor="CoreFeaturesforOffice365Services" w:history="1">
        <w:r>
          <w:rPr>
            <w:rStyle w:val="Hyperlink"/>
            <w:rFonts w:cs="Arial"/>
          </w:rPr>
          <w:t xml:space="preserve">Core </w:t>
        </w:r>
        <w:r w:rsidRPr="00444B24">
          <w:rPr>
            <w:rStyle w:val="Hyperlink"/>
            <w:rFonts w:cs="Arial"/>
          </w:rPr>
          <w:t>Feature</w:t>
        </w:r>
      </w:hyperlink>
      <w:r w:rsidRPr="00444B24">
        <w:t>-Funktionen:</w:t>
      </w:r>
    </w:p>
    <w:p w:rsidR="00585E19" w:rsidRPr="00444B24" w:rsidRDefault="00585E19" w:rsidP="00D7478E">
      <w:pPr>
        <w:pStyle w:val="ProductList-Body"/>
        <w:ind w:left="180"/>
      </w:pPr>
      <w:r w:rsidRPr="00444B24">
        <w:t>Ein Endbenutzer kann Dokumente in Microsoft Word</w:t>
      </w:r>
      <w:r>
        <w:t>-</w:t>
      </w:r>
      <w:r w:rsidRPr="00444B24">
        <w:t>, Excel</w:t>
      </w:r>
      <w:r>
        <w:t>-</w:t>
      </w:r>
      <w:r w:rsidRPr="00444B24">
        <w:t>, PowerPoint</w:t>
      </w:r>
      <w:r>
        <w:t>-</w:t>
      </w:r>
      <w:r w:rsidRPr="00444B24">
        <w:t xml:space="preserve"> und OneNote-Dateitypen erstellen, anzeigen und bearbeiten, sofern eine entsprechende Unterstützung durch Office Online oder</w:t>
      </w:r>
      <w:r>
        <w:t xml:space="preserve"> entsprechende Nachfolgedienste </w:t>
      </w:r>
      <w:r w:rsidRPr="00444B24">
        <w:t>gegeben ist.</w:t>
      </w:r>
    </w:p>
    <w:p w:rsidR="00585E19" w:rsidRPr="00444B24" w:rsidRDefault="00585E19" w:rsidP="00976EB6">
      <w:pPr>
        <w:pStyle w:val="ProductList-Body"/>
        <w:tabs>
          <w:tab w:val="clear" w:pos="158"/>
          <w:tab w:val="left" w:pos="180"/>
        </w:tabs>
      </w:pPr>
    </w:p>
    <w:p w:rsidR="00585E19" w:rsidRPr="00444B24" w:rsidRDefault="00585E19" w:rsidP="00976EB6">
      <w:pPr>
        <w:pStyle w:val="ProductList-Body"/>
        <w:tabs>
          <w:tab w:val="clear" w:pos="158"/>
          <w:tab w:val="left" w:pos="180"/>
        </w:tabs>
      </w:pPr>
      <w:r w:rsidRPr="00444B24">
        <w:rPr>
          <w:b/>
          <w:color w:val="00188F"/>
        </w:rPr>
        <w:t>Externe Nutzer</w:t>
      </w:r>
    </w:p>
    <w:p w:rsidR="00585E19" w:rsidRPr="00444B24" w:rsidRDefault="00585E19" w:rsidP="00976EB6">
      <w:pPr>
        <w:pStyle w:val="ProductList-Body"/>
        <w:tabs>
          <w:tab w:val="clear" w:pos="158"/>
          <w:tab w:val="left" w:pos="180"/>
        </w:tabs>
      </w:pPr>
      <w:r w:rsidRPr="00F830BE">
        <w:t>Externe Nutzer, die über die Share-by-Mail-Funktion zu Website</w:t>
      </w:r>
      <w:r w:rsidRPr="008E1564">
        <w:t>sammlungen</w:t>
      </w:r>
      <w:r w:rsidRPr="00F830BE">
        <w:t xml:space="preserve"> eingeladen werden, benötigen keine Nutzer-ALs für </w:t>
      </w:r>
      <w:r w:rsidRPr="00444B24">
        <w:t>Office Online.</w:t>
      </w:r>
    </w:p>
    <w:p w:rsidR="00585E19" w:rsidRPr="00444B24" w:rsidRDefault="00B36E70" w:rsidP="00976EB6">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D73EC5">
      <w:pPr>
        <w:pStyle w:val="ProductList-Offering2Heading"/>
        <w:outlineLvl w:val="2"/>
      </w:pPr>
      <w:r w:rsidRPr="00444B24">
        <w:tab/>
      </w:r>
      <w:bookmarkStart w:id="68" w:name="_Toc401641598"/>
      <w:r w:rsidRPr="00444B24">
        <w:t>OneDrive for Business</w:t>
      </w:r>
      <w:bookmarkEnd w:id="68"/>
    </w:p>
    <w:p w:rsidR="00585E19" w:rsidRPr="00444B24" w:rsidRDefault="00585E19" w:rsidP="006523C8">
      <w:pPr>
        <w:pStyle w:val="ProductList-Body"/>
        <w:tabs>
          <w:tab w:val="clear" w:pos="158"/>
          <w:tab w:val="left" w:pos="180"/>
        </w:tabs>
      </w:pPr>
      <w:r w:rsidRPr="00444B24">
        <w:rPr>
          <w:b/>
          <w:color w:val="00188F"/>
        </w:rPr>
        <w:t>Externe Nutzer</w:t>
      </w:r>
    </w:p>
    <w:p w:rsidR="00585E19" w:rsidRPr="00444B24" w:rsidRDefault="00585E19" w:rsidP="006523C8">
      <w:pPr>
        <w:pStyle w:val="ProductList-Body"/>
        <w:tabs>
          <w:tab w:val="clear" w:pos="158"/>
          <w:tab w:val="left" w:pos="180"/>
        </w:tabs>
      </w:pPr>
      <w:r w:rsidRPr="00F830BE">
        <w:t xml:space="preserve">Externe Nutzer, die über die Share-by-Mail-Funktion zu </w:t>
      </w:r>
      <w:r w:rsidRPr="008E1564">
        <w:t>Websitesammlungen</w:t>
      </w:r>
      <w:r>
        <w:t xml:space="preserve"> </w:t>
      </w:r>
      <w:r w:rsidRPr="00F830BE">
        <w:t>eingeladen werden, benötigen keine Nutzer-</w:t>
      </w:r>
      <w:r w:rsidRPr="00444B24">
        <w:t>ALs für OneDrive for</w:t>
      </w:r>
      <w:r>
        <w:t> </w:t>
      </w:r>
      <w:r w:rsidRPr="00444B24">
        <w:t>Business.</w:t>
      </w:r>
    </w:p>
    <w:p w:rsidR="00585E19" w:rsidRPr="00444B24" w:rsidRDefault="00B36E70" w:rsidP="005B7124">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D73EC5">
      <w:pPr>
        <w:pStyle w:val="ProductList-Offering2Heading"/>
        <w:outlineLvl w:val="2"/>
      </w:pPr>
      <w:r w:rsidRPr="00444B24">
        <w:tab/>
      </w:r>
      <w:bookmarkStart w:id="69" w:name="_Toc401641599"/>
      <w:r w:rsidRPr="00444B24">
        <w:t>Project Online</w:t>
      </w:r>
      <w:bookmarkEnd w:id="69"/>
    </w:p>
    <w:p w:rsidR="00585E19" w:rsidRPr="00444B24" w:rsidRDefault="00585E19" w:rsidP="00EF1E73">
      <w:pPr>
        <w:pStyle w:val="ProductList-Body"/>
      </w:pPr>
      <w:r w:rsidRPr="00444B24">
        <w:rPr>
          <w:rFonts w:ascii="Calibri Light" w:hAnsi="Calibri Light"/>
          <w:sz w:val="16"/>
          <w:szCs w:val="16"/>
        </w:rPr>
        <w:t>Project Lite</w:t>
      </w:r>
    </w:p>
    <w:p w:rsidR="00585E19" w:rsidRPr="00444B24" w:rsidRDefault="00585E19" w:rsidP="00EF1E73">
      <w:pPr>
        <w:pStyle w:val="ProductList-Body"/>
      </w:pPr>
      <w:r w:rsidRPr="00444B24">
        <w:rPr>
          <w:rFonts w:ascii="Calibri Light" w:hAnsi="Calibri Light"/>
          <w:sz w:val="16"/>
          <w:szCs w:val="16"/>
        </w:rPr>
        <w:t>Project Online</w:t>
      </w:r>
    </w:p>
    <w:p w:rsidR="00585E19" w:rsidRPr="00444B24" w:rsidRDefault="00585E19" w:rsidP="00581CDB">
      <w:pPr>
        <w:pStyle w:val="ProductList-Body"/>
        <w:pBdr>
          <w:top w:val="single" w:sz="4" w:space="1" w:color="BFBFBF"/>
        </w:pBdr>
      </w:pPr>
    </w:p>
    <w:p w:rsidR="00585E19" w:rsidRPr="00444B24" w:rsidRDefault="00B36E70" w:rsidP="005B7124">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D73EC5">
      <w:pPr>
        <w:pStyle w:val="ProductList-Offering2Heading"/>
        <w:outlineLvl w:val="2"/>
      </w:pPr>
      <w:r w:rsidRPr="00444B24">
        <w:tab/>
      </w:r>
      <w:bookmarkStart w:id="70" w:name="_Toc401641600"/>
      <w:r w:rsidRPr="00444B24">
        <w:t>SharePoint Online</w:t>
      </w:r>
      <w:bookmarkEnd w:id="70"/>
    </w:p>
    <w:p w:rsidR="00585E19" w:rsidRPr="00444B24" w:rsidRDefault="00585E19" w:rsidP="005B7124">
      <w:pPr>
        <w:pStyle w:val="ProductList-Offering1"/>
        <w:sectPr w:rsidR="00585E19" w:rsidRPr="00444B24" w:rsidSect="00E275D6">
          <w:type w:val="continuous"/>
          <w:pgSz w:w="12240" w:h="15840"/>
          <w:pgMar w:top="1440" w:right="720" w:bottom="1440" w:left="720" w:header="720" w:footer="720" w:gutter="0"/>
          <w:cols w:space="720"/>
          <w:titlePg/>
          <w:docGrid w:linePitch="360"/>
        </w:sectPr>
      </w:pPr>
    </w:p>
    <w:p w:rsidR="00585E19" w:rsidRPr="0061583D" w:rsidRDefault="00585E19" w:rsidP="00866323">
      <w:pPr>
        <w:pStyle w:val="ProductList-Body"/>
      </w:pPr>
      <w:r w:rsidRPr="0061583D">
        <w:rPr>
          <w:rFonts w:ascii="Calibri Light" w:hAnsi="Calibri Light"/>
          <w:sz w:val="16"/>
          <w:szCs w:val="16"/>
        </w:rPr>
        <w:t>Duet Enterprise Online für Microsoft SharePoint und SAP</w:t>
      </w:r>
    </w:p>
    <w:p w:rsidR="00585E19" w:rsidRPr="00A426CD" w:rsidRDefault="00585E19" w:rsidP="00866323">
      <w:pPr>
        <w:pStyle w:val="ProductList-Body"/>
        <w:rPr>
          <w:lang w:val="en-US"/>
        </w:rPr>
      </w:pPr>
      <w:r w:rsidRPr="00A426CD">
        <w:rPr>
          <w:rFonts w:ascii="Calibri Light" w:hAnsi="Calibri Light"/>
          <w:sz w:val="16"/>
          <w:szCs w:val="16"/>
          <w:lang w:val="en-US"/>
        </w:rPr>
        <w:t>SharePoint Online Kiosk</w:t>
      </w:r>
    </w:p>
    <w:p w:rsidR="00585E19" w:rsidRPr="00A426CD" w:rsidRDefault="00585E19" w:rsidP="00866323">
      <w:pPr>
        <w:pStyle w:val="ProductList-Body"/>
        <w:rPr>
          <w:lang w:val="en-US"/>
        </w:rPr>
      </w:pPr>
      <w:r w:rsidRPr="00A426CD">
        <w:rPr>
          <w:rFonts w:ascii="Calibri Light" w:hAnsi="Calibri Light"/>
          <w:sz w:val="16"/>
          <w:szCs w:val="16"/>
          <w:lang w:val="en-US"/>
        </w:rPr>
        <w:t>SharePoint Online Plan 1</w:t>
      </w:r>
    </w:p>
    <w:p w:rsidR="00585E19" w:rsidRPr="008E1564" w:rsidRDefault="00585E19" w:rsidP="00866323">
      <w:pPr>
        <w:pStyle w:val="ProductList-Body"/>
        <w:rPr>
          <w:lang w:val="en-US"/>
        </w:rPr>
      </w:pPr>
      <w:r w:rsidRPr="008E1564">
        <w:rPr>
          <w:rFonts w:ascii="Calibri Light" w:hAnsi="Calibri Light"/>
          <w:sz w:val="16"/>
          <w:szCs w:val="16"/>
          <w:lang w:val="en-US"/>
        </w:rPr>
        <w:t>SharePoint Online Plan 2</w:t>
      </w:r>
    </w:p>
    <w:p w:rsidR="00585E19" w:rsidRPr="003F427E" w:rsidRDefault="00585E19" w:rsidP="005B7124">
      <w:pPr>
        <w:pStyle w:val="ProductList-Offering2"/>
        <w:rPr>
          <w:lang w:val="en-US"/>
        </w:rPr>
        <w:sectPr w:rsidR="00585E19" w:rsidRPr="003F427E" w:rsidSect="005B7124">
          <w:type w:val="continuous"/>
          <w:pgSz w:w="12240" w:h="15840"/>
          <w:pgMar w:top="1440" w:right="720" w:bottom="1440" w:left="720" w:header="720" w:footer="720" w:gutter="0"/>
          <w:cols w:num="2" w:space="720"/>
          <w:titlePg/>
          <w:docGrid w:linePitch="360"/>
        </w:sectPr>
      </w:pPr>
    </w:p>
    <w:p w:rsidR="00585E19" w:rsidRPr="008E1564" w:rsidRDefault="00585E19" w:rsidP="00581CDB">
      <w:pPr>
        <w:pStyle w:val="ProductList-Body"/>
        <w:pBdr>
          <w:top w:val="single" w:sz="4" w:space="1" w:color="BFBFBF"/>
        </w:pBdr>
        <w:rPr>
          <w:sz w:val="8"/>
          <w:szCs w:val="8"/>
          <w:lang w:val="en-US"/>
        </w:rPr>
      </w:pPr>
    </w:p>
    <w:p w:rsidR="00585E19" w:rsidRPr="008E1564" w:rsidRDefault="00585E19" w:rsidP="00D7478E">
      <w:pPr>
        <w:pStyle w:val="ProductList-Body"/>
        <w:rPr>
          <w:lang w:val="en-US"/>
        </w:rPr>
      </w:pPr>
      <w:r w:rsidRPr="008E1564">
        <w:rPr>
          <w:b/>
          <w:color w:val="00188F"/>
          <w:lang w:val="en-US"/>
        </w:rPr>
        <w:t>Core Feature der Office</w:t>
      </w:r>
      <w:r w:rsidRPr="00A85766">
        <w:rPr>
          <w:b/>
          <w:color w:val="00188F"/>
          <w:lang w:val="en-US"/>
        </w:rPr>
        <w:t> </w:t>
      </w:r>
      <w:r w:rsidRPr="008E1564">
        <w:rPr>
          <w:b/>
          <w:color w:val="00188F"/>
          <w:lang w:val="en-US"/>
        </w:rPr>
        <w:t>365-Dienste</w:t>
      </w:r>
    </w:p>
    <w:p w:rsidR="00585E19" w:rsidRPr="00444B24" w:rsidRDefault="00585E19" w:rsidP="00D7478E">
      <w:pPr>
        <w:pStyle w:val="ProductList-Body"/>
      </w:pPr>
      <w:r w:rsidRPr="00444B24">
        <w:t xml:space="preserve">SharePoint Online oder entsprechende Nachfolgedienste verfügen über die folgenden </w:t>
      </w:r>
      <w:hyperlink w:anchor="CoreFeaturesforOffice365Services" w:history="1">
        <w:r>
          <w:rPr>
            <w:rStyle w:val="Hyperlink"/>
            <w:rFonts w:cs="Arial"/>
          </w:rPr>
          <w:t xml:space="preserve">Core </w:t>
        </w:r>
        <w:r w:rsidRPr="00444B24">
          <w:rPr>
            <w:rStyle w:val="Hyperlink"/>
            <w:rFonts w:cs="Arial"/>
          </w:rPr>
          <w:t>Feature</w:t>
        </w:r>
      </w:hyperlink>
      <w:r w:rsidRPr="00444B24">
        <w:t>-Funktionen:</w:t>
      </w:r>
    </w:p>
    <w:p w:rsidR="00585E19" w:rsidRPr="00444B24" w:rsidRDefault="00585E19" w:rsidP="00D7478E">
      <w:pPr>
        <w:pStyle w:val="ProductList-Body"/>
      </w:pPr>
    </w:p>
    <w:p w:rsidR="00585E19" w:rsidRDefault="00585E19" w:rsidP="00D7478E">
      <w:pPr>
        <w:pStyle w:val="ProductList-Body"/>
        <w:tabs>
          <w:tab w:val="clear" w:pos="158"/>
          <w:tab w:val="left" w:pos="180"/>
        </w:tabs>
        <w:ind w:left="180"/>
        <w:rPr>
          <w:b/>
          <w:color w:val="0072C6"/>
        </w:rPr>
      </w:pPr>
    </w:p>
    <w:p w:rsidR="00585E19" w:rsidRDefault="00585E19" w:rsidP="00D7478E">
      <w:pPr>
        <w:pStyle w:val="ProductList-Body"/>
        <w:tabs>
          <w:tab w:val="clear" w:pos="158"/>
          <w:tab w:val="left" w:pos="180"/>
        </w:tabs>
        <w:ind w:left="180"/>
        <w:rPr>
          <w:b/>
          <w:color w:val="0072C6"/>
        </w:rPr>
      </w:pPr>
    </w:p>
    <w:p w:rsidR="00585E19" w:rsidRPr="00444B24" w:rsidRDefault="00585E19" w:rsidP="00D7478E">
      <w:pPr>
        <w:pStyle w:val="ProductList-Body"/>
        <w:tabs>
          <w:tab w:val="clear" w:pos="158"/>
          <w:tab w:val="left" w:pos="180"/>
        </w:tabs>
        <w:ind w:left="180"/>
      </w:pPr>
      <w:r w:rsidRPr="00444B24">
        <w:rPr>
          <w:b/>
          <w:color w:val="0072C6"/>
        </w:rPr>
        <w:t>Zusammenarbeitswebsites</w:t>
      </w:r>
    </w:p>
    <w:p w:rsidR="00585E19" w:rsidRPr="00444B24" w:rsidRDefault="00585E19" w:rsidP="00D7478E">
      <w:pPr>
        <w:pStyle w:val="ProductList-Body"/>
        <w:tabs>
          <w:tab w:val="clear" w:pos="158"/>
          <w:tab w:val="left" w:pos="180"/>
        </w:tabs>
        <w:ind w:left="180"/>
      </w:pPr>
      <w:r w:rsidRPr="00444B24">
        <w:t>Ein Endbenutzer kann eine über einen Internet-Browser erreichbare Website erstellen, über die der Endbenutzer Inhalte hochladen und freigeben sowie die Zugriffsberechtigungen festlegen kann.</w:t>
      </w:r>
    </w:p>
    <w:p w:rsidR="00585E19" w:rsidRPr="00444B24" w:rsidRDefault="00585E19" w:rsidP="00D7478E">
      <w:pPr>
        <w:pStyle w:val="ProductList-Body"/>
        <w:tabs>
          <w:tab w:val="clear" w:pos="158"/>
          <w:tab w:val="left" w:pos="180"/>
        </w:tabs>
        <w:ind w:left="180"/>
      </w:pPr>
    </w:p>
    <w:p w:rsidR="00585E19" w:rsidRPr="00444B24" w:rsidRDefault="00585E19" w:rsidP="00D7478E">
      <w:pPr>
        <w:pStyle w:val="ProductList-Body"/>
        <w:tabs>
          <w:tab w:val="clear" w:pos="158"/>
          <w:tab w:val="left" w:pos="180"/>
        </w:tabs>
        <w:ind w:left="180"/>
      </w:pPr>
      <w:r w:rsidRPr="00444B24">
        <w:rPr>
          <w:b/>
          <w:color w:val="0072C6"/>
        </w:rPr>
        <w:t>Speicher</w:t>
      </w:r>
    </w:p>
    <w:p w:rsidR="00585E19" w:rsidRPr="00444B24" w:rsidRDefault="00585E19" w:rsidP="00D7478E">
      <w:pPr>
        <w:pStyle w:val="ProductList-Body"/>
        <w:tabs>
          <w:tab w:val="clear" w:pos="158"/>
          <w:tab w:val="left" w:pos="180"/>
        </w:tabs>
        <w:ind w:left="180"/>
      </w:pPr>
      <w:r w:rsidRPr="00444B24">
        <w:t>Der Kunde kann für eine von einem Endbenutzer erstellte Website Beschränkungen für die Speicherkapazität festlegen.</w:t>
      </w:r>
    </w:p>
    <w:p w:rsidR="00585E19" w:rsidRPr="009E3BAD" w:rsidRDefault="00585E19" w:rsidP="001A19E0">
      <w:pPr>
        <w:pStyle w:val="ProductList-Body"/>
        <w:rPr>
          <w:sz w:val="15"/>
          <w:szCs w:val="15"/>
        </w:rPr>
      </w:pPr>
    </w:p>
    <w:p w:rsidR="00585E19" w:rsidRPr="00444B24" w:rsidRDefault="00585E19" w:rsidP="006523C8">
      <w:pPr>
        <w:pStyle w:val="ProductList-Body"/>
        <w:tabs>
          <w:tab w:val="clear" w:pos="158"/>
          <w:tab w:val="left" w:pos="180"/>
        </w:tabs>
      </w:pPr>
      <w:r w:rsidRPr="00444B24">
        <w:rPr>
          <w:b/>
          <w:color w:val="00188F"/>
        </w:rPr>
        <w:t>Externe Nutzer</w:t>
      </w:r>
    </w:p>
    <w:p w:rsidR="00585E19" w:rsidRPr="00444B24" w:rsidRDefault="00585E19" w:rsidP="006523C8">
      <w:pPr>
        <w:pStyle w:val="ProductList-Body"/>
        <w:tabs>
          <w:tab w:val="clear" w:pos="158"/>
          <w:tab w:val="left" w:pos="180"/>
        </w:tabs>
      </w:pPr>
      <w:r w:rsidRPr="00F830BE">
        <w:t xml:space="preserve">Externe Nutzer, die über die Share-by-Mail-Funktion zu </w:t>
      </w:r>
      <w:r w:rsidRPr="008E1564">
        <w:t>Websitesammlungen</w:t>
      </w:r>
      <w:r>
        <w:t xml:space="preserve"> </w:t>
      </w:r>
      <w:r w:rsidRPr="00F830BE">
        <w:t>eingeladen werden, benötigen keine Nutzer-</w:t>
      </w:r>
      <w:r w:rsidRPr="00444B24">
        <w:t xml:space="preserve">ALs für SharePoint Online Kiosk, Plan 1 und Plan 2. </w:t>
      </w:r>
    </w:p>
    <w:p w:rsidR="00585E19" w:rsidRPr="009E3BAD" w:rsidRDefault="00585E19" w:rsidP="006523C8">
      <w:pPr>
        <w:pStyle w:val="ProductList-Body"/>
        <w:tabs>
          <w:tab w:val="clear" w:pos="158"/>
          <w:tab w:val="left" w:pos="180"/>
        </w:tabs>
        <w:rPr>
          <w:sz w:val="15"/>
          <w:szCs w:val="15"/>
        </w:rPr>
      </w:pPr>
    </w:p>
    <w:p w:rsidR="00585E19" w:rsidRPr="00444B24" w:rsidRDefault="00585E19" w:rsidP="006523C8">
      <w:pPr>
        <w:pStyle w:val="ProductList-Body"/>
        <w:tabs>
          <w:tab w:val="clear" w:pos="158"/>
          <w:tab w:val="left" w:pos="180"/>
        </w:tabs>
      </w:pPr>
      <w:r w:rsidRPr="00444B24">
        <w:rPr>
          <w:b/>
          <w:color w:val="00188F"/>
        </w:rPr>
        <w:t>Add-On-ALs für Speicher</w:t>
      </w:r>
    </w:p>
    <w:p w:rsidR="00585E19" w:rsidRPr="00444B24" w:rsidRDefault="00585E19" w:rsidP="006523C8">
      <w:pPr>
        <w:pStyle w:val="ProductList-Body"/>
        <w:tabs>
          <w:tab w:val="clear" w:pos="158"/>
          <w:tab w:val="left" w:pos="180"/>
        </w:tabs>
      </w:pPr>
      <w:r w:rsidRPr="00444B24">
        <w:t>Office 365 Extra File Storage ist für jedes Gigabyte Speicherplatz über den mit</w:t>
      </w:r>
      <w:r>
        <w:t xml:space="preserve"> den </w:t>
      </w:r>
      <w:r w:rsidRPr="00444B24">
        <w:t>Nutzer-ALs für SharePoint Online Plan 1 und 2 bereitgestellten Speicherplatz hinaus erforderlich.</w:t>
      </w:r>
    </w:p>
    <w:p w:rsidR="00585E19" w:rsidRPr="00444B24" w:rsidRDefault="00B36E70" w:rsidP="008E1EAF">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233C87">
      <w:pPr>
        <w:pStyle w:val="ProductList-OfferingGroupHeading"/>
        <w:outlineLvl w:val="1"/>
      </w:pPr>
      <w:bookmarkStart w:id="71" w:name="_Toc401641601"/>
      <w:r w:rsidRPr="00444B24">
        <w:t>Sonstige Onlinedienste</w:t>
      </w:r>
      <w:bookmarkEnd w:id="71"/>
    </w:p>
    <w:p w:rsidR="00585E19" w:rsidRPr="00444B24" w:rsidRDefault="00585E19" w:rsidP="00233C87">
      <w:pPr>
        <w:pStyle w:val="ProductList-Offering2Heading"/>
        <w:outlineLvl w:val="2"/>
      </w:pPr>
      <w:r w:rsidRPr="00444B24">
        <w:tab/>
      </w:r>
      <w:bookmarkStart w:id="72" w:name="_Toc401641602"/>
      <w:r w:rsidRPr="00444B24">
        <w:t>Bing Maps Enterprise Platform und Bing Maps Mobile Asset Management Platform</w:t>
      </w:r>
      <w:bookmarkEnd w:id="72"/>
    </w:p>
    <w:p w:rsidR="00585E19" w:rsidRPr="00444B24" w:rsidRDefault="00585E19" w:rsidP="00917344">
      <w:pPr>
        <w:pStyle w:val="ProductList-Body"/>
      </w:pPr>
      <w:r w:rsidRPr="00444B24">
        <w:rPr>
          <w:b/>
          <w:color w:val="00188F"/>
        </w:rPr>
        <w:t>Dienst-ALs</w:t>
      </w:r>
    </w:p>
    <w:p w:rsidR="00585E19" w:rsidRPr="00444B24" w:rsidRDefault="00585E19" w:rsidP="00917344">
      <w:pPr>
        <w:pStyle w:val="ProductList-Body"/>
      </w:pPr>
      <w:r w:rsidRPr="00444B24">
        <w:t>Für den Zugriff auf die Dienste ist eine Dienst-AL erforderlich. Jede Dienst-AL muss mit mindestens</w:t>
      </w:r>
      <w:r>
        <w:t xml:space="preserve"> einer </w:t>
      </w:r>
      <w:r w:rsidRPr="00444B24">
        <w:t xml:space="preserve">der folgenden qualifizierenden Add-on-ALs erworben werden: </w:t>
      </w:r>
    </w:p>
    <w:p w:rsidR="00585E19" w:rsidRPr="00444B24" w:rsidRDefault="00585E19" w:rsidP="0062132F">
      <w:pPr>
        <w:pStyle w:val="ProductList-Body"/>
        <w:numPr>
          <w:ilvl w:val="0"/>
          <w:numId w:val="20"/>
        </w:numPr>
        <w:ind w:left="461" w:hanging="274"/>
      </w:pPr>
      <w:r w:rsidRPr="00444B24">
        <w:t xml:space="preserve">Nicht authentifizierte Nutzer benötigen eine Add-On-AL für die Websitenutzung, um </w:t>
      </w:r>
      <w:r>
        <w:t xml:space="preserve">über die Programme des Kunden </w:t>
      </w:r>
      <w:r w:rsidRPr="00444B24">
        <w:t xml:space="preserve">auf Basis der Anzahl der abrechenbaren Transaktionen pro Monat auf Bing Maps Enterprise Platform und Bing Maps Mobile Asset Management Platform zugreifen zu können. </w:t>
      </w:r>
    </w:p>
    <w:p w:rsidR="00585E19" w:rsidRPr="00444B24" w:rsidRDefault="00585E19" w:rsidP="0062132F">
      <w:pPr>
        <w:pStyle w:val="ProductList-Body"/>
        <w:numPr>
          <w:ilvl w:val="0"/>
          <w:numId w:val="20"/>
        </w:numPr>
        <w:spacing w:before="40"/>
        <w:ind w:left="461" w:hanging="274"/>
      </w:pPr>
      <w:r w:rsidRPr="00444B24">
        <w:t xml:space="preserve">Eine AL für </w:t>
      </w:r>
      <w:r>
        <w:t>die Nutzung einer ö</w:t>
      </w:r>
      <w:r w:rsidRPr="00444B24">
        <w:t>ffentliche</w:t>
      </w:r>
      <w:r>
        <w:t>n</w:t>
      </w:r>
      <w:r w:rsidRPr="00444B24">
        <w:t xml:space="preserve"> Website</w:t>
      </w:r>
      <w:r>
        <w:t>, die</w:t>
      </w:r>
      <w:r w:rsidRPr="00444B24">
        <w:t xml:space="preserve"> für eine festgelegte Anzahl von abrechenbaren Transaktionen zur Nutzung auf einer Website erhältlich</w:t>
      </w:r>
      <w:r>
        <w:t xml:space="preserve"> ist</w:t>
      </w:r>
      <w:r w:rsidRPr="00444B24">
        <w:t>, die ohne Beschränkungen öffentlich verfügbar ist.</w:t>
      </w:r>
    </w:p>
    <w:p w:rsidR="00585E19" w:rsidRPr="00444B24" w:rsidRDefault="00585E19" w:rsidP="0062132F">
      <w:pPr>
        <w:pStyle w:val="ProductList-Body"/>
        <w:numPr>
          <w:ilvl w:val="0"/>
          <w:numId w:val="20"/>
        </w:numPr>
        <w:spacing w:before="40"/>
        <w:ind w:left="461" w:hanging="274"/>
      </w:pPr>
      <w:r w:rsidRPr="00444B24">
        <w:t>Ein Add-On für die Interne-Website-Nutzung</w:t>
      </w:r>
      <w:r>
        <w:t xml:space="preserve">, das </w:t>
      </w:r>
      <w:r w:rsidRPr="00444B24">
        <w:t>für eine festgelegte Anzahl von abrechenbaren Transaktionen zur</w:t>
      </w:r>
      <w:r>
        <w:t> </w:t>
      </w:r>
      <w:r w:rsidRPr="00444B24">
        <w:t>Nutzung auf einer internen Website (z. B. Intranet) in einem privaten Netzwerk</w:t>
      </w:r>
      <w:r>
        <w:t xml:space="preserve"> verfügbar ist</w:t>
      </w:r>
      <w:r w:rsidRPr="00444B24">
        <w:t>.</w:t>
      </w:r>
    </w:p>
    <w:p w:rsidR="00585E19" w:rsidRPr="008E1564" w:rsidRDefault="00585E19" w:rsidP="0062132F">
      <w:pPr>
        <w:pStyle w:val="ProductList-Body"/>
        <w:numPr>
          <w:ilvl w:val="0"/>
          <w:numId w:val="20"/>
        </w:numPr>
        <w:spacing w:before="40"/>
        <w:ind w:left="461" w:hanging="274"/>
        <w:rPr>
          <w:lang w:val="en-US"/>
        </w:rPr>
      </w:pPr>
      <w:r w:rsidRPr="008E1564">
        <w:rPr>
          <w:lang w:val="en-US"/>
        </w:rPr>
        <w:t>Bing Maps</w:t>
      </w:r>
      <w:r>
        <w:rPr>
          <w:lang w:val="en-US"/>
        </w:rPr>
        <w:t xml:space="preserve"> Unlimited </w:t>
      </w:r>
      <w:r w:rsidRPr="008E1564">
        <w:rPr>
          <w:lang w:val="en-US"/>
        </w:rPr>
        <w:t>Add-On-AL</w:t>
      </w:r>
    </w:p>
    <w:p w:rsidR="00585E19" w:rsidRPr="008E1564" w:rsidRDefault="00585E19" w:rsidP="0062132F">
      <w:pPr>
        <w:pStyle w:val="ProductList-Body"/>
        <w:numPr>
          <w:ilvl w:val="0"/>
          <w:numId w:val="20"/>
        </w:numPr>
        <w:spacing w:before="40"/>
        <w:ind w:left="461" w:hanging="274"/>
        <w:rPr>
          <w:lang w:val="en-US"/>
        </w:rPr>
      </w:pPr>
      <w:r w:rsidRPr="008E1564">
        <w:rPr>
          <w:lang w:val="en-US"/>
        </w:rPr>
        <w:t>AL für Bing Maps Known Use</w:t>
      </w:r>
      <w:r>
        <w:rPr>
          <w:lang w:val="en-US"/>
        </w:rPr>
        <w:t>r</w:t>
      </w:r>
    </w:p>
    <w:p w:rsidR="00585E19" w:rsidRPr="008E1564" w:rsidRDefault="00585E19" w:rsidP="00510151">
      <w:pPr>
        <w:pStyle w:val="ProductList-Body"/>
        <w:numPr>
          <w:ilvl w:val="0"/>
          <w:numId w:val="20"/>
        </w:numPr>
        <w:spacing w:before="40"/>
        <w:ind w:left="461" w:hanging="274"/>
        <w:rPr>
          <w:lang w:val="en-US"/>
        </w:rPr>
      </w:pPr>
      <w:r w:rsidRPr="008E1564">
        <w:rPr>
          <w:lang w:val="en-US"/>
        </w:rPr>
        <w:t>AL für Bing Maps Light Kno</w:t>
      </w:r>
      <w:r>
        <w:rPr>
          <w:lang w:val="en-US"/>
        </w:rPr>
        <w:t>wn User</w:t>
      </w:r>
    </w:p>
    <w:p w:rsidR="00585E19" w:rsidRPr="008E1564" w:rsidRDefault="00585E19" w:rsidP="00917344">
      <w:pPr>
        <w:pStyle w:val="ProductList-Body"/>
        <w:rPr>
          <w:sz w:val="15"/>
          <w:szCs w:val="15"/>
          <w:lang w:val="en-US"/>
        </w:rPr>
      </w:pPr>
    </w:p>
    <w:p w:rsidR="00585E19" w:rsidRPr="00444B24" w:rsidRDefault="00585E19" w:rsidP="00917344">
      <w:pPr>
        <w:pStyle w:val="ProductList-Body"/>
      </w:pPr>
      <w:r w:rsidRPr="00444B24">
        <w:rPr>
          <w:b/>
          <w:color w:val="00188F"/>
        </w:rPr>
        <w:t>Qualifizierende Add-On-AL</w:t>
      </w:r>
      <w:r>
        <w:rPr>
          <w:b/>
          <w:color w:val="00188F"/>
        </w:rPr>
        <w:t>s</w:t>
      </w:r>
      <w:r w:rsidRPr="00444B24">
        <w:rPr>
          <w:b/>
          <w:color w:val="00188F"/>
        </w:rPr>
        <w:t xml:space="preserve"> für Bing Maps Mobile Asset Management Platform</w:t>
      </w:r>
      <w:r>
        <w:rPr>
          <w:b/>
          <w:color w:val="00188F"/>
        </w:rPr>
        <w:t>-Dienst-AL</w:t>
      </w:r>
    </w:p>
    <w:p w:rsidR="00585E19" w:rsidRPr="00444B24" w:rsidRDefault="00585E19" w:rsidP="00917344">
      <w:pPr>
        <w:pStyle w:val="ProductList-Body"/>
      </w:pPr>
      <w:r w:rsidRPr="00444B24">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585E19" w:rsidRPr="009E3BAD" w:rsidRDefault="00585E19" w:rsidP="00917344">
      <w:pPr>
        <w:pStyle w:val="ProductList-Body"/>
        <w:rPr>
          <w:sz w:val="15"/>
          <w:szCs w:val="15"/>
        </w:rPr>
      </w:pPr>
    </w:p>
    <w:p w:rsidR="00585E19" w:rsidRPr="00444B24" w:rsidRDefault="00585E19" w:rsidP="00917344">
      <w:pPr>
        <w:pStyle w:val="ProductList-Body"/>
      </w:pPr>
      <w:r w:rsidRPr="00444B24">
        <w:rPr>
          <w:b/>
          <w:color w:val="00188F"/>
        </w:rPr>
        <w:t>Authentifizierte Nutzer</w:t>
      </w:r>
    </w:p>
    <w:p w:rsidR="00585E19" w:rsidRPr="00444B24" w:rsidRDefault="00585E19" w:rsidP="00917344">
      <w:pPr>
        <w:pStyle w:val="ProductList-Body"/>
      </w:pPr>
      <w:r w:rsidRPr="00444B24">
        <w:t>Nutzer, die von Programmen des Kunden, die auf die Dienste Bing Maps Enterprise Platform und Bing Maps Mobile Asset Management Platform zugreifen, authentifiziert werden, müssen über eine AL verfügen.</w:t>
      </w:r>
    </w:p>
    <w:p w:rsidR="00585E19" w:rsidRPr="009E3BAD" w:rsidRDefault="00585E19" w:rsidP="00917344">
      <w:pPr>
        <w:pStyle w:val="ProductList-Body"/>
        <w:rPr>
          <w:sz w:val="15"/>
          <w:szCs w:val="15"/>
        </w:rPr>
      </w:pPr>
    </w:p>
    <w:p w:rsidR="00585E19" w:rsidRPr="00444B24" w:rsidRDefault="00585E19" w:rsidP="00917344">
      <w:pPr>
        <w:pStyle w:val="ProductList-Body"/>
      </w:pPr>
      <w:r w:rsidRPr="00444B24">
        <w:rPr>
          <w:b/>
          <w:color w:val="00188F"/>
        </w:rPr>
        <w:t>Bing Maps-APIs</w:t>
      </w:r>
    </w:p>
    <w:p w:rsidR="00585E19" w:rsidRPr="00444B24" w:rsidRDefault="00585E19" w:rsidP="00917344">
      <w:pPr>
        <w:pStyle w:val="ProductList-Body"/>
      </w:pPr>
      <w:r w:rsidRPr="00444B24">
        <w:t>Der Kunde ist berechtigt, alle Bing Maps-APIs gemäß den Nutzungsbestimmungen für die APIs von Microsoft Bing Maps Platform und den SDKs von</w:t>
      </w:r>
      <w:r>
        <w:t> </w:t>
      </w:r>
      <w:r w:rsidRPr="00444B24">
        <w:t xml:space="preserve">Bing Maps Platform einschließlich aller Folgeversionen, die unter den folgenden Adressen bereitgestellt werden, zu verwenden: </w:t>
      </w:r>
      <w:hyperlink r:id="rId41" w:history="1">
        <w:r w:rsidRPr="00444B24">
          <w:rPr>
            <w:rStyle w:val="Hyperlink"/>
            <w:rFonts w:cs="Arial"/>
          </w:rPr>
          <w:t>http://go.microsoft.com/fwlink/p/?LinkID=66121</w:t>
        </w:r>
      </w:hyperlink>
      <w:r w:rsidRPr="00444B24">
        <w:t xml:space="preserve"> und </w:t>
      </w:r>
      <w:hyperlink r:id="rId42" w:history="1">
        <w:r w:rsidRPr="00444B24">
          <w:rPr>
            <w:rStyle w:val="Hyperlink"/>
            <w:rFonts w:cs="Arial"/>
          </w:rPr>
          <w:t>http://go.microsoft.com/fwlink/p/?LinkID=223436</w:t>
        </w:r>
      </w:hyperlink>
      <w:r w:rsidRPr="00444B24">
        <w:t>.</w:t>
      </w:r>
    </w:p>
    <w:p w:rsidR="00585E19" w:rsidRPr="009E3BAD" w:rsidRDefault="00585E19" w:rsidP="00917344">
      <w:pPr>
        <w:pStyle w:val="ProductList-Body"/>
        <w:rPr>
          <w:sz w:val="15"/>
          <w:szCs w:val="15"/>
        </w:rPr>
      </w:pPr>
    </w:p>
    <w:p w:rsidR="00585E19" w:rsidRPr="00444B24" w:rsidRDefault="00585E19" w:rsidP="00917344">
      <w:pPr>
        <w:pStyle w:val="ProductList-Body"/>
      </w:pPr>
      <w:r w:rsidRPr="00444B24">
        <w:rPr>
          <w:b/>
          <w:color w:val="00188F"/>
        </w:rPr>
        <w:t>Bing Maps Privacy</w:t>
      </w:r>
    </w:p>
    <w:p w:rsidR="00585E19" w:rsidRPr="00444B24" w:rsidRDefault="00585E19" w:rsidP="00917344">
      <w:pPr>
        <w:pStyle w:val="ProductList-Body"/>
      </w:pPr>
      <w:r w:rsidRPr="00444B24">
        <w:t xml:space="preserve">Die Datenschutzerklärung von Bing und die Datenschutzbestimmungen in den Nutzungsbestimmungen für die APIs von Microsoft Bing Maps Platform befinden sich unter: </w:t>
      </w:r>
      <w:hyperlink r:id="rId43" w:history="1">
        <w:r w:rsidRPr="00444B24">
          <w:rPr>
            <w:rStyle w:val="Hyperlink"/>
            <w:rFonts w:cs="Arial"/>
          </w:rPr>
          <w:t>http://go.microsoft.com/fwlink/?LinkID=248686</w:t>
        </w:r>
      </w:hyperlink>
      <w:r w:rsidRPr="00444B24">
        <w:t xml:space="preserve"> und sind auf die Verwendung von Bing Maps-Diensten durch den Kunden</w:t>
      </w:r>
      <w:r>
        <w:t xml:space="preserve"> anwendbar</w:t>
      </w:r>
      <w:r w:rsidRPr="00444B24">
        <w:t>.</w:t>
      </w:r>
    </w:p>
    <w:p w:rsidR="00585E19" w:rsidRPr="00444B24" w:rsidRDefault="00B36E70" w:rsidP="00917344">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Default="00585E19" w:rsidP="00233C87">
      <w:pPr>
        <w:pStyle w:val="ProductList-Offering2Heading"/>
        <w:outlineLvl w:val="2"/>
      </w:pPr>
    </w:p>
    <w:p w:rsidR="00585E19" w:rsidRPr="00444B24" w:rsidRDefault="00585E19" w:rsidP="00233C87">
      <w:pPr>
        <w:pStyle w:val="ProductList-Offering2Heading"/>
        <w:outlineLvl w:val="2"/>
      </w:pPr>
      <w:r w:rsidRPr="00444B24">
        <w:tab/>
      </w:r>
      <w:bookmarkStart w:id="73" w:name="_Toc401641603"/>
      <w:r w:rsidRPr="00444B24">
        <w:t>Microsoft Learning E-Reference Library</w:t>
      </w:r>
      <w:bookmarkEnd w:id="73"/>
    </w:p>
    <w:p w:rsidR="00585E19" w:rsidRPr="00444B24" w:rsidRDefault="00585E19" w:rsidP="00A914BF">
      <w:pPr>
        <w:pStyle w:val="ProductList-Body"/>
      </w:pPr>
      <w:r w:rsidRPr="00444B24">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585E19" w:rsidRPr="00444B24" w:rsidRDefault="00B36E70" w:rsidP="00917344">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233C87">
      <w:pPr>
        <w:pStyle w:val="ProductList-Offering2Heading"/>
        <w:outlineLvl w:val="2"/>
      </w:pPr>
      <w:r w:rsidRPr="00444B24">
        <w:tab/>
      </w:r>
      <w:bookmarkStart w:id="74" w:name="_Toc401641604"/>
      <w:r w:rsidRPr="00444B24">
        <w:t>Microsoft Learning IT Academy</w:t>
      </w:r>
      <w:bookmarkEnd w:id="74"/>
    </w:p>
    <w:p w:rsidR="00585E19" w:rsidRPr="00444B24" w:rsidRDefault="00585E19" w:rsidP="00917344">
      <w:pPr>
        <w:pStyle w:val="ProductList-Body"/>
      </w:pPr>
      <w:r w:rsidRPr="00444B24">
        <w:rPr>
          <w:b/>
          <w:color w:val="00188F"/>
        </w:rPr>
        <w:t>Dienste-AL</w:t>
      </w:r>
    </w:p>
    <w:p w:rsidR="00585E19" w:rsidRPr="00444B24" w:rsidRDefault="00585E19" w:rsidP="00917344">
      <w:pPr>
        <w:pStyle w:val="ProductList-Body"/>
      </w:pPr>
      <w:r w:rsidRPr="00444B24">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585E19" w:rsidRPr="00444B24" w:rsidRDefault="00585E19" w:rsidP="00917344">
      <w:pPr>
        <w:pStyle w:val="ProductList-Body"/>
      </w:pPr>
    </w:p>
    <w:p w:rsidR="00585E19" w:rsidRPr="00444B24" w:rsidRDefault="00585E19" w:rsidP="00917344">
      <w:pPr>
        <w:pStyle w:val="ProductList-Body"/>
      </w:pPr>
      <w:r w:rsidRPr="00444B24">
        <w:rPr>
          <w:b/>
          <w:color w:val="00188F"/>
        </w:rPr>
        <w:t>IT Academy</w:t>
      </w:r>
      <w:r>
        <w:rPr>
          <w:b/>
          <w:color w:val="00188F"/>
        </w:rPr>
        <w:t>-</w:t>
      </w:r>
      <w:r w:rsidRPr="00444B24">
        <w:rPr>
          <w:b/>
          <w:color w:val="00188F"/>
        </w:rPr>
        <w:t>Programmleitfäden</w:t>
      </w:r>
    </w:p>
    <w:p w:rsidR="00585E19" w:rsidRPr="00444B24" w:rsidRDefault="00585E19" w:rsidP="00917344">
      <w:pPr>
        <w:pStyle w:val="ProductList-Body"/>
      </w:pPr>
      <w:r w:rsidRPr="00444B24">
        <w:t xml:space="preserve">Die IT Academy-Programmleitfäden unter </w:t>
      </w:r>
      <w:hyperlink r:id="rId44" w:history="1">
        <w:r w:rsidRPr="00444B24">
          <w:rPr>
            <w:rStyle w:val="Hyperlink"/>
            <w:rFonts w:cs="Arial"/>
          </w:rPr>
          <w:t>http://www.microsoft.com/itacademy</w:t>
        </w:r>
      </w:hyperlink>
      <w:r w:rsidRPr="00444B24">
        <w:t xml:space="preserve"> gelten für die Nutzung durch den Kunden von Microsoft Learning IT Academy und der damit verbundenen Vorteile.</w:t>
      </w:r>
    </w:p>
    <w:p w:rsidR="00585E19" w:rsidRPr="00444B24" w:rsidRDefault="00585E19" w:rsidP="00917344">
      <w:pPr>
        <w:pStyle w:val="ProductList-Body"/>
      </w:pPr>
    </w:p>
    <w:p w:rsidR="00585E19" w:rsidRPr="00444B24" w:rsidRDefault="00585E19" w:rsidP="00917344">
      <w:pPr>
        <w:pStyle w:val="ProductList-Body"/>
      </w:pPr>
      <w:r w:rsidRPr="00444B24">
        <w:rPr>
          <w:b/>
          <w:color w:val="00188F"/>
        </w:rPr>
        <w:t>Von Dritten bereitgestellte Programmvorteile</w:t>
      </w:r>
    </w:p>
    <w:p w:rsidR="00585E19" w:rsidRPr="00444B24" w:rsidRDefault="00585E19" w:rsidP="00917344">
      <w:pPr>
        <w:pStyle w:val="ProductList-Body"/>
      </w:pPr>
      <w:r w:rsidRPr="00444B24">
        <w:t>Programmvorteile können nur von den wissenschaftlichen und sonstigen Mitarbeitern sowie den zum jeweiligen Zeitpunkt eingeschriebenen Studenten einer lizenzierten Einrichtung genutzt werden.</w:t>
      </w:r>
    </w:p>
    <w:p w:rsidR="00585E19" w:rsidRPr="00444B24" w:rsidRDefault="00B36E70" w:rsidP="00917344">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581CDB">
      <w:pPr>
        <w:pStyle w:val="ProductList-Offering2Heading"/>
        <w:outlineLvl w:val="2"/>
      </w:pPr>
      <w:r w:rsidRPr="00444B24">
        <w:tab/>
      </w:r>
      <w:bookmarkStart w:id="75" w:name="_Toc401641605"/>
      <w:r w:rsidRPr="00444B24">
        <w:t>Office 365 Developer</w:t>
      </w:r>
      <w:bookmarkEnd w:id="75"/>
    </w:p>
    <w:p w:rsidR="00585E19" w:rsidRPr="00444B24" w:rsidRDefault="00585E19" w:rsidP="00581CDB">
      <w:pPr>
        <w:pStyle w:val="ProductList-Body"/>
        <w:tabs>
          <w:tab w:val="clear" w:pos="158"/>
          <w:tab w:val="left" w:pos="180"/>
        </w:tabs>
      </w:pPr>
      <w:r w:rsidRPr="00444B24">
        <w:rPr>
          <w:b/>
          <w:color w:val="00188F"/>
        </w:rPr>
        <w:t>Office 365 Developer</w:t>
      </w:r>
      <w:r>
        <w:rPr>
          <w:b/>
          <w:color w:val="00188F"/>
        </w:rPr>
        <w:t xml:space="preserve"> darf nicht in einer Produktionsumgebung genutzt werden</w:t>
      </w:r>
    </w:p>
    <w:p w:rsidR="00585E19" w:rsidRPr="00444B24" w:rsidRDefault="00585E19" w:rsidP="00581CDB">
      <w:pPr>
        <w:pStyle w:val="ProductList-Body"/>
        <w:tabs>
          <w:tab w:val="clear" w:pos="158"/>
          <w:tab w:val="left" w:pos="180"/>
        </w:tabs>
      </w:pPr>
      <w:r w:rsidRPr="00444B24">
        <w:t>Jeder Nutzer, dem der Kunde eine Nutzer-AL zuweist, ist dazu berechtigt, den Onlinedienst zu nutzen, um die Anwendungen des Kunden zu</w:t>
      </w:r>
      <w:r>
        <w:t> </w:t>
      </w:r>
      <w:r w:rsidRPr="00444B24">
        <w:t>entwerfen, zu entwickeln und zu testen</w:t>
      </w:r>
      <w:r>
        <w:t>,</w:t>
      </w:r>
      <w:r w:rsidRPr="00444B24">
        <w:t xml:space="preserve"> um sie für die Office 365-Onlinedienste des Kunden, </w:t>
      </w:r>
      <w:r>
        <w:t xml:space="preserve">für </w:t>
      </w:r>
      <w:r w:rsidRPr="00444B24">
        <w:t>lokale Bereitstellungen oder für den Microsoft</w:t>
      </w:r>
      <w:r>
        <w:t> </w:t>
      </w:r>
      <w:r w:rsidRPr="00444B24">
        <w:t>Office Store zur Verfügung zu stellen. Der Onlinedienst ist nicht zur</w:t>
      </w:r>
      <w:r>
        <w:t xml:space="preserve"> Verwendung in einer Produktionsumgebung </w:t>
      </w:r>
      <w:r w:rsidRPr="00444B24">
        <w:t>lizenziert.</w:t>
      </w:r>
    </w:p>
    <w:p w:rsidR="00585E19" w:rsidRPr="00444B24" w:rsidRDefault="00585E19" w:rsidP="00581CDB">
      <w:pPr>
        <w:pStyle w:val="ProductList-Body"/>
        <w:tabs>
          <w:tab w:val="clear" w:pos="158"/>
          <w:tab w:val="left" w:pos="180"/>
        </w:tabs>
      </w:pPr>
    </w:p>
    <w:p w:rsidR="00585E19" w:rsidRPr="00444B24" w:rsidRDefault="00585E19" w:rsidP="00581CDB">
      <w:pPr>
        <w:pStyle w:val="ProductList-Body"/>
        <w:tabs>
          <w:tab w:val="clear" w:pos="158"/>
          <w:tab w:val="left" w:pos="180"/>
        </w:tabs>
      </w:pPr>
      <w:r w:rsidRPr="00444B24">
        <w:rPr>
          <w:b/>
          <w:color w:val="00188F"/>
        </w:rPr>
        <w:t>Endbenutzer von Office 365 Developer</w:t>
      </w:r>
    </w:p>
    <w:p w:rsidR="00585E19" w:rsidRPr="00444B24" w:rsidRDefault="00585E19" w:rsidP="00581CDB">
      <w:pPr>
        <w:pStyle w:val="ProductList-Body"/>
        <w:tabs>
          <w:tab w:val="clear" w:pos="158"/>
          <w:tab w:val="left" w:pos="180"/>
        </w:tabs>
      </w:pPr>
      <w:r w:rsidRPr="00444B24">
        <w:t>Die Endbenutzer des Kunden benötigen keine AL für den Zugriff auf Office 365 Developer, um Akzeptanztests mit den Programmen des Kunden durchzuführen oder Feedback zu den Programmen des Kunden zu geben.</w:t>
      </w:r>
    </w:p>
    <w:p w:rsidR="00585E19" w:rsidRPr="00444B24" w:rsidRDefault="00B36E70" w:rsidP="00581CDB">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233C87">
      <w:pPr>
        <w:pStyle w:val="ProductList-Offering2Heading"/>
        <w:outlineLvl w:val="2"/>
      </w:pPr>
      <w:r w:rsidRPr="00444B24">
        <w:tab/>
      </w:r>
      <w:bookmarkStart w:id="76" w:name="_Toc401641606"/>
      <w:r w:rsidRPr="00444B24">
        <w:t>Power BI für Office 365</w:t>
      </w:r>
      <w:bookmarkEnd w:id="76"/>
    </w:p>
    <w:p w:rsidR="00585E19" w:rsidRPr="00444B24" w:rsidRDefault="00585E19" w:rsidP="00D12FE5">
      <w:pPr>
        <w:pStyle w:val="ProductList-Body"/>
        <w:tabs>
          <w:tab w:val="clear" w:pos="158"/>
          <w:tab w:val="left" w:pos="360"/>
        </w:tabs>
      </w:pPr>
      <w:r w:rsidRPr="00444B24">
        <w:rPr>
          <w:b/>
          <w:color w:val="00188F"/>
        </w:rPr>
        <w:t>Hinweise</w:t>
      </w:r>
    </w:p>
    <w:p w:rsidR="00585E19" w:rsidRPr="00444B24" w:rsidRDefault="00585E19" w:rsidP="00D12FE5">
      <w:pPr>
        <w:pStyle w:val="ProductList-Body"/>
      </w:pPr>
      <w:r w:rsidRPr="00444B24">
        <w:t xml:space="preserve">Die Hinweise zu Bing Maps in </w:t>
      </w:r>
      <w:hyperlink w:anchor="Attachment1" w:tooltip="Anhang 1" w:history="1">
        <w:r w:rsidRPr="00AF4639">
          <w:rPr>
            <w:rStyle w:val="Hyperlink"/>
            <w:rFonts w:cs="Arial"/>
          </w:rPr>
          <w:t>Anhang 1</w:t>
        </w:r>
      </w:hyperlink>
      <w:r w:rsidRPr="00444B24">
        <w:t xml:space="preserve"> sind anwendbar.</w:t>
      </w:r>
    </w:p>
    <w:p w:rsidR="00585E19" w:rsidRPr="00444B24" w:rsidRDefault="00B36E70" w:rsidP="00D67A4B">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233C87">
      <w:pPr>
        <w:pStyle w:val="ProductList-Offering2Heading"/>
        <w:outlineLvl w:val="2"/>
      </w:pPr>
      <w:r w:rsidRPr="00444B24">
        <w:tab/>
      </w:r>
      <w:bookmarkStart w:id="77" w:name="_Toc401641607"/>
      <w:r w:rsidRPr="00444B24">
        <w:t>System Center Endpoint Protection</w:t>
      </w:r>
      <w:bookmarkEnd w:id="77"/>
    </w:p>
    <w:p w:rsidR="00585E19" w:rsidRPr="00444B24" w:rsidRDefault="00585E19" w:rsidP="00D67A4B">
      <w:pPr>
        <w:pStyle w:val="ProductList-Body"/>
      </w:pPr>
      <w:r w:rsidRPr="00444B24">
        <w:rPr>
          <w:b/>
          <w:color w:val="00188F"/>
        </w:rPr>
        <w:t>Geräte-ALs</w:t>
      </w:r>
    </w:p>
    <w:p w:rsidR="00585E19" w:rsidRPr="00444B24" w:rsidRDefault="00585E19" w:rsidP="00D67A4B">
      <w:pPr>
        <w:pStyle w:val="ProductList-Body"/>
      </w:pPr>
      <w:r w:rsidRPr="00444B24">
        <w:t>Eine AL ist für jedes Gerät erforderlich, das auf System Center Endpoint Protection oder zugehörige Software zugreift. Ausgenommen davon sind Server, die Server-Management-Lizenzen benötigen.</w:t>
      </w:r>
    </w:p>
    <w:p w:rsidR="00585E19" w:rsidRPr="00444B24" w:rsidRDefault="00585E19" w:rsidP="00D67A4B">
      <w:pPr>
        <w:pStyle w:val="ProductList-Body"/>
      </w:pPr>
    </w:p>
    <w:p w:rsidR="00585E19" w:rsidRPr="00444B24" w:rsidRDefault="00585E19" w:rsidP="00D67A4B">
      <w:pPr>
        <w:pStyle w:val="ProductList-Body"/>
      </w:pPr>
      <w:r w:rsidRPr="00444B24">
        <w:rPr>
          <w:b/>
          <w:color w:val="00188F"/>
        </w:rPr>
        <w:t>Server Management ALs</w:t>
      </w:r>
    </w:p>
    <w:p w:rsidR="00585E19" w:rsidRPr="00444B24" w:rsidRDefault="00585E19" w:rsidP="00D67A4B">
      <w:pPr>
        <w:pStyle w:val="ProductList-Body"/>
      </w:pPr>
      <w:r w:rsidRPr="00444B24">
        <w:t>Neben</w:t>
      </w:r>
      <w:r>
        <w:t xml:space="preserve"> der Notwendigkeit von </w:t>
      </w:r>
      <w:r w:rsidRPr="00444B24">
        <w:t>Nutzer-ALs</w:t>
      </w:r>
      <w:r>
        <w:t xml:space="preserve"> sind </w:t>
      </w:r>
      <w:r w:rsidRPr="00444B24">
        <w:t xml:space="preserve">Server-Management-Lizenzen für jeden Server notwendig, und zwar in der Anzahl, die in den Produktbenutzungsrechten im Abschnitt „Management Server“ in den Lizenzbestimmungen für System Center 2012 R2 Datacenter und Standard angegeben ist. Die Produktbenutzungsrechte befindet sich unter </w:t>
      </w:r>
      <w:hyperlink r:id="rId45" w:history="1">
        <w:r w:rsidRPr="00444B24">
          <w:rPr>
            <w:rStyle w:val="Hyperlink"/>
            <w:rFonts w:cs="Arial"/>
          </w:rPr>
          <w:t>http://go.microsoft.com/?linkid=9839206</w:t>
        </w:r>
      </w:hyperlink>
      <w:r w:rsidRPr="00444B24">
        <w:t>. Im Sinne dieser Erklärung sind OSE</w:t>
      </w:r>
      <w:r>
        <w:t>s</w:t>
      </w:r>
      <w:r w:rsidRPr="00444B24">
        <w:t>, die Serverbetriebssysteme ausführen, die auf System Center Endpoint Protection oder</w:t>
      </w:r>
      <w:r>
        <w:t xml:space="preserve"> zugehörige </w:t>
      </w:r>
      <w:r w:rsidRPr="00444B24">
        <w:t>Software zugreifen, „verwaltete OSE</w:t>
      </w:r>
      <w:r>
        <w:t>s</w:t>
      </w:r>
      <w:r w:rsidRPr="00444B24">
        <w:t>“. Im Sinne dieses Absatzes ist ein „Server“ ein Gerät, auf dem der Kunde Server-Betriebssystemsoftware ausführt.</w:t>
      </w:r>
    </w:p>
    <w:p w:rsidR="00585E19" w:rsidRPr="00444B24" w:rsidRDefault="00585E19" w:rsidP="00D67A4B">
      <w:pPr>
        <w:pStyle w:val="ProductList-Body"/>
      </w:pPr>
    </w:p>
    <w:p w:rsidR="00585E19" w:rsidRPr="00444B24" w:rsidRDefault="00585E19" w:rsidP="00D67A4B">
      <w:pPr>
        <w:pStyle w:val="ProductList-Body"/>
      </w:pPr>
      <w:r w:rsidRPr="00444B24">
        <w:rPr>
          <w:b/>
          <w:color w:val="00188F"/>
        </w:rPr>
        <w:t>Ersetzung von Scanmodulen</w:t>
      </w:r>
    </w:p>
    <w:p w:rsidR="00585E19" w:rsidRPr="00444B24" w:rsidRDefault="00585E19" w:rsidP="00D67A4B">
      <w:pPr>
        <w:pStyle w:val="ProductList-Body"/>
      </w:pPr>
      <w:r w:rsidRPr="00444B24">
        <w:t>Microsoft ist berechtigt, die folgenden Elemente des Onlinedienstes durch vergleichbare Software und Dateien zu ersetzen:</w:t>
      </w:r>
    </w:p>
    <w:p w:rsidR="00585E19" w:rsidRPr="00444B24" w:rsidRDefault="00585E19" w:rsidP="002A1160">
      <w:pPr>
        <w:pStyle w:val="ProductList-Body"/>
        <w:numPr>
          <w:ilvl w:val="0"/>
          <w:numId w:val="21"/>
        </w:numPr>
        <w:ind w:left="461" w:hanging="274"/>
      </w:pPr>
      <w:r w:rsidRPr="00444B24">
        <w:t>Antivirus- und Antispamsoftware</w:t>
      </w:r>
    </w:p>
    <w:p w:rsidR="00585E19" w:rsidRPr="00444B24" w:rsidRDefault="00585E19" w:rsidP="002A1160">
      <w:pPr>
        <w:pStyle w:val="ProductList-Body"/>
        <w:numPr>
          <w:ilvl w:val="0"/>
          <w:numId w:val="21"/>
        </w:numPr>
        <w:spacing w:before="40"/>
        <w:ind w:left="461" w:hanging="274"/>
      </w:pPr>
      <w:r w:rsidRPr="00444B24">
        <w:t>Signaturdateien und Datendateien für die Inhaltsfilterung.</w:t>
      </w:r>
    </w:p>
    <w:p w:rsidR="00585E19" w:rsidRPr="00444B24" w:rsidRDefault="00B36E70" w:rsidP="00D67A4B">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233C87">
      <w:pPr>
        <w:pStyle w:val="ProductList-Offering2Heading"/>
        <w:outlineLvl w:val="2"/>
      </w:pPr>
      <w:r w:rsidRPr="00444B24">
        <w:tab/>
      </w:r>
      <w:bookmarkStart w:id="78" w:name="_Toc401641608"/>
      <w:r w:rsidRPr="00444B24">
        <w:t>Translator API</w:t>
      </w:r>
      <w:bookmarkEnd w:id="78"/>
    </w:p>
    <w:p w:rsidR="00585E19" w:rsidRPr="00444B24" w:rsidRDefault="00585E19" w:rsidP="00A914BF">
      <w:pPr>
        <w:pStyle w:val="ProductList-Body"/>
      </w:pPr>
      <w:r w:rsidRPr="00444B24">
        <w:t xml:space="preserve">Der Kunde ist berechtigt, die Translator API in Übereinstimmung mit den Nutzungsbestimmungen für Translator APIs einschließlich der Nachfolgebestimmungen unter </w:t>
      </w:r>
      <w:hyperlink r:id="rId46" w:history="1">
        <w:r w:rsidRPr="00444B24">
          <w:rPr>
            <w:rStyle w:val="Hyperlink"/>
            <w:rFonts w:cs="Arial"/>
          </w:rPr>
          <w:t>http://aka.ms/translatortou</w:t>
        </w:r>
      </w:hyperlink>
      <w:r w:rsidRPr="00444B24">
        <w:t xml:space="preserve"> und der Translator-Datenschutzerklärung unter </w:t>
      </w:r>
      <w:hyperlink r:id="rId47" w:history="1">
        <w:r w:rsidRPr="0024719F">
          <w:rPr>
            <w:rStyle w:val="Hyperlink"/>
            <w:rFonts w:cs="Arial"/>
          </w:rPr>
          <w:t>http://aka.ms/translatorprivacy</w:t>
        </w:r>
      </w:hyperlink>
      <w:r w:rsidRPr="0024719F">
        <w:t xml:space="preserve"> zu nutzen</w:t>
      </w:r>
      <w:r w:rsidRPr="00444B24">
        <w:t>.</w:t>
      </w:r>
    </w:p>
    <w:p w:rsidR="00585E19" w:rsidRPr="00444B24" w:rsidRDefault="00B36E70" w:rsidP="00D67A4B">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233C87">
      <w:pPr>
        <w:pStyle w:val="ProductList-Offering2Heading"/>
        <w:outlineLvl w:val="2"/>
      </w:pPr>
      <w:r w:rsidRPr="00444B24">
        <w:tab/>
      </w:r>
      <w:bookmarkStart w:id="79" w:name="_Toc401641609"/>
      <w:r w:rsidRPr="00444B24">
        <w:t>Yammer Enterprise</w:t>
      </w:r>
      <w:bookmarkEnd w:id="79"/>
    </w:p>
    <w:p w:rsidR="00585E19" w:rsidRPr="00444B24" w:rsidRDefault="00585E19" w:rsidP="00D67A4B">
      <w:pPr>
        <w:pStyle w:val="ProductList-Body"/>
      </w:pPr>
      <w:r w:rsidRPr="00444B24">
        <w:rPr>
          <w:b/>
          <w:color w:val="00188F"/>
        </w:rPr>
        <w:t>Externe Nutzer</w:t>
      </w:r>
    </w:p>
    <w:p w:rsidR="00585E19" w:rsidRPr="00444B24" w:rsidRDefault="00585E19" w:rsidP="00D67A4B">
      <w:pPr>
        <w:pStyle w:val="ProductList-Body"/>
      </w:pPr>
      <w:r w:rsidRPr="00444B24">
        <w:t>Externe Nutzer, die über externe Netzwerkfunktionen zu Yammer eingeladen werden, benötigen keine Nutzer-ALs.</w:t>
      </w:r>
    </w:p>
    <w:p w:rsidR="00585E19" w:rsidRPr="00444B24" w:rsidRDefault="00585E19" w:rsidP="00D67A4B">
      <w:pPr>
        <w:pStyle w:val="ProductList-Body"/>
      </w:pPr>
    </w:p>
    <w:p w:rsidR="00585E19" w:rsidRPr="00444B24" w:rsidRDefault="00585E19" w:rsidP="00D67A4B">
      <w:pPr>
        <w:pStyle w:val="ProductList-Body"/>
      </w:pPr>
      <w:r w:rsidRPr="00444B24">
        <w:rPr>
          <w:b/>
          <w:color w:val="00188F"/>
        </w:rPr>
        <w:t>Verwendung von Kundendaten durch Microsoft</w:t>
      </w:r>
    </w:p>
    <w:p w:rsidR="00585E19" w:rsidRPr="00444B24" w:rsidRDefault="00585E19" w:rsidP="00D67A4B">
      <w:pPr>
        <w:pStyle w:val="ProductList-Body"/>
      </w:pPr>
      <w:r w:rsidRPr="00444B24">
        <w:t>Ungeachtet anders lautender Bestimmungen im Volumenlizenzvertrag des Kunden oder den Bestimmungen für Onlinedienste (OST), unterliegt die</w:t>
      </w:r>
      <w:r>
        <w:t> </w:t>
      </w:r>
      <w:r w:rsidRPr="00444B24">
        <w:t>Verwendung von Kundendaten im Onlinedienst Yammer Enterprise durch Microsoft sowohl vor als auch nach</w:t>
      </w:r>
      <w:r>
        <w:t xml:space="preserve"> Beendigung </w:t>
      </w:r>
      <w:r w:rsidRPr="00444B24">
        <w:t xml:space="preserve">des Onlinedienste-Abonnements des Kunden der Datenschutzerklärung für Yammer unter </w:t>
      </w:r>
      <w:hyperlink r:id="rId48" w:history="1">
        <w:r w:rsidRPr="00444B24">
          <w:rPr>
            <w:rStyle w:val="Hyperlink"/>
            <w:rFonts w:cs="Arial"/>
          </w:rPr>
          <w:t>www.yammer.com/about/privacy</w:t>
        </w:r>
      </w:hyperlink>
      <w:r w:rsidRPr="00444B24">
        <w:t xml:space="preserve">. </w:t>
      </w:r>
    </w:p>
    <w:p w:rsidR="00585E19" w:rsidRPr="00444B24" w:rsidRDefault="00B36E70" w:rsidP="00D67A4B">
      <w:pPr>
        <w:pStyle w:val="ProductList-Body"/>
        <w:shd w:val="clear" w:color="auto" w:fill="A6A6A6"/>
        <w:spacing w:before="120" w:after="240"/>
        <w:jc w:val="right"/>
      </w:pPr>
      <w:hyperlink w:anchor="TableofContents" w:tooltip="Inhalt" w:history="1">
        <w:r w:rsidR="00585E19" w:rsidRPr="00444B24">
          <w:rPr>
            <w:rStyle w:val="Hyperlink"/>
            <w:rFonts w:cs="Arial"/>
            <w:sz w:val="16"/>
            <w:szCs w:val="16"/>
          </w:rPr>
          <w:t>Inhalt</w:t>
        </w:r>
      </w:hyperlink>
      <w:r w:rsidR="00585E19" w:rsidRPr="00444B24">
        <w:rPr>
          <w:sz w:val="16"/>
          <w:szCs w:val="16"/>
        </w:rPr>
        <w:t xml:space="preserve"> / </w:t>
      </w:r>
      <w:hyperlink w:anchor="GeneralTerms" w:tooltip="Allgemeine Bestimmungen" w:history="1">
        <w:r w:rsidR="00585E19" w:rsidRPr="00444B24">
          <w:rPr>
            <w:rStyle w:val="Hyperlink"/>
            <w:rFonts w:cs="Arial"/>
            <w:sz w:val="16"/>
            <w:szCs w:val="16"/>
          </w:rPr>
          <w:t>Allgemeine Bestimmungen</w:t>
        </w:r>
      </w:hyperlink>
    </w:p>
    <w:p w:rsidR="00585E19" w:rsidRPr="00444B24" w:rsidRDefault="00585E19" w:rsidP="00A914BF">
      <w:pPr>
        <w:pStyle w:val="ProductList-Body"/>
      </w:pPr>
    </w:p>
    <w:p w:rsidR="00585E19" w:rsidRPr="00444B24" w:rsidRDefault="00585E19" w:rsidP="00A914BF">
      <w:pPr>
        <w:pStyle w:val="ProductList-Body"/>
        <w:sectPr w:rsidR="00585E19" w:rsidRPr="00444B24" w:rsidSect="00E275D6">
          <w:type w:val="continuous"/>
          <w:pgSz w:w="12240" w:h="15840"/>
          <w:pgMar w:top="1440" w:right="720" w:bottom="1440" w:left="720" w:header="720" w:footer="720" w:gutter="0"/>
          <w:cols w:space="720"/>
          <w:titlePg/>
          <w:docGrid w:linePitch="360"/>
        </w:sectPr>
      </w:pPr>
    </w:p>
    <w:p w:rsidR="00585E19" w:rsidRPr="00444B24" w:rsidRDefault="00585E19" w:rsidP="00233C87">
      <w:pPr>
        <w:pStyle w:val="ProductList-SectionHeading"/>
        <w:outlineLvl w:val="0"/>
      </w:pPr>
      <w:bookmarkStart w:id="80" w:name="Attachment1"/>
      <w:bookmarkStart w:id="81" w:name="_Toc401641610"/>
      <w:r w:rsidRPr="00444B24">
        <w:t>Anhang 1 – Hinweise</w:t>
      </w:r>
      <w:bookmarkEnd w:id="80"/>
      <w:bookmarkEnd w:id="81"/>
    </w:p>
    <w:p w:rsidR="00585E19" w:rsidRPr="00444B24" w:rsidRDefault="00585E19" w:rsidP="00233C87">
      <w:pPr>
        <w:pStyle w:val="ProductList-Offering1Heading"/>
        <w:outlineLvl w:val="1"/>
      </w:pPr>
      <w:bookmarkStart w:id="82" w:name="_Toc401641611"/>
      <w:r w:rsidRPr="00444B24">
        <w:t>Bing Maps</w:t>
      </w:r>
      <w:bookmarkEnd w:id="82"/>
    </w:p>
    <w:p w:rsidR="00585E19" w:rsidRPr="00444B24" w:rsidRDefault="00585E19" w:rsidP="00A914BF">
      <w:pPr>
        <w:pStyle w:val="ProductList-Body"/>
      </w:pPr>
      <w:r w:rsidRPr="00444B24">
        <w:t>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den</w:t>
      </w:r>
      <w:r>
        <w:t xml:space="preserve"> </w:t>
      </w:r>
      <w:r w:rsidRPr="00444B24">
        <w:t>Bing Maps</w:t>
      </w:r>
      <w:r>
        <w:t>-Nutzungsbestimmungen für Endbenutzer</w:t>
      </w:r>
      <w:r w:rsidRPr="00444B24">
        <w:t xml:space="preserve">unter </w:t>
      </w:r>
      <w:hyperlink r:id="rId49" w:history="1">
        <w:r w:rsidRPr="00444B24">
          <w:rPr>
            <w:rStyle w:val="Hyperlink"/>
            <w:rFonts w:cs="Arial"/>
          </w:rPr>
          <w:t>go.microsoft.com/?linkid=9710837</w:t>
        </w:r>
      </w:hyperlink>
      <w:r w:rsidRPr="00444B24">
        <w:t xml:space="preserve"> und der Datenschutzerklärung von Bing Maps unter </w:t>
      </w:r>
      <w:hyperlink r:id="rId50" w:history="1">
        <w:r w:rsidRPr="00444B24">
          <w:rPr>
            <w:rStyle w:val="Hyperlink"/>
            <w:rFonts w:cs="Arial"/>
          </w:rPr>
          <w:t>go.microsoft.com/fwlink/?LinkID=248686</w:t>
        </w:r>
      </w:hyperlink>
      <w:r w:rsidRPr="00444B24">
        <w:t>.</w:t>
      </w:r>
    </w:p>
    <w:p w:rsidR="00585E19" w:rsidRPr="00444B24" w:rsidRDefault="00585E19" w:rsidP="00A914BF">
      <w:pPr>
        <w:pStyle w:val="ProductList-Body"/>
      </w:pPr>
    </w:p>
    <w:p w:rsidR="00585E19" w:rsidRPr="00444B24" w:rsidRDefault="00585E19" w:rsidP="00233C87">
      <w:pPr>
        <w:pStyle w:val="ProductList-Offering1Heading"/>
        <w:outlineLvl w:val="1"/>
      </w:pPr>
      <w:bookmarkStart w:id="83" w:name="_Toc401641612"/>
      <w:r w:rsidRPr="00444B24">
        <w:t>Kundensupport</w:t>
      </w:r>
      <w:bookmarkEnd w:id="83"/>
    </w:p>
    <w:p w:rsidR="00585E19" w:rsidRPr="00444B24" w:rsidRDefault="00585E19" w:rsidP="00A27D70">
      <w:pPr>
        <w:pStyle w:val="ProductList-Body"/>
      </w:pPr>
      <w:r w:rsidRPr="00444B24">
        <w:t>Falls der Volumenlizenzvertrag des Kunden einen Master-Business-Vertrag von vor dem 1. September 2007 enthält (und der Kunde keine</w:t>
      </w:r>
      <w:r>
        <w:t>n</w:t>
      </w:r>
      <w:r w:rsidRPr="00444B24">
        <w:t xml:space="preserve"> andere</w:t>
      </w:r>
      <w:r>
        <w:t>n</w:t>
      </w:r>
      <w:r w:rsidRPr="00444B24">
        <w:t xml:space="preserve"> Rahmen</w:t>
      </w:r>
      <w:r>
        <w:t>vertrag für Microsoft Professional Services</w:t>
      </w:r>
      <w:r w:rsidRPr="00444B24">
        <w:t xml:space="preserve"> unterzeichnet hat), oder wenn der Kunde unter dem Microsoft Online-Abonnement-Vertrag oder</w:t>
      </w:r>
      <w:r>
        <w:t> </w:t>
      </w:r>
      <w:r w:rsidRPr="00444B24">
        <w:t>einem anderen Microsoft-Vertrag lizenziert ist, der nur Onlinedienste abdeckt, unterliegt der für den Kunden bereitgestellte Support diesen zusätzlichen Bestimmungen.</w:t>
      </w:r>
    </w:p>
    <w:p w:rsidR="00585E19" w:rsidRPr="00444B24" w:rsidRDefault="00585E19" w:rsidP="00A27D70">
      <w:pPr>
        <w:pStyle w:val="ProductList-Body"/>
      </w:pPr>
    </w:p>
    <w:p w:rsidR="00585E19" w:rsidRPr="00444B24" w:rsidRDefault="00585E19" w:rsidP="00233C87">
      <w:pPr>
        <w:pStyle w:val="ProductList-Body"/>
        <w:outlineLvl w:val="2"/>
      </w:pPr>
      <w:r w:rsidRPr="00444B24">
        <w:rPr>
          <w:b/>
          <w:color w:val="00188F"/>
        </w:rPr>
        <w:t>Definitionen</w:t>
      </w:r>
    </w:p>
    <w:p w:rsidR="00585E19" w:rsidRPr="00444B24" w:rsidRDefault="00585E19" w:rsidP="00BC4E64">
      <w:pPr>
        <w:pStyle w:val="ProductList-Body"/>
        <w:spacing w:after="120"/>
      </w:pPr>
      <w:r w:rsidRPr="00444B24">
        <w:t>In diesem Hinweis zum Kundensupport verwendete Begriffe, die hierin nicht definiert werden, haben die gleiche Bedeutung wie in dem Volumenlizenzvertrag des Kunden.</w:t>
      </w:r>
    </w:p>
    <w:p w:rsidR="00585E19" w:rsidRPr="00444B24" w:rsidRDefault="00585E19" w:rsidP="00BC4E64">
      <w:pPr>
        <w:pStyle w:val="ProductList-Body"/>
        <w:spacing w:after="120"/>
      </w:pPr>
      <w:r w:rsidRPr="00444B24">
        <w:t xml:space="preserve">„Kundensupport“ ist jeglicher Support und jegliche Beratung, die dem Kunden unter dem Volumenlizenzvertrag des Kunden zur Verfügung gestellt wurde. </w:t>
      </w:r>
    </w:p>
    <w:p w:rsidR="00585E19" w:rsidRPr="00444B24" w:rsidRDefault="00585E19" w:rsidP="00A27D70">
      <w:pPr>
        <w:pStyle w:val="ProductList-Body"/>
      </w:pPr>
      <w:r w:rsidRPr="00444B24">
        <w:t>„Fixes“ sind Produktfixes, Änderungen oder Erweiterungen oder Bearbeitungen davon, die Microsoft entweder allgemein herausgibt (wie z. B. Service Packs) oder die Microsoft dem Kunden bei der Leistung des Kundensupports für ein bestimmtes Problem bereitstellt.</w:t>
      </w:r>
    </w:p>
    <w:p w:rsidR="00585E19" w:rsidRPr="00444B24" w:rsidRDefault="00585E19" w:rsidP="00A27D70">
      <w:pPr>
        <w:pStyle w:val="ProductList-Body"/>
      </w:pPr>
    </w:p>
    <w:p w:rsidR="00585E19" w:rsidRPr="00444B24" w:rsidRDefault="00585E19" w:rsidP="00233C87">
      <w:pPr>
        <w:pStyle w:val="ProductList-Body"/>
        <w:outlineLvl w:val="2"/>
      </w:pPr>
      <w:r w:rsidRPr="00444B24">
        <w:rPr>
          <w:b/>
          <w:color w:val="00188F"/>
        </w:rPr>
        <w:t>Fixes</w:t>
      </w:r>
    </w:p>
    <w:p w:rsidR="00585E19" w:rsidRPr="00444B24" w:rsidRDefault="00585E19" w:rsidP="00A27D70">
      <w:pPr>
        <w:pStyle w:val="ProductList-Body"/>
      </w:pPr>
      <w:r w:rsidRPr="00444B24">
        <w:t xml:space="preserve">Wenn Microsoft </w:t>
      </w:r>
      <w:r>
        <w:t xml:space="preserve">dem Kunden </w:t>
      </w:r>
      <w:r w:rsidRPr="00444B24">
        <w:t>im Rahmen der Leistung des Kundensupport</w:t>
      </w:r>
      <w:r>
        <w:t>s</w:t>
      </w:r>
      <w:r w:rsidRPr="00444B24">
        <w:t xml:space="preserve"> Fixes zur Verfügung stellt, werden diese Fixes in Übereinstimmung mit</w:t>
      </w:r>
      <w:r>
        <w:t> </w:t>
      </w:r>
      <w:r w:rsidRPr="00444B24">
        <w:t xml:space="preserve">den Lizenzbestimmungen für das Produkt lizenziert, auf das sich diese Fixes beziehen, es sei denn, die Fixes enthalten separate Bestimmungen. In diesem Fall sind diese </w:t>
      </w:r>
      <w:r>
        <w:t xml:space="preserve">separaten </w:t>
      </w:r>
      <w:r w:rsidRPr="00444B24">
        <w:t xml:space="preserve">Bestimmungen maßgeblich. Falls die Fixes für Microsoft Azure-Dienste, Microsoft Dynamics CRM Online, Microsoft Dynamics Marketing oder Microsoft </w:t>
      </w:r>
      <w:r w:rsidR="00B36E70">
        <w:t>Social Listening</w:t>
      </w:r>
      <w:r w:rsidRPr="00444B24">
        <w:t xml:space="preserve"> zur Verfügung gestellt werden, gelten die von Microsoft mit den Fixes bereitgestellten Nutzungsbestimmungen, und falls keine Nutzungsbestimmungen bereitgestellt werden, wird dem Kunden eine nicht ausschließliche, zeitlich beschränkte, kostenlose Lizenz zur Nutzung und Vervielfältigung der Fixes ausschließlich zur internen Verwendung des Kunden gewährt. Der Kunde ist nicht berechtigt, Fixes zu ändern, ihre Dateinamen zu ändern oder sie mit Computercode zu kombinieren, der nicht von Microsoft stammt.</w:t>
      </w:r>
    </w:p>
    <w:p w:rsidR="00585E19" w:rsidRPr="00444B24" w:rsidRDefault="00585E19" w:rsidP="00A27D70">
      <w:pPr>
        <w:pStyle w:val="ProductList-Body"/>
      </w:pPr>
    </w:p>
    <w:p w:rsidR="00585E19" w:rsidRPr="00444B24" w:rsidRDefault="00585E19" w:rsidP="00233C87">
      <w:pPr>
        <w:pStyle w:val="ProductList-Body"/>
        <w:outlineLvl w:val="2"/>
      </w:pPr>
      <w:r w:rsidRPr="00444B24">
        <w:rPr>
          <w:b/>
          <w:color w:val="00188F"/>
        </w:rPr>
        <w:t>Vorbestehende Werke</w:t>
      </w:r>
    </w:p>
    <w:p w:rsidR="00585E19" w:rsidRPr="00444B24" w:rsidRDefault="00585E19" w:rsidP="00A27D70">
      <w:pPr>
        <w:pStyle w:val="ProductList-Body"/>
      </w:pPr>
      <w:r w:rsidRPr="00444B24">
        <w:t>Sämtliche Rechte an einem Computercode oder an nicht codebasierten schriftlichen Materialien, die von den oder für die Parteien oder ihre(n)</w:t>
      </w:r>
      <w:r>
        <w:t> </w:t>
      </w:r>
      <w:r w:rsidRPr="00444B24">
        <w:t>Verbundenen Unternehmen unabhängig vom Volumenlizenzvertrag des Kunden entwickelt oder auf andere Weise erlangt wurden („Vorbestehende Werke“), verbleiben allein bei derjenigen Partei, die</w:t>
      </w:r>
      <w:r>
        <w:t xml:space="preserve"> das </w:t>
      </w:r>
      <w:r w:rsidRPr="00444B24">
        <w:t>Vorbestehende Werk jeweils bereitstellt. Für die Dauer der Leistung des Kundensupport</w:t>
      </w:r>
      <w:r>
        <w:t>s</w:t>
      </w:r>
      <w:r w:rsidRPr="00444B24">
        <w:t xml:space="preserve"> erteilen die Parteien einander (und, falls erforderlich, auch den Vertragspartnern von Microsoft) eine zeitlich beschränkte, nicht ausschließliche Lizenz zur Nutzung, Vervielfältigung und Bearbeitung der der anderen Partei zur Verfügung gestellten Vorbestehenden Werke, jedoch ausschließlich</w:t>
      </w:r>
      <w:r>
        <w:t xml:space="preserve"> soweit dies notwendig ist</w:t>
      </w:r>
      <w:r w:rsidRPr="00444B24">
        <w:t xml:space="preserve">, </w:t>
      </w:r>
      <w:r>
        <w:t xml:space="preserve">um </w:t>
      </w:r>
      <w:r w:rsidRPr="00444B24">
        <w:t>die Verpflichtungen im Zusammenhang mit dem Kundensupport zu erfüllen. Sofern von den Parteien nicht ausdrücklich etwas anderes schriftlich vereinbart wird, gewährt Microsoft dem Kunden nach vollständiger Bezahlung eine nicht ausschließliche, zeitlich unbeschränkte, kostenlose Lizenz zur Nutzung, Vervielfältigung und Bearbeitung (sofern zutreffend) der Vorbestehenden Werke von Microsoft, die als Teil der Arbeitsergebnisse des Kundensupport</w:t>
      </w:r>
      <w:r>
        <w:t>s</w:t>
      </w:r>
      <w:r w:rsidRPr="00444B24">
        <w:t xml:space="preserve">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 Wenn der Kunde in der </w:t>
      </w:r>
      <w:r w:rsidRPr="00172A00">
        <w:t>Tschechischen Republik ansässig ist, sichert der Kunde zu, dass der Urheber die einschlägigen Zustimmungen zur Bearbeitung der vorbestehenden Werke des Kunden gegeben hat. Verstöße gegen die Bedingungen des Volumenlizenzvertrages des Kunden oder gegen andere Erklärungen bezüglich des Kundensupports</w:t>
      </w:r>
      <w:r w:rsidRPr="00444B24">
        <w:t xml:space="preserve"> unter</w:t>
      </w:r>
      <w:r>
        <w:t xml:space="preserve"> dem Volumenlizenzvertrag </w:t>
      </w:r>
      <w:r w:rsidRPr="00444B24">
        <w:t>durch den Kunden sind eine auflösende Bedingung für den Erhalt der zeitlich unbeschränkten Lizenz für Vorbestehende Werke von Microsoft, die Microsoft am Ende der Durchführung vom Kundensupport durch Microsoft dem Kunden überlässt.</w:t>
      </w:r>
    </w:p>
    <w:p w:rsidR="00585E19" w:rsidRPr="00444B24" w:rsidRDefault="00585E19" w:rsidP="00A27D70">
      <w:pPr>
        <w:pStyle w:val="ProductList-Body"/>
      </w:pPr>
    </w:p>
    <w:p w:rsidR="00585E19" w:rsidRPr="00444B24" w:rsidRDefault="00585E19" w:rsidP="00233C87">
      <w:pPr>
        <w:pStyle w:val="ProductList-Body"/>
        <w:outlineLvl w:val="2"/>
      </w:pPr>
      <w:r w:rsidRPr="00444B24">
        <w:rPr>
          <w:b/>
          <w:color w:val="00188F"/>
        </w:rPr>
        <w:t>Materialien</w:t>
      </w:r>
    </w:p>
    <w:p w:rsidR="00585E19" w:rsidRDefault="00585E19" w:rsidP="00A27D70">
      <w:pPr>
        <w:pStyle w:val="ProductList-Body"/>
      </w:pPr>
      <w:r w:rsidRPr="00444B24">
        <w:t xml:space="preserve">Alle Rechte an Materialien, die von Microsoft entwickelt (ausgenommen Softwarecode) und dem Kunden in Verbindung mit Kundensupport bereitgestellt werden („Materialien“), stehen im Eigentum von Microsoft, außer </w:t>
      </w:r>
      <w:r>
        <w:t xml:space="preserve">soweit </w:t>
      </w:r>
      <w:r w:rsidRPr="00444B24">
        <w:t>solche Materialien Vorbestehende Werke des Kunden</w:t>
      </w:r>
      <w:r>
        <w:t xml:space="preserve"> sind</w:t>
      </w:r>
      <w:r w:rsidRPr="00444B24">
        <w:t>. Microsoft gewährt dem Kunden eine nicht ausschließliche, zeitlich unbeschränkte, kostenlose Lizenz, die Materialien ausschließlich für den internen Geschäftsbetrieb des Kunden und ohne die Verpflichtung zur Buchhaltung oder Zahlung von Lizenzgebühren zu verwenden, zu vervielfältigen und zu ändern.</w:t>
      </w:r>
    </w:p>
    <w:p w:rsidR="00585E19" w:rsidRPr="00444B24" w:rsidRDefault="00585E19" w:rsidP="00A27D70">
      <w:pPr>
        <w:pStyle w:val="ProductList-Body"/>
      </w:pPr>
    </w:p>
    <w:p w:rsidR="00585E19" w:rsidRPr="00444B24" w:rsidRDefault="00585E19" w:rsidP="00233C87">
      <w:pPr>
        <w:pStyle w:val="ProductList-Body"/>
        <w:outlineLvl w:val="2"/>
      </w:pPr>
      <w:r w:rsidRPr="00444B24">
        <w:rPr>
          <w:b/>
          <w:color w:val="00188F"/>
        </w:rPr>
        <w:t>Mustercode</w:t>
      </w:r>
    </w:p>
    <w:p w:rsidR="00585E19" w:rsidRPr="00444B24" w:rsidRDefault="00585E19" w:rsidP="00A27D70">
      <w:pPr>
        <w:pStyle w:val="ProductList-Body"/>
      </w:pPr>
      <w:r w:rsidRPr="00444B24">
        <w:t xml:space="preserve">Microsoft gewährt dem Kunden ein nicht ausschließliches, zeitlich unbeschränktes, lizenzgebührenfreies Recht, den von Microsoft zu Veranschaulichungszwecken bereitgestellten Softwarecode („Mustercode“) zu verwenden und zu ändern und die Objektcodeform des Mustercodes zu vervielfältigen und zu vertreiben, vorausgesetzt, dass der Kunde sich mit Folgendem einverstanden erklärt: (i) Der Kunde verwendet weder den Namen noch das Logo oder die Marken von Microsoft, um das Softwareprodukt des Kunden, in das der Mustercode eingebettet ist, zu vermarkten, (ii) der Kunde nimmt einen gültigen Urheberrechtshinweis in sein </w:t>
      </w:r>
      <w:r>
        <w:t>Softwareprodukt</w:t>
      </w:r>
      <w:r w:rsidRPr="00444B24">
        <w:t>, in das der Mustercode eingebettet ist, auf, und (iii) der Kunde verteidigt Microsoft und ihre Lieferanten gegen alle Ansprüche und in allen Gerichtsverfahren und stellt sie von allen Ansprüchen frei bzw. entschädig</w:t>
      </w:r>
      <w:r>
        <w:t>t</w:t>
      </w:r>
      <w:r w:rsidRPr="00444B24">
        <w:t xml:space="preserve"> Microsoft und ihre Lieferanten entsprechend, einschließlich Anwaltsgebühren, die aus der Nutzung oder dem Vertrieb des Mustercodes entstehen.</w:t>
      </w:r>
    </w:p>
    <w:p w:rsidR="00585E19" w:rsidRPr="00444B24" w:rsidRDefault="00585E19" w:rsidP="00A27D70">
      <w:pPr>
        <w:pStyle w:val="ProductList-Body"/>
      </w:pPr>
    </w:p>
    <w:p w:rsidR="00585E19" w:rsidRPr="00444B24" w:rsidRDefault="00585E19" w:rsidP="00233C87">
      <w:pPr>
        <w:pStyle w:val="ProductList-Body"/>
        <w:outlineLvl w:val="2"/>
      </w:pPr>
      <w:r w:rsidRPr="00444B24">
        <w:rPr>
          <w:b/>
          <w:color w:val="00188F"/>
        </w:rPr>
        <w:t>Rechte von Verbundenen Unternehmen</w:t>
      </w:r>
    </w:p>
    <w:p w:rsidR="00585E19" w:rsidRPr="00444B24" w:rsidRDefault="00585E19" w:rsidP="00A27D70">
      <w:pPr>
        <w:pStyle w:val="ProductList-Body"/>
      </w:pPr>
      <w:r w:rsidRPr="00444B24">
        <w:t xml:space="preserve">Der Kunde ist berechtigt, die in diesem Abschnitt enthaltenen Rechte an Verbundene Unternehmen unterzulizenzieren, doch jede </w:t>
      </w:r>
      <w:r>
        <w:t xml:space="preserve">weitere </w:t>
      </w:r>
      <w:r w:rsidRPr="00444B24">
        <w:t>Unterlizenzierung dieser Rechte durch Verbundene Unternehmen ist hingegen unzulässig, und die Nutzung durch Verbundene Unternehmen muss mit den</w:t>
      </w:r>
      <w:r>
        <w:t xml:space="preserve"> im </w:t>
      </w:r>
      <w:r w:rsidRPr="00444B24">
        <w:t>Volumenlizenzvertrag des Kunden enthaltenen Lizenzbestimmungen übereinstimmen.</w:t>
      </w:r>
    </w:p>
    <w:p w:rsidR="00585E19" w:rsidRPr="00444B24" w:rsidRDefault="00585E19" w:rsidP="00A27D70">
      <w:pPr>
        <w:pStyle w:val="ProductList-Body"/>
      </w:pPr>
    </w:p>
    <w:p w:rsidR="00585E19" w:rsidRPr="00444B24" w:rsidRDefault="00585E19" w:rsidP="00233C87">
      <w:pPr>
        <w:pStyle w:val="ProductList-Body"/>
        <w:outlineLvl w:val="2"/>
      </w:pPr>
      <w:r w:rsidRPr="00444B24">
        <w:rPr>
          <w:b/>
          <w:color w:val="00188F"/>
        </w:rPr>
        <w:t>Gewährleistung für Kundensupport</w:t>
      </w:r>
    </w:p>
    <w:p w:rsidR="00585E19" w:rsidRPr="00444B24" w:rsidRDefault="00585E19" w:rsidP="00A27D70">
      <w:pPr>
        <w:pStyle w:val="ProductList-Body"/>
      </w:pPr>
      <w:r w:rsidRPr="00444B24">
        <w:t>Microsoft gewährleistet, dass Kundensupport mit professioneller Sorgfalt und Kenntnis erbracht wird.</w:t>
      </w:r>
    </w:p>
    <w:p w:rsidR="00585E19" w:rsidRPr="00444B24" w:rsidRDefault="00585E19" w:rsidP="00A914BF">
      <w:pPr>
        <w:pStyle w:val="ProductList-Body"/>
      </w:pPr>
    </w:p>
    <w:p w:rsidR="00585E19" w:rsidRPr="00444B24" w:rsidRDefault="00585E19" w:rsidP="00233C87">
      <w:pPr>
        <w:pStyle w:val="ProductList-Offering1Heading"/>
        <w:outlineLvl w:val="1"/>
      </w:pPr>
      <w:bookmarkStart w:id="84" w:name="_Toc401641613"/>
      <w:r w:rsidRPr="00444B24">
        <w:t>Hinweis zu H.264/AVC Visual</w:t>
      </w:r>
      <w:r>
        <w:t xml:space="preserve"> </w:t>
      </w:r>
      <w:r w:rsidRPr="00444B24">
        <w:t>Standard, VC-1 Video</w:t>
      </w:r>
      <w:r>
        <w:t xml:space="preserve"> </w:t>
      </w:r>
      <w:r w:rsidRPr="00444B24">
        <w:t xml:space="preserve">Standard, MPEG-4 </w:t>
      </w:r>
      <w:r>
        <w:t xml:space="preserve">Part </w:t>
      </w:r>
      <w:r w:rsidRPr="00444B24">
        <w:t>Visual</w:t>
      </w:r>
      <w:r>
        <w:t xml:space="preserve"> </w:t>
      </w:r>
      <w:r w:rsidRPr="00444B24">
        <w:t>Standard und MPEG-2</w:t>
      </w:r>
      <w:r>
        <w:t xml:space="preserve"> </w:t>
      </w:r>
      <w:r w:rsidRPr="00444B24">
        <w:t>Video</w:t>
      </w:r>
      <w:r>
        <w:t xml:space="preserve"> S</w:t>
      </w:r>
      <w:r w:rsidRPr="00444B24">
        <w:t>tandard</w:t>
      </w:r>
      <w:bookmarkEnd w:id="84"/>
    </w:p>
    <w:p w:rsidR="00585E19" w:rsidRPr="00444B24" w:rsidRDefault="00585E19" w:rsidP="00A27D70">
      <w:pPr>
        <w:pStyle w:val="ProductList-Body"/>
      </w:pPr>
      <w:r w:rsidRPr="00444B24">
        <w:t>Diese Software enthält möglicherweise die visuelle</w:t>
      </w:r>
      <w:r>
        <w:t>n</w:t>
      </w:r>
      <w:r w:rsidRPr="00444B24">
        <w:t xml:space="preserve"> Komprimierungstechnologien H.264/AVC, VC-1, MPEG-4 Part 2 und MPEG-2. MPEG LA, L.L.C. verlangt den folgenden Hinweis:</w:t>
      </w:r>
    </w:p>
    <w:p w:rsidR="00585E19" w:rsidRPr="00444B24" w:rsidRDefault="00585E19" w:rsidP="00F824AC">
      <w:pPr>
        <w:pStyle w:val="ProductList-Body"/>
        <w:spacing w:after="120"/>
      </w:pPr>
      <w:r w:rsidRPr="00444B24">
        <w:t>DIESES PRODUKT IST UNTER DEN AVC-, VC-1-, MPEG-4 PART 2</w:t>
      </w:r>
      <w:r>
        <w:t>-</w:t>
      </w:r>
      <w:r w:rsidRPr="00444B24">
        <w:t xml:space="preserve"> UND MPEG-2</w:t>
      </w:r>
      <w:r>
        <w:t xml:space="preserve"> </w:t>
      </w:r>
      <w:r w:rsidRPr="00444B24">
        <w:t>VISUAL-PATENTPORTFOLIOLIZENZEN FÜR DEN PERSÖNLICHEN UND NICHTKOMMERZIELLEN EINSATZ DURCH EINEN VERBRAUCHER LIZENZIERT, UM (i) VIDEOS IN ÜBEREINSTIMMUNG MIT DEN OBEN GENANNTEN STANDARDS („VIDEO-STANDARDS“) ZU VERSCHLÜSSELN UND/ODER (ii) AVC-, VC-1-, MPEG-4 PART 2- UND MPEG</w:t>
      </w:r>
      <w:r>
        <w:t>-</w:t>
      </w:r>
      <w:r w:rsidRPr="00444B24">
        <w:t>2-VIDEO</w:t>
      </w:r>
      <w:r>
        <w:t>S</w:t>
      </w:r>
      <w:r w:rsidRPr="00444B24">
        <w:t xml:space="preserve"> ZU ENTSCHLÜSSELN, DIE VON EINEM VERBRAUCHER IM RAHMEN PERSÖNLICHER UND NICHTKOMMERZIELLER AKTIVITÄTEN VERSCHLÜSSELT WURDEN UND/ODER VON EINEM VIDEOANBIETER </w:t>
      </w:r>
      <w:r>
        <w:t>ERHALTEN WURDEN</w:t>
      </w:r>
      <w:r w:rsidRPr="00444B24">
        <w:t>, DER EINE LIZENZ FÜR DIE BEREITSTELLUNG SOLCHER VIDEOS BESITZT. FÜR EINE ANDERE VERWENDUNG WIRD KEINE LIZENZ, WEDER AUSDRÜCKLICH NOCH STILLSCHWEIGEND, GEWÄHRT. ZUSÄTZLICHE INFORMATIONEN ERHALTEN SIE</w:t>
      </w:r>
      <w:r>
        <w:t> </w:t>
      </w:r>
      <w:r w:rsidRPr="00444B24">
        <w:t xml:space="preserve">VON MPEG LA, L.L.C. SIEHE </w:t>
      </w:r>
      <w:hyperlink r:id="rId51" w:history="1">
        <w:r w:rsidRPr="00444B24">
          <w:rPr>
            <w:rStyle w:val="Hyperlink"/>
            <w:rFonts w:cs="Arial"/>
          </w:rPr>
          <w:t>www.mpegla.com</w:t>
        </w:r>
      </w:hyperlink>
      <w:r w:rsidRPr="00444B24">
        <w:t xml:space="preserve">. </w:t>
      </w:r>
    </w:p>
    <w:p w:rsidR="00585E19" w:rsidRPr="00444B24" w:rsidRDefault="00585E19" w:rsidP="000F30AA">
      <w:pPr>
        <w:pStyle w:val="ProductList-Body"/>
      </w:pPr>
      <w:r w:rsidRPr="00444B24">
        <w:t>Zur Vermeidung von Missverständnissen sei gesagt, dass dieser Hinweis die Nutzung der Software für normale Geschäftszwecke, die</w:t>
      </w:r>
      <w:r>
        <w:t xml:space="preserve"> dem jeweiligen </w:t>
      </w:r>
      <w:r w:rsidRPr="00444B24">
        <w:t xml:space="preserve">Geschäft eigen sind und (i) </w:t>
      </w:r>
      <w:r>
        <w:t xml:space="preserve">den </w:t>
      </w:r>
      <w:r w:rsidRPr="00444B24">
        <w:t>Vertrieb der Software an Dritte oder (ii) die Entwicklung von Inhalt</w:t>
      </w:r>
      <w:r>
        <w:t xml:space="preserve"> in Übereinstimmung</w:t>
      </w:r>
      <w:r w:rsidRPr="00444B24">
        <w:t xml:space="preserve"> mit VIDEO-STANDARDS</w:t>
      </w:r>
      <w:r>
        <w:t>-Technologien</w:t>
      </w:r>
      <w:r w:rsidRPr="00444B24">
        <w:t xml:space="preserve"> zum Vertrieb an Dritte nicht einschließen, nicht einschränkt oder verhindert.</w:t>
      </w:r>
    </w:p>
    <w:p w:rsidR="00585E19" w:rsidRPr="00444B24" w:rsidRDefault="00585E19" w:rsidP="00A914BF">
      <w:pPr>
        <w:pStyle w:val="ProductList-Body"/>
      </w:pPr>
    </w:p>
    <w:p w:rsidR="00585E19" w:rsidRPr="00444B24" w:rsidRDefault="00585E19" w:rsidP="00A914BF">
      <w:pPr>
        <w:pStyle w:val="ProductList-Body"/>
      </w:pPr>
    </w:p>
    <w:p w:rsidR="00585E19" w:rsidRPr="00444B24" w:rsidRDefault="00585E19" w:rsidP="00A914BF">
      <w:pPr>
        <w:pStyle w:val="ProductList-Body"/>
        <w:sectPr w:rsidR="00585E19" w:rsidRPr="00444B24" w:rsidSect="00A61B2A">
          <w:footerReference w:type="default" r:id="rId52"/>
          <w:footerReference w:type="first" r:id="rId53"/>
          <w:pgSz w:w="12240" w:h="15840"/>
          <w:pgMar w:top="1440" w:right="720" w:bottom="1440" w:left="720" w:header="720" w:footer="720" w:gutter="0"/>
          <w:cols w:space="720"/>
          <w:titlePg/>
          <w:docGrid w:linePitch="360"/>
        </w:sectPr>
      </w:pPr>
    </w:p>
    <w:p w:rsidR="00585E19" w:rsidRPr="00444B24" w:rsidRDefault="00585E19" w:rsidP="00233C87">
      <w:pPr>
        <w:pStyle w:val="ProductList-SectionHeading"/>
        <w:outlineLvl w:val="0"/>
      </w:pPr>
      <w:bookmarkStart w:id="85" w:name="Attachment2"/>
      <w:bookmarkStart w:id="86" w:name="_Toc401641614"/>
      <w:r w:rsidRPr="00444B24">
        <w:t>Anhang 2 – Abonnementlizenz</w:t>
      </w:r>
      <w:r>
        <w:t xml:space="preserve">en für </w:t>
      </w:r>
      <w:r w:rsidRPr="00444B24">
        <w:t>Suites</w:t>
      </w:r>
      <w:bookmarkEnd w:id="85"/>
      <w:bookmarkEnd w:id="86"/>
    </w:p>
    <w:p w:rsidR="00585E19" w:rsidRPr="00444B24" w:rsidRDefault="00585E19" w:rsidP="00A914BF">
      <w:pPr>
        <w:pStyle w:val="ProductList-Body"/>
      </w:pPr>
      <w:r w:rsidRPr="00444B24">
        <w:t xml:space="preserve">Onlinedienste sind für den Erwerb als Suites von Onlinediensten verfügbar. Wenn in der nachstehenden Tabelle eine Zelle in einer Onlinedienst-Zeile </w:t>
      </w:r>
      <w:r w:rsidRPr="00444B24">
        <w:rPr>
          <w:color w:val="000000"/>
          <w:shd w:val="clear" w:color="auto" w:fill="4668C5"/>
        </w:rPr>
        <w:t>blau</w:t>
      </w:r>
      <w:r w:rsidRPr="00444B24">
        <w:rPr>
          <w:color w:val="000000"/>
        </w:rPr>
        <w:t xml:space="preserve"> hinterlegt ist,</w:t>
      </w:r>
      <w:r>
        <w:rPr>
          <w:color w:val="000000"/>
        </w:rPr>
        <w:t xml:space="preserve"> </w:t>
      </w:r>
      <w:r w:rsidRPr="00444B24">
        <w:t>erfüllt die Suite</w:t>
      </w:r>
      <w:r>
        <w:t>-</w:t>
      </w:r>
      <w:r w:rsidRPr="00444B24">
        <w:t xml:space="preserve">AL für die Spalte, in der die Zelle sich befindet, die AL-Anforderungen für die Onlinedienste der Zelle. </w:t>
      </w:r>
    </w:p>
    <w:p w:rsidR="00585E19" w:rsidRPr="00444B24" w:rsidRDefault="00585E19" w:rsidP="00A914BF">
      <w:pPr>
        <w:pStyle w:val="ProductList-Body"/>
      </w:pPr>
    </w:p>
    <w:tbl>
      <w:tblPr>
        <w:tblW w:w="10890" w:type="dxa"/>
        <w:tblLayout w:type="fixed"/>
        <w:tblLook w:val="00A0" w:firstRow="1" w:lastRow="0" w:firstColumn="1" w:lastColumn="0" w:noHBand="0" w:noVBand="0"/>
      </w:tblPr>
      <w:tblGrid>
        <w:gridCol w:w="2250"/>
        <w:gridCol w:w="394"/>
        <w:gridCol w:w="395"/>
        <w:gridCol w:w="395"/>
        <w:gridCol w:w="436"/>
        <w:gridCol w:w="353"/>
        <w:gridCol w:w="395"/>
        <w:gridCol w:w="395"/>
        <w:gridCol w:w="351"/>
        <w:gridCol w:w="438"/>
        <w:gridCol w:w="395"/>
        <w:gridCol w:w="373"/>
        <w:gridCol w:w="759"/>
        <w:gridCol w:w="737"/>
        <w:gridCol w:w="737"/>
        <w:gridCol w:w="737"/>
        <w:gridCol w:w="675"/>
        <w:gridCol w:w="675"/>
      </w:tblGrid>
      <w:tr w:rsidR="00585E19" w:rsidRPr="00D73341" w:rsidTr="007B7A4E">
        <w:trPr>
          <w:cantSplit/>
          <w:trHeight w:val="213"/>
        </w:trPr>
        <w:tc>
          <w:tcPr>
            <w:tcW w:w="2250" w:type="dxa"/>
            <w:vAlign w:val="bottom"/>
          </w:tcPr>
          <w:p w:rsidR="00585E19" w:rsidRPr="00F038DB" w:rsidRDefault="00585E19" w:rsidP="000C2E6F">
            <w:pPr>
              <w:pStyle w:val="ProductList-Body"/>
              <w:tabs>
                <w:tab w:val="clear" w:pos="158"/>
              </w:tabs>
              <w:ind w:left="-108"/>
              <w:rPr>
                <w:rFonts w:cs="Arial"/>
                <w:sz w:val="22"/>
                <w:szCs w:val="22"/>
              </w:rPr>
            </w:pPr>
          </w:p>
        </w:tc>
        <w:tc>
          <w:tcPr>
            <w:tcW w:w="8640" w:type="dxa"/>
            <w:gridSpan w:val="17"/>
            <w:tcBorders>
              <w:top w:val="single" w:sz="12" w:space="0" w:color="FFFFFF"/>
            </w:tcBorders>
            <w:shd w:val="clear" w:color="auto" w:fill="0072C6"/>
          </w:tcPr>
          <w:p w:rsidR="00585E19" w:rsidRPr="00F038DB" w:rsidRDefault="00585E19" w:rsidP="002E06FF">
            <w:pPr>
              <w:pStyle w:val="ProductList-Body"/>
              <w:tabs>
                <w:tab w:val="clear" w:pos="158"/>
              </w:tabs>
              <w:spacing w:before="20" w:after="20"/>
              <w:ind w:left="-115" w:right="-115"/>
              <w:jc w:val="center"/>
              <w:rPr>
                <w:rFonts w:ascii="Calibri Light" w:hAnsi="Calibri Light" w:cs="Arial"/>
                <w:color w:val="FFFFFF"/>
                <w:sz w:val="22"/>
                <w:szCs w:val="22"/>
              </w:rPr>
            </w:pPr>
            <w:r w:rsidRPr="00F038DB">
              <w:rPr>
                <w:rFonts w:ascii="Calibri Light" w:hAnsi="Calibri Light" w:cs="Arial"/>
                <w:color w:val="FFFFFF"/>
                <w:sz w:val="22"/>
                <w:szCs w:val="22"/>
              </w:rPr>
              <w:t>Suite-ALs</w:t>
            </w:r>
          </w:p>
        </w:tc>
      </w:tr>
      <w:tr w:rsidR="00585E19" w:rsidRPr="00D73341" w:rsidTr="00104E6A">
        <w:trPr>
          <w:cantSplit/>
          <w:trHeight w:val="501"/>
        </w:trPr>
        <w:tc>
          <w:tcPr>
            <w:tcW w:w="2250" w:type="dxa"/>
            <w:vMerge w:val="restart"/>
            <w:vAlign w:val="bottom"/>
          </w:tcPr>
          <w:p w:rsidR="00585E19" w:rsidRPr="00F038DB" w:rsidRDefault="00585E19" w:rsidP="000C2E6F">
            <w:pPr>
              <w:pStyle w:val="ProductList-Body"/>
              <w:tabs>
                <w:tab w:val="clear" w:pos="158"/>
              </w:tabs>
              <w:ind w:left="-108"/>
              <w:rPr>
                <w:rFonts w:cs="Arial"/>
                <w:sz w:val="22"/>
                <w:szCs w:val="22"/>
              </w:rPr>
            </w:pPr>
            <w:r w:rsidRPr="00F038DB">
              <w:rPr>
                <w:rFonts w:cs="Arial"/>
                <w:sz w:val="22"/>
                <w:szCs w:val="22"/>
              </w:rPr>
              <w:t>Onlinedienst</w:t>
            </w:r>
          </w:p>
        </w:tc>
        <w:tc>
          <w:tcPr>
            <w:tcW w:w="1620" w:type="dxa"/>
            <w:gridSpan w:val="4"/>
            <w:tcBorders>
              <w:top w:val="single" w:sz="12" w:space="0" w:color="FFFFFF"/>
              <w:right w:val="single" w:sz="12" w:space="0" w:color="FFFFFF"/>
            </w:tcBorders>
            <w:shd w:val="clear" w:color="auto" w:fill="0072C6"/>
          </w:tcPr>
          <w:p w:rsidR="00585E19" w:rsidRPr="00F038DB" w:rsidRDefault="00585E19" w:rsidP="000F30AA">
            <w:pPr>
              <w:pStyle w:val="ProductList-Body"/>
              <w:tabs>
                <w:tab w:val="clear" w:pos="158"/>
              </w:tabs>
              <w:spacing w:before="20" w:after="20"/>
              <w:ind w:left="-115" w:right="-115"/>
              <w:jc w:val="center"/>
              <w:rPr>
                <w:rFonts w:cs="Arial"/>
                <w:szCs w:val="22"/>
              </w:rPr>
            </w:pPr>
            <w:r w:rsidRPr="00F038DB">
              <w:rPr>
                <w:rFonts w:ascii="Calibri Light" w:hAnsi="Calibri Light" w:cs="Arial"/>
                <w:color w:val="FFFFFF"/>
                <w:sz w:val="16"/>
                <w:szCs w:val="16"/>
              </w:rPr>
              <w:t>Office 365</w:t>
            </w:r>
          </w:p>
          <w:p w:rsidR="00585E19" w:rsidRPr="00F038DB" w:rsidRDefault="00585E19" w:rsidP="000F30AA">
            <w:pPr>
              <w:pStyle w:val="ProductList-Body"/>
              <w:tabs>
                <w:tab w:val="clear" w:pos="158"/>
              </w:tabs>
              <w:spacing w:before="20" w:after="20"/>
              <w:ind w:left="-115" w:right="-115"/>
              <w:jc w:val="center"/>
              <w:rPr>
                <w:rFonts w:ascii="Calibri Light" w:hAnsi="Calibri Light" w:cs="Arial"/>
                <w:color w:val="FFFFFF"/>
                <w:sz w:val="16"/>
                <w:szCs w:val="16"/>
              </w:rPr>
            </w:pPr>
            <w:r w:rsidRPr="00F038DB">
              <w:rPr>
                <w:rFonts w:ascii="Calibri Light" w:hAnsi="Calibri Light" w:cs="Arial"/>
                <w:color w:val="FFFFFF"/>
                <w:sz w:val="16"/>
                <w:szCs w:val="16"/>
              </w:rPr>
              <w:t>Konzern</w:t>
            </w:r>
          </w:p>
        </w:tc>
        <w:tc>
          <w:tcPr>
            <w:tcW w:w="1494" w:type="dxa"/>
            <w:gridSpan w:val="4"/>
            <w:tcBorders>
              <w:top w:val="single" w:sz="12" w:space="0" w:color="FFFFFF"/>
              <w:right w:val="single" w:sz="12" w:space="0" w:color="FFFFFF"/>
            </w:tcBorders>
            <w:shd w:val="clear" w:color="auto" w:fill="0072C6"/>
          </w:tcPr>
          <w:p w:rsidR="00585E19" w:rsidRPr="00F038DB" w:rsidRDefault="00585E19" w:rsidP="000F30AA">
            <w:pPr>
              <w:pStyle w:val="ProductList-Body"/>
              <w:tabs>
                <w:tab w:val="clear" w:pos="158"/>
              </w:tabs>
              <w:spacing w:before="20" w:after="20"/>
              <w:ind w:left="-115" w:right="-115"/>
              <w:jc w:val="center"/>
              <w:rPr>
                <w:rFonts w:cs="Arial"/>
                <w:szCs w:val="22"/>
              </w:rPr>
            </w:pPr>
            <w:r w:rsidRPr="00F038DB">
              <w:rPr>
                <w:rFonts w:ascii="Calibri Light" w:hAnsi="Calibri Light" w:cs="Arial"/>
                <w:color w:val="FFFFFF"/>
                <w:sz w:val="16"/>
                <w:szCs w:val="16"/>
              </w:rPr>
              <w:t>Office 365</w:t>
            </w:r>
          </w:p>
          <w:p w:rsidR="00585E19" w:rsidRPr="00F038DB" w:rsidRDefault="00585E19" w:rsidP="000F30AA">
            <w:pPr>
              <w:pStyle w:val="ProductList-Body"/>
              <w:tabs>
                <w:tab w:val="clear" w:pos="158"/>
              </w:tabs>
              <w:spacing w:before="20" w:after="20"/>
              <w:ind w:left="-115" w:right="-115"/>
              <w:jc w:val="center"/>
              <w:rPr>
                <w:rFonts w:ascii="Calibri Light" w:hAnsi="Calibri Light" w:cs="Arial"/>
                <w:color w:val="FFFFFF"/>
                <w:sz w:val="16"/>
                <w:szCs w:val="16"/>
              </w:rPr>
            </w:pPr>
            <w:r w:rsidRPr="00F038DB">
              <w:rPr>
                <w:rFonts w:ascii="Calibri Light" w:hAnsi="Calibri Light" w:cs="Arial"/>
                <w:color w:val="FFFFFF"/>
                <w:sz w:val="16"/>
                <w:szCs w:val="16"/>
              </w:rPr>
              <w:t>Verwaltung</w:t>
            </w:r>
          </w:p>
        </w:tc>
        <w:tc>
          <w:tcPr>
            <w:tcW w:w="1206" w:type="dxa"/>
            <w:gridSpan w:val="3"/>
            <w:tcBorders>
              <w:top w:val="single" w:sz="12" w:space="0" w:color="FFFFFF"/>
              <w:left w:val="single" w:sz="12" w:space="0" w:color="FFFFFF"/>
              <w:right w:val="single" w:sz="12" w:space="0" w:color="FFFFFF"/>
            </w:tcBorders>
            <w:shd w:val="clear" w:color="auto" w:fill="0072C6"/>
          </w:tcPr>
          <w:p w:rsidR="00585E19" w:rsidRPr="00F038DB" w:rsidRDefault="00585E19" w:rsidP="000F30AA">
            <w:pPr>
              <w:pStyle w:val="ProductList-Body"/>
              <w:tabs>
                <w:tab w:val="clear" w:pos="158"/>
              </w:tabs>
              <w:spacing w:before="20" w:after="20"/>
              <w:ind w:left="-115" w:right="-115"/>
              <w:jc w:val="center"/>
              <w:rPr>
                <w:rFonts w:cs="Arial"/>
                <w:szCs w:val="22"/>
              </w:rPr>
            </w:pPr>
            <w:r w:rsidRPr="00F038DB">
              <w:rPr>
                <w:rFonts w:ascii="Calibri Light" w:hAnsi="Calibri Light" w:cs="Arial"/>
                <w:color w:val="FFFFFF"/>
                <w:sz w:val="16"/>
                <w:szCs w:val="16"/>
              </w:rPr>
              <w:t>Office 365</w:t>
            </w:r>
          </w:p>
          <w:p w:rsidR="00585E19" w:rsidRPr="00F038DB" w:rsidRDefault="00585E19" w:rsidP="000F30AA">
            <w:pPr>
              <w:pStyle w:val="ProductList-Body"/>
              <w:tabs>
                <w:tab w:val="clear" w:pos="158"/>
              </w:tabs>
              <w:spacing w:before="20" w:after="20"/>
              <w:ind w:left="-115" w:right="-115"/>
              <w:jc w:val="center"/>
              <w:rPr>
                <w:rFonts w:ascii="Calibri Light" w:hAnsi="Calibri Light" w:cs="Arial"/>
                <w:color w:val="FFFFFF"/>
                <w:sz w:val="16"/>
                <w:szCs w:val="16"/>
              </w:rPr>
            </w:pPr>
            <w:r w:rsidRPr="00F038DB">
              <w:rPr>
                <w:rFonts w:ascii="Calibri Light" w:hAnsi="Calibri Light" w:cs="Arial"/>
                <w:color w:val="FFFFFF"/>
                <w:sz w:val="16"/>
                <w:szCs w:val="16"/>
              </w:rPr>
              <w:t>Bildung</w:t>
            </w:r>
          </w:p>
        </w:tc>
        <w:tc>
          <w:tcPr>
            <w:tcW w:w="759" w:type="dxa"/>
            <w:vMerge w:val="restart"/>
            <w:tcBorders>
              <w:top w:val="single" w:sz="12" w:space="0" w:color="FFFFFF"/>
              <w:left w:val="single" w:sz="12" w:space="0" w:color="FFFFFF"/>
              <w:right w:val="single" w:sz="12" w:space="0" w:color="FFFFFF"/>
            </w:tcBorders>
            <w:shd w:val="clear" w:color="auto" w:fill="0072C6"/>
          </w:tcPr>
          <w:p w:rsidR="00585E19" w:rsidRPr="00F038DB" w:rsidRDefault="00585E19" w:rsidP="000F30AA">
            <w:pPr>
              <w:pStyle w:val="ProductList-Body"/>
              <w:tabs>
                <w:tab w:val="clear" w:pos="158"/>
              </w:tabs>
              <w:spacing w:before="20" w:after="20"/>
              <w:ind w:left="-115" w:right="-115"/>
              <w:jc w:val="center"/>
              <w:rPr>
                <w:rFonts w:cs="Arial"/>
                <w:szCs w:val="22"/>
              </w:rPr>
            </w:pPr>
            <w:r w:rsidRPr="00F038DB">
              <w:rPr>
                <w:rFonts w:ascii="Calibri Light" w:hAnsi="Calibri Light" w:cs="Arial"/>
                <w:color w:val="FFFFFF"/>
                <w:sz w:val="16"/>
                <w:szCs w:val="16"/>
              </w:rPr>
              <w:t>Office 365</w:t>
            </w:r>
          </w:p>
          <w:p w:rsidR="00585E19" w:rsidRPr="00F038DB" w:rsidRDefault="00585E19" w:rsidP="000F30AA">
            <w:pPr>
              <w:pStyle w:val="ProductList-Body"/>
              <w:tabs>
                <w:tab w:val="clear" w:pos="158"/>
              </w:tabs>
              <w:spacing w:before="20" w:after="20"/>
              <w:ind w:left="-115" w:right="-115"/>
              <w:jc w:val="center"/>
              <w:rPr>
                <w:rFonts w:ascii="Calibri Light" w:hAnsi="Calibri Light" w:cs="Arial"/>
                <w:color w:val="FFFFFF"/>
                <w:sz w:val="16"/>
                <w:szCs w:val="16"/>
              </w:rPr>
            </w:pPr>
            <w:r w:rsidRPr="00F038DB">
              <w:rPr>
                <w:rFonts w:ascii="Calibri Light" w:hAnsi="Calibri Light" w:cs="Arial"/>
                <w:color w:val="FFFFFF"/>
                <w:sz w:val="16"/>
                <w:szCs w:val="16"/>
              </w:rPr>
              <w:t>Business Essentials</w:t>
            </w:r>
          </w:p>
        </w:tc>
        <w:tc>
          <w:tcPr>
            <w:tcW w:w="737" w:type="dxa"/>
            <w:vMerge w:val="restart"/>
            <w:tcBorders>
              <w:top w:val="single" w:sz="12" w:space="0" w:color="FFFFFF"/>
              <w:left w:val="single" w:sz="12" w:space="0" w:color="FFFFFF"/>
              <w:right w:val="single" w:sz="12" w:space="0" w:color="FFFFFF"/>
            </w:tcBorders>
            <w:shd w:val="clear" w:color="auto" w:fill="0072C6"/>
          </w:tcPr>
          <w:p w:rsidR="00585E19" w:rsidRPr="00F038DB" w:rsidRDefault="00585E19" w:rsidP="000F30AA">
            <w:pPr>
              <w:pStyle w:val="ProductList-Body"/>
              <w:tabs>
                <w:tab w:val="clear" w:pos="158"/>
              </w:tabs>
              <w:spacing w:before="20" w:after="20"/>
              <w:ind w:left="-115" w:right="-115"/>
              <w:jc w:val="center"/>
              <w:rPr>
                <w:rFonts w:cs="Arial"/>
                <w:szCs w:val="22"/>
              </w:rPr>
            </w:pPr>
            <w:r w:rsidRPr="00F038DB">
              <w:rPr>
                <w:rFonts w:ascii="Calibri Light" w:hAnsi="Calibri Light" w:cs="Arial"/>
                <w:color w:val="FFFFFF"/>
                <w:sz w:val="16"/>
                <w:szCs w:val="16"/>
              </w:rPr>
              <w:t>Office 365</w:t>
            </w:r>
          </w:p>
          <w:p w:rsidR="00585E19" w:rsidRPr="00F038DB" w:rsidRDefault="00585E19" w:rsidP="000F30AA">
            <w:pPr>
              <w:pStyle w:val="ProductList-Body"/>
              <w:tabs>
                <w:tab w:val="clear" w:pos="158"/>
              </w:tabs>
              <w:spacing w:before="20" w:after="20"/>
              <w:ind w:left="-115" w:right="-115"/>
              <w:jc w:val="center"/>
              <w:rPr>
                <w:rFonts w:cs="Arial"/>
                <w:szCs w:val="22"/>
              </w:rPr>
            </w:pPr>
            <w:r w:rsidRPr="00F038DB">
              <w:rPr>
                <w:rFonts w:ascii="Calibri Light" w:hAnsi="Calibri Light" w:cs="Arial"/>
                <w:color w:val="FFFFFF"/>
                <w:sz w:val="16"/>
                <w:szCs w:val="16"/>
              </w:rPr>
              <w:t>Business</w:t>
            </w:r>
          </w:p>
          <w:p w:rsidR="00585E19" w:rsidRPr="00F038DB" w:rsidRDefault="00585E19" w:rsidP="000F30AA">
            <w:pPr>
              <w:pStyle w:val="ProductList-Body"/>
              <w:tabs>
                <w:tab w:val="clear" w:pos="158"/>
              </w:tabs>
              <w:spacing w:before="20" w:after="20"/>
              <w:ind w:left="-115" w:right="-115"/>
              <w:jc w:val="center"/>
              <w:rPr>
                <w:rFonts w:ascii="Calibri Light" w:hAnsi="Calibri Light" w:cs="Arial"/>
                <w:color w:val="FFFFFF"/>
                <w:sz w:val="16"/>
                <w:szCs w:val="16"/>
              </w:rPr>
            </w:pPr>
            <w:r w:rsidRPr="00F038DB">
              <w:rPr>
                <w:rFonts w:ascii="Calibri Light" w:hAnsi="Calibri Light" w:cs="Arial"/>
                <w:color w:val="FFFFFF"/>
                <w:sz w:val="16"/>
                <w:szCs w:val="16"/>
              </w:rPr>
              <w:t>Premium</w:t>
            </w:r>
          </w:p>
        </w:tc>
        <w:tc>
          <w:tcPr>
            <w:tcW w:w="737" w:type="dxa"/>
            <w:vMerge w:val="restart"/>
            <w:tcBorders>
              <w:top w:val="single" w:sz="12" w:space="0" w:color="FFFFFF"/>
              <w:left w:val="single" w:sz="12" w:space="0" w:color="FFFFFF"/>
              <w:right w:val="single" w:sz="12" w:space="0" w:color="FFFFFF"/>
            </w:tcBorders>
            <w:shd w:val="clear" w:color="auto" w:fill="0072C6"/>
          </w:tcPr>
          <w:p w:rsidR="00585E19" w:rsidRPr="00F038DB" w:rsidRDefault="00585E19" w:rsidP="000F30AA">
            <w:pPr>
              <w:pStyle w:val="ProductList-Body"/>
              <w:tabs>
                <w:tab w:val="clear" w:pos="158"/>
              </w:tabs>
              <w:spacing w:before="20" w:after="20"/>
              <w:ind w:left="-115" w:right="-115"/>
              <w:jc w:val="center"/>
              <w:rPr>
                <w:rFonts w:cs="Arial"/>
                <w:szCs w:val="22"/>
              </w:rPr>
            </w:pPr>
            <w:r w:rsidRPr="00F038DB">
              <w:rPr>
                <w:rFonts w:ascii="Calibri Light" w:hAnsi="Calibri Light" w:cs="Arial"/>
                <w:color w:val="FFFFFF"/>
                <w:sz w:val="16"/>
                <w:szCs w:val="16"/>
              </w:rPr>
              <w:t>Office 365</w:t>
            </w:r>
          </w:p>
          <w:p w:rsidR="00585E19" w:rsidRPr="00F038DB" w:rsidRDefault="00585E19" w:rsidP="000F30AA">
            <w:pPr>
              <w:pStyle w:val="ProductList-Body"/>
              <w:tabs>
                <w:tab w:val="clear" w:pos="158"/>
              </w:tabs>
              <w:spacing w:before="20" w:after="20"/>
              <w:ind w:left="-115" w:right="-115"/>
              <w:jc w:val="center"/>
              <w:rPr>
                <w:rFonts w:ascii="Calibri Light" w:hAnsi="Calibri Light" w:cs="Arial"/>
                <w:color w:val="FFFFFF"/>
                <w:sz w:val="16"/>
                <w:szCs w:val="16"/>
              </w:rPr>
            </w:pPr>
            <w:r w:rsidRPr="00F038DB">
              <w:rPr>
                <w:rFonts w:ascii="Calibri Light" w:hAnsi="Calibri Light" w:cs="Arial"/>
                <w:color w:val="FFFFFF"/>
                <w:sz w:val="16"/>
                <w:szCs w:val="16"/>
              </w:rPr>
              <w:t>Midsize Business</w:t>
            </w:r>
          </w:p>
        </w:tc>
        <w:tc>
          <w:tcPr>
            <w:tcW w:w="737" w:type="dxa"/>
            <w:vMerge w:val="restart"/>
            <w:tcBorders>
              <w:top w:val="single" w:sz="12" w:space="0" w:color="FFFFFF"/>
              <w:left w:val="single" w:sz="12" w:space="0" w:color="FFFFFF"/>
            </w:tcBorders>
            <w:shd w:val="clear" w:color="auto" w:fill="0072C6"/>
          </w:tcPr>
          <w:p w:rsidR="00585E19" w:rsidRPr="00F038DB" w:rsidRDefault="00585E19" w:rsidP="000F30AA">
            <w:pPr>
              <w:pStyle w:val="ProductList-Body"/>
              <w:tabs>
                <w:tab w:val="clear" w:pos="158"/>
              </w:tabs>
              <w:spacing w:before="20" w:after="20"/>
              <w:ind w:left="-115" w:right="-115"/>
              <w:jc w:val="center"/>
              <w:rPr>
                <w:rFonts w:cs="Arial"/>
                <w:szCs w:val="22"/>
              </w:rPr>
            </w:pPr>
            <w:r w:rsidRPr="00F038DB">
              <w:rPr>
                <w:rFonts w:ascii="Calibri Light" w:hAnsi="Calibri Light" w:cs="Arial"/>
                <w:color w:val="FFFFFF"/>
                <w:sz w:val="16"/>
                <w:szCs w:val="16"/>
              </w:rPr>
              <w:t xml:space="preserve">Enterprise </w:t>
            </w:r>
          </w:p>
          <w:p w:rsidR="00585E19" w:rsidRPr="00F038DB" w:rsidRDefault="00585E19" w:rsidP="000F30AA">
            <w:pPr>
              <w:pStyle w:val="ProductList-Body"/>
              <w:tabs>
                <w:tab w:val="clear" w:pos="158"/>
              </w:tabs>
              <w:spacing w:before="20" w:after="20"/>
              <w:ind w:left="-115" w:right="-115"/>
              <w:jc w:val="center"/>
              <w:rPr>
                <w:rFonts w:ascii="Calibri Light" w:hAnsi="Calibri Light" w:cs="Arial"/>
                <w:color w:val="FFFFFF"/>
                <w:sz w:val="16"/>
                <w:szCs w:val="16"/>
              </w:rPr>
            </w:pPr>
            <w:r w:rsidRPr="00F038DB">
              <w:rPr>
                <w:rFonts w:ascii="Calibri Light" w:hAnsi="Calibri Light" w:cs="Arial"/>
                <w:color w:val="FFFFFF"/>
                <w:sz w:val="16"/>
                <w:szCs w:val="16"/>
              </w:rPr>
              <w:t>Mobility Suite</w:t>
            </w:r>
          </w:p>
        </w:tc>
        <w:tc>
          <w:tcPr>
            <w:tcW w:w="1350" w:type="dxa"/>
            <w:gridSpan w:val="2"/>
            <w:tcBorders>
              <w:top w:val="single" w:sz="12" w:space="0" w:color="FFFFFF"/>
              <w:left w:val="single" w:sz="12" w:space="0" w:color="FFFFFF"/>
            </w:tcBorders>
            <w:shd w:val="clear" w:color="auto" w:fill="0072C6"/>
          </w:tcPr>
          <w:p w:rsidR="00585E19" w:rsidRPr="00F038DB" w:rsidRDefault="00585E19" w:rsidP="002E06FF">
            <w:pPr>
              <w:pStyle w:val="ProductList-Body"/>
              <w:tabs>
                <w:tab w:val="clear" w:pos="158"/>
              </w:tabs>
              <w:spacing w:before="20" w:after="20"/>
              <w:ind w:left="-115" w:right="-115"/>
              <w:jc w:val="center"/>
              <w:rPr>
                <w:rFonts w:cs="Arial"/>
                <w:szCs w:val="22"/>
              </w:rPr>
            </w:pPr>
            <w:r w:rsidRPr="00F038DB">
              <w:rPr>
                <w:rFonts w:ascii="Calibri Light" w:hAnsi="Calibri Light" w:cs="Arial"/>
                <w:color w:val="FFFFFF"/>
                <w:sz w:val="16"/>
                <w:szCs w:val="16"/>
              </w:rPr>
              <w:t>Microsoft Dynamics</w:t>
            </w:r>
          </w:p>
          <w:p w:rsidR="00585E19" w:rsidRPr="00F038DB" w:rsidRDefault="00585E19" w:rsidP="002E06FF">
            <w:pPr>
              <w:pStyle w:val="ProductList-Body"/>
              <w:tabs>
                <w:tab w:val="clear" w:pos="158"/>
              </w:tabs>
              <w:spacing w:before="20" w:after="20"/>
              <w:ind w:left="-115" w:right="-115"/>
              <w:jc w:val="center"/>
              <w:rPr>
                <w:rFonts w:ascii="Calibri Light" w:hAnsi="Calibri Light" w:cs="Arial"/>
                <w:color w:val="FFFFFF"/>
                <w:sz w:val="16"/>
                <w:szCs w:val="16"/>
              </w:rPr>
            </w:pPr>
            <w:r w:rsidRPr="00F038DB">
              <w:rPr>
                <w:rFonts w:ascii="Calibri Light" w:hAnsi="Calibri Light" w:cs="Arial"/>
                <w:color w:val="FFFFFF"/>
                <w:sz w:val="16"/>
                <w:szCs w:val="16"/>
              </w:rPr>
              <w:t>CRM Online</w:t>
            </w:r>
          </w:p>
        </w:tc>
      </w:tr>
      <w:tr w:rsidR="00585E19" w:rsidRPr="00D73341" w:rsidTr="00104E6A">
        <w:trPr>
          <w:cantSplit/>
          <w:trHeight w:val="288"/>
        </w:trPr>
        <w:tc>
          <w:tcPr>
            <w:tcW w:w="2250" w:type="dxa"/>
            <w:vMerge/>
            <w:tcBorders>
              <w:bottom w:val="dashSmallGap" w:sz="4" w:space="0" w:color="808080"/>
            </w:tcBorders>
            <w:vAlign w:val="bottom"/>
          </w:tcPr>
          <w:p w:rsidR="00585E19" w:rsidRPr="00F038DB" w:rsidRDefault="00585E19" w:rsidP="000F30AA">
            <w:pPr>
              <w:pStyle w:val="ProductList-Body"/>
              <w:tabs>
                <w:tab w:val="clear" w:pos="158"/>
              </w:tabs>
              <w:rPr>
                <w:rFonts w:ascii="Calibri Light" w:hAnsi="Calibri Light" w:cs="Arial"/>
                <w:szCs w:val="18"/>
              </w:rPr>
            </w:pPr>
          </w:p>
        </w:tc>
        <w:tc>
          <w:tcPr>
            <w:tcW w:w="394" w:type="dxa"/>
            <w:tcBorders>
              <w:bottom w:val="single" w:sz="12" w:space="0" w:color="FFFFFF"/>
              <w:right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r w:rsidRPr="00F038DB">
              <w:rPr>
                <w:rFonts w:ascii="Calibri Light" w:hAnsi="Calibri Light" w:cs="Arial"/>
                <w:color w:val="FFFFFF"/>
                <w:sz w:val="16"/>
                <w:szCs w:val="16"/>
              </w:rPr>
              <w:t>K1</w:t>
            </w:r>
          </w:p>
        </w:tc>
        <w:tc>
          <w:tcPr>
            <w:tcW w:w="395" w:type="dxa"/>
            <w:tcBorders>
              <w:left w:val="single" w:sz="12" w:space="0" w:color="FFFFFF"/>
              <w:bottom w:val="single" w:sz="12" w:space="0" w:color="FFFFFF"/>
              <w:right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r w:rsidRPr="00F038DB">
              <w:rPr>
                <w:rFonts w:ascii="Calibri Light" w:hAnsi="Calibri Light" w:cs="Arial"/>
                <w:color w:val="FFFFFF"/>
                <w:sz w:val="16"/>
                <w:szCs w:val="16"/>
              </w:rPr>
              <w:t>E1</w:t>
            </w:r>
          </w:p>
        </w:tc>
        <w:tc>
          <w:tcPr>
            <w:tcW w:w="395" w:type="dxa"/>
            <w:tcBorders>
              <w:left w:val="single" w:sz="12" w:space="0" w:color="FFFFFF"/>
              <w:bottom w:val="single" w:sz="12" w:space="0" w:color="FFFFFF"/>
              <w:right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r w:rsidRPr="00F038DB">
              <w:rPr>
                <w:rFonts w:ascii="Calibri Light" w:hAnsi="Calibri Light" w:cs="Arial"/>
                <w:color w:val="FFFFFF"/>
                <w:sz w:val="16"/>
                <w:szCs w:val="16"/>
              </w:rPr>
              <w:t>E3</w:t>
            </w:r>
          </w:p>
        </w:tc>
        <w:tc>
          <w:tcPr>
            <w:tcW w:w="436" w:type="dxa"/>
            <w:tcBorders>
              <w:left w:val="single" w:sz="12" w:space="0" w:color="FFFFFF"/>
              <w:bottom w:val="single" w:sz="12" w:space="0" w:color="FFFFFF"/>
              <w:right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r w:rsidRPr="00F038DB">
              <w:rPr>
                <w:rFonts w:ascii="Calibri Light" w:hAnsi="Calibri Light" w:cs="Arial"/>
                <w:color w:val="FFFFFF"/>
                <w:sz w:val="16"/>
                <w:szCs w:val="16"/>
              </w:rPr>
              <w:t>E4</w:t>
            </w:r>
          </w:p>
        </w:tc>
        <w:tc>
          <w:tcPr>
            <w:tcW w:w="353" w:type="dxa"/>
            <w:tcBorders>
              <w:left w:val="single" w:sz="12" w:space="0" w:color="FFFFFF"/>
              <w:bottom w:val="single" w:sz="12" w:space="0" w:color="FFFFFF"/>
              <w:right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r w:rsidRPr="00F038DB">
              <w:rPr>
                <w:rFonts w:ascii="Calibri Light" w:hAnsi="Calibri Light" w:cs="Arial"/>
                <w:color w:val="FFFFFF"/>
                <w:sz w:val="16"/>
                <w:szCs w:val="16"/>
              </w:rPr>
              <w:t>K1</w:t>
            </w:r>
          </w:p>
        </w:tc>
        <w:tc>
          <w:tcPr>
            <w:tcW w:w="395" w:type="dxa"/>
            <w:tcBorders>
              <w:left w:val="single" w:sz="12" w:space="0" w:color="FFFFFF"/>
              <w:bottom w:val="single" w:sz="12" w:space="0" w:color="FFFFFF"/>
              <w:right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r w:rsidRPr="00F038DB">
              <w:rPr>
                <w:rFonts w:ascii="Calibri Light" w:hAnsi="Calibri Light" w:cs="Arial"/>
                <w:color w:val="FFFFFF"/>
                <w:sz w:val="16"/>
                <w:szCs w:val="16"/>
              </w:rPr>
              <w:t>E1</w:t>
            </w:r>
          </w:p>
        </w:tc>
        <w:tc>
          <w:tcPr>
            <w:tcW w:w="395" w:type="dxa"/>
            <w:tcBorders>
              <w:left w:val="single" w:sz="12" w:space="0" w:color="FFFFFF"/>
              <w:bottom w:val="single" w:sz="12" w:space="0" w:color="FFFFFF"/>
              <w:right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r w:rsidRPr="00F038DB">
              <w:rPr>
                <w:rFonts w:ascii="Calibri Light" w:hAnsi="Calibri Light" w:cs="Arial"/>
                <w:color w:val="FFFFFF"/>
                <w:sz w:val="16"/>
                <w:szCs w:val="16"/>
              </w:rPr>
              <w:t>E3</w:t>
            </w:r>
          </w:p>
        </w:tc>
        <w:tc>
          <w:tcPr>
            <w:tcW w:w="351" w:type="dxa"/>
            <w:tcBorders>
              <w:left w:val="single" w:sz="12" w:space="0" w:color="FFFFFF"/>
              <w:bottom w:val="single" w:sz="12" w:space="0" w:color="FFFFFF"/>
              <w:right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r w:rsidRPr="00F038DB">
              <w:rPr>
                <w:rFonts w:ascii="Calibri Light" w:hAnsi="Calibri Light" w:cs="Arial"/>
                <w:color w:val="FFFFFF"/>
                <w:sz w:val="16"/>
                <w:szCs w:val="16"/>
              </w:rPr>
              <w:t>E4</w:t>
            </w:r>
          </w:p>
        </w:tc>
        <w:tc>
          <w:tcPr>
            <w:tcW w:w="438" w:type="dxa"/>
            <w:tcBorders>
              <w:left w:val="single" w:sz="12" w:space="0" w:color="FFFFFF"/>
              <w:bottom w:val="single" w:sz="12" w:space="0" w:color="FFFFFF"/>
              <w:right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r w:rsidRPr="00F038DB">
              <w:rPr>
                <w:rFonts w:ascii="Calibri Light" w:hAnsi="Calibri Light" w:cs="Arial"/>
                <w:color w:val="FFFFFF"/>
                <w:sz w:val="16"/>
                <w:szCs w:val="16"/>
              </w:rPr>
              <w:t>E1</w:t>
            </w:r>
          </w:p>
        </w:tc>
        <w:tc>
          <w:tcPr>
            <w:tcW w:w="395" w:type="dxa"/>
            <w:tcBorders>
              <w:left w:val="single" w:sz="12" w:space="0" w:color="FFFFFF"/>
              <w:bottom w:val="single" w:sz="12" w:space="0" w:color="FFFFFF"/>
              <w:right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r w:rsidRPr="00F038DB">
              <w:rPr>
                <w:rFonts w:ascii="Calibri Light" w:hAnsi="Calibri Light" w:cs="Arial"/>
                <w:color w:val="FFFFFF"/>
                <w:sz w:val="16"/>
                <w:szCs w:val="16"/>
              </w:rPr>
              <w:t>E3</w:t>
            </w:r>
          </w:p>
        </w:tc>
        <w:tc>
          <w:tcPr>
            <w:tcW w:w="373" w:type="dxa"/>
            <w:tcBorders>
              <w:left w:val="single" w:sz="12" w:space="0" w:color="FFFFFF"/>
              <w:bottom w:val="single" w:sz="12" w:space="0" w:color="FFFFFF"/>
              <w:right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r w:rsidRPr="00F038DB">
              <w:rPr>
                <w:rFonts w:ascii="Calibri Light" w:hAnsi="Calibri Light" w:cs="Arial"/>
                <w:color w:val="FFFFFF"/>
                <w:sz w:val="16"/>
                <w:szCs w:val="16"/>
              </w:rPr>
              <w:t>E4</w:t>
            </w:r>
          </w:p>
        </w:tc>
        <w:tc>
          <w:tcPr>
            <w:tcW w:w="759" w:type="dxa"/>
            <w:vMerge/>
            <w:tcBorders>
              <w:left w:val="single" w:sz="12" w:space="0" w:color="FFFFFF"/>
              <w:bottom w:val="single" w:sz="12" w:space="0" w:color="FFFFFF"/>
              <w:right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p>
        </w:tc>
        <w:tc>
          <w:tcPr>
            <w:tcW w:w="737" w:type="dxa"/>
            <w:vMerge/>
            <w:tcBorders>
              <w:left w:val="single" w:sz="12" w:space="0" w:color="FFFFFF"/>
              <w:bottom w:val="single" w:sz="12" w:space="0" w:color="FFFFFF"/>
              <w:right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p>
        </w:tc>
        <w:tc>
          <w:tcPr>
            <w:tcW w:w="737" w:type="dxa"/>
            <w:vMerge/>
            <w:tcBorders>
              <w:left w:val="single" w:sz="12" w:space="0" w:color="FFFFFF"/>
              <w:bottom w:val="single" w:sz="12" w:space="0" w:color="FFFFFF"/>
              <w:right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p>
        </w:tc>
        <w:tc>
          <w:tcPr>
            <w:tcW w:w="737" w:type="dxa"/>
            <w:vMerge/>
            <w:tcBorders>
              <w:left w:val="single" w:sz="12" w:space="0" w:color="FFFFFF"/>
              <w:bottom w:val="single" w:sz="12" w:space="0" w:color="FFFFFF"/>
            </w:tcBorders>
            <w:shd w:val="clear" w:color="auto" w:fill="0072C6"/>
            <w:vAlign w:val="center"/>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p>
        </w:tc>
        <w:tc>
          <w:tcPr>
            <w:tcW w:w="675" w:type="dxa"/>
            <w:tcBorders>
              <w:left w:val="single" w:sz="12" w:space="0" w:color="FFFFFF"/>
              <w:bottom w:val="single" w:sz="12" w:space="0" w:color="FFFFFF"/>
            </w:tcBorders>
            <w:shd w:val="clear" w:color="auto" w:fill="0072C6"/>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r w:rsidRPr="00F038DB">
              <w:rPr>
                <w:rFonts w:ascii="Calibri Light" w:hAnsi="Calibri Light" w:cs="Arial"/>
                <w:color w:val="FFFFFF"/>
                <w:sz w:val="16"/>
                <w:szCs w:val="16"/>
              </w:rPr>
              <w:t>Pro.</w:t>
            </w:r>
          </w:p>
        </w:tc>
        <w:tc>
          <w:tcPr>
            <w:tcW w:w="675" w:type="dxa"/>
            <w:tcBorders>
              <w:left w:val="single" w:sz="12" w:space="0" w:color="FFFFFF"/>
              <w:bottom w:val="single" w:sz="12" w:space="0" w:color="FFFFFF"/>
            </w:tcBorders>
            <w:shd w:val="clear" w:color="auto" w:fill="0072C6"/>
          </w:tcPr>
          <w:p w:rsidR="00585E19" w:rsidRPr="00F038DB" w:rsidRDefault="00585E19" w:rsidP="000F30AA">
            <w:pPr>
              <w:pStyle w:val="ProductList-Body"/>
              <w:tabs>
                <w:tab w:val="clear" w:pos="158"/>
              </w:tabs>
              <w:ind w:left="-108" w:right="-108"/>
              <w:jc w:val="center"/>
              <w:rPr>
                <w:rFonts w:ascii="Calibri Light" w:hAnsi="Calibri Light" w:cs="Arial"/>
                <w:color w:val="FFFFFF"/>
                <w:sz w:val="16"/>
                <w:szCs w:val="16"/>
              </w:rPr>
            </w:pPr>
            <w:r w:rsidRPr="00F038DB">
              <w:rPr>
                <w:rFonts w:ascii="Calibri Light" w:hAnsi="Calibri Light" w:cs="Arial"/>
                <w:color w:val="FFFFFF"/>
                <w:sz w:val="16"/>
                <w:szCs w:val="16"/>
              </w:rPr>
              <w:t>Ent.</w:t>
            </w:r>
          </w:p>
        </w:tc>
      </w:tr>
      <w:tr w:rsidR="00585E19" w:rsidRPr="00D73341" w:rsidTr="00104E6A">
        <w:trPr>
          <w:trHeight w:val="288"/>
        </w:trPr>
        <w:tc>
          <w:tcPr>
            <w:tcW w:w="2250" w:type="dxa"/>
            <w:tcBorders>
              <w:top w:val="dashSmallGap" w:sz="4" w:space="0" w:color="808080"/>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Exchange Online</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Exchange Online Kiosk</w:t>
            </w:r>
          </w:p>
        </w:tc>
        <w:tc>
          <w:tcPr>
            <w:tcW w:w="394" w:type="dxa"/>
            <w:tcBorders>
              <w:top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Exchange Online Plan 1</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Exchange Online Plan 2</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SharePoint Online</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SharePoint Online Kiosk</w:t>
            </w:r>
          </w:p>
        </w:tc>
        <w:tc>
          <w:tcPr>
            <w:tcW w:w="394" w:type="dxa"/>
            <w:tcBorders>
              <w:top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SharePoint Online Plan 1</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SharePoint Online Plan 2</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Lync Online</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Lync Online Plan 1</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Lync Online Plan 2</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Yammer Enterprise</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Office Online</w:t>
            </w:r>
          </w:p>
        </w:tc>
        <w:tc>
          <w:tcPr>
            <w:tcW w:w="394" w:type="dxa"/>
            <w:tcBorders>
              <w:top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Office 365 Business</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Office 365 ProPlus</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Windows Intune</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46457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Azure Rights Management</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0F30AA">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Azure Active Directory Premium</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61583D"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2E06FF">
            <w:pPr>
              <w:pStyle w:val="ProductList-Body"/>
              <w:tabs>
                <w:tab w:val="clear" w:pos="158"/>
              </w:tabs>
              <w:ind w:left="-108"/>
              <w:rPr>
                <w:rFonts w:ascii="Calibri Light" w:hAnsi="Calibri Light" w:cs="Arial"/>
                <w:sz w:val="16"/>
                <w:szCs w:val="16"/>
                <w:lang w:val="en-US"/>
              </w:rPr>
            </w:pPr>
            <w:r w:rsidRPr="00F038DB">
              <w:rPr>
                <w:rFonts w:ascii="Calibri Light" w:hAnsi="Calibri Light" w:cs="Arial"/>
                <w:sz w:val="16"/>
                <w:szCs w:val="16"/>
                <w:lang w:val="en-US"/>
              </w:rPr>
              <w:t>Microsoft Dynamics Marketing Sales Collaboration</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675" w:type="dxa"/>
            <w:tcBorders>
              <w:top w:val="single" w:sz="12" w:space="0" w:color="FFFFFF"/>
              <w:left w:val="single" w:sz="12" w:space="0" w:color="FFFFFF"/>
              <w:bottom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lang w:val="en-US"/>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9E720B">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Microsoft Dynamics Marketing Enterprise</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bottom w:val="dashSmallGap" w:sz="4" w:space="0" w:color="BFBFBF"/>
            </w:tcBorders>
            <w:noWrap/>
            <w:vAlign w:val="center"/>
          </w:tcPr>
          <w:p w:rsidR="00585E19" w:rsidRPr="00F038DB" w:rsidRDefault="00585E19" w:rsidP="002E06FF">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 xml:space="preserve">Microsoft </w:t>
            </w:r>
            <w:r w:rsidR="00B36E70">
              <w:rPr>
                <w:rFonts w:ascii="Calibri Light" w:hAnsi="Calibri Light" w:cs="Arial"/>
                <w:sz w:val="16"/>
                <w:szCs w:val="16"/>
              </w:rPr>
              <w:t>Social Listening</w:t>
            </w:r>
            <w:r w:rsidRPr="00F038DB">
              <w:rPr>
                <w:rFonts w:ascii="Calibri Light" w:hAnsi="Calibri Light" w:cs="Arial"/>
                <w:sz w:val="16"/>
                <w:szCs w:val="16"/>
              </w:rPr>
              <w:t xml:space="preserve"> Professional</w:t>
            </w:r>
          </w:p>
        </w:tc>
        <w:tc>
          <w:tcPr>
            <w:tcW w:w="394" w:type="dxa"/>
            <w:tcBorders>
              <w:top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bottom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r>
      <w:tr w:rsidR="00585E19" w:rsidRPr="00D73341" w:rsidTr="00104E6A">
        <w:trPr>
          <w:trHeight w:val="288"/>
        </w:trPr>
        <w:tc>
          <w:tcPr>
            <w:tcW w:w="2250" w:type="dxa"/>
            <w:tcBorders>
              <w:top w:val="dashSmallGap" w:sz="4" w:space="0" w:color="BFBFBF"/>
            </w:tcBorders>
            <w:noWrap/>
            <w:vAlign w:val="center"/>
          </w:tcPr>
          <w:p w:rsidR="00585E19" w:rsidRPr="00F038DB" w:rsidRDefault="00585E19" w:rsidP="002E06FF">
            <w:pPr>
              <w:pStyle w:val="ProductList-Body"/>
              <w:tabs>
                <w:tab w:val="clear" w:pos="158"/>
              </w:tabs>
              <w:ind w:left="-108"/>
              <w:rPr>
                <w:rFonts w:ascii="Calibri Light" w:hAnsi="Calibri Light" w:cs="Arial"/>
                <w:sz w:val="16"/>
                <w:szCs w:val="16"/>
              </w:rPr>
            </w:pPr>
            <w:r w:rsidRPr="00F038DB">
              <w:rPr>
                <w:rFonts w:ascii="Calibri Light" w:hAnsi="Calibri Light" w:cs="Arial"/>
                <w:sz w:val="16"/>
                <w:szCs w:val="16"/>
              </w:rPr>
              <w:t>Parature Enterprise</w:t>
            </w:r>
          </w:p>
        </w:tc>
        <w:tc>
          <w:tcPr>
            <w:tcW w:w="394" w:type="dxa"/>
            <w:tcBorders>
              <w:top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6" w:type="dxa"/>
            <w:tcBorders>
              <w:top w:val="single" w:sz="12" w:space="0" w:color="FFFFFF"/>
              <w:left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3" w:type="dxa"/>
            <w:tcBorders>
              <w:top w:val="single" w:sz="12" w:space="0" w:color="FFFFFF"/>
              <w:left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51" w:type="dxa"/>
            <w:tcBorders>
              <w:top w:val="single" w:sz="12" w:space="0" w:color="FFFFFF"/>
              <w:left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438" w:type="dxa"/>
            <w:tcBorders>
              <w:top w:val="single" w:sz="12" w:space="0" w:color="FFFFFF"/>
              <w:left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95" w:type="dxa"/>
            <w:tcBorders>
              <w:top w:val="single" w:sz="12" w:space="0" w:color="FFFFFF"/>
              <w:left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373" w:type="dxa"/>
            <w:tcBorders>
              <w:top w:val="single" w:sz="12" w:space="0" w:color="FFFFFF"/>
              <w:left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59" w:type="dxa"/>
            <w:tcBorders>
              <w:top w:val="single" w:sz="12" w:space="0" w:color="FFFFFF"/>
              <w:left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right w:val="single" w:sz="12" w:space="0" w:color="FFFFFF"/>
            </w:tcBorders>
            <w:shd w:val="clear" w:color="auto" w:fill="D9D9D9"/>
            <w:noWrap/>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righ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737" w:type="dxa"/>
            <w:tcBorders>
              <w:top w:val="single" w:sz="12" w:space="0" w:color="FFFFFF"/>
              <w:lef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tcBorders>
            <w:shd w:val="clear" w:color="auto" w:fill="D9D9D9"/>
            <w:vAlign w:val="center"/>
          </w:tcPr>
          <w:p w:rsidR="00585E19" w:rsidRPr="00F038DB" w:rsidRDefault="00585E19" w:rsidP="00CD21FD">
            <w:pPr>
              <w:pStyle w:val="ProductList-Body"/>
              <w:tabs>
                <w:tab w:val="clear" w:pos="158"/>
              </w:tabs>
              <w:jc w:val="center"/>
              <w:rPr>
                <w:rFonts w:ascii="Calibri Light" w:hAnsi="Calibri Light" w:cs="Arial"/>
                <w:szCs w:val="18"/>
              </w:rPr>
            </w:pPr>
          </w:p>
        </w:tc>
        <w:tc>
          <w:tcPr>
            <w:tcW w:w="675" w:type="dxa"/>
            <w:tcBorders>
              <w:top w:val="single" w:sz="12" w:space="0" w:color="FFFFFF"/>
              <w:left w:val="single" w:sz="12" w:space="0" w:color="FFFFFF"/>
            </w:tcBorders>
            <w:shd w:val="clear" w:color="auto" w:fill="4668C5"/>
            <w:vAlign w:val="center"/>
          </w:tcPr>
          <w:p w:rsidR="00585E19" w:rsidRPr="00F038DB" w:rsidRDefault="00585E19" w:rsidP="00CD21FD">
            <w:pPr>
              <w:pStyle w:val="ProductList-Body"/>
              <w:tabs>
                <w:tab w:val="clear" w:pos="158"/>
              </w:tabs>
              <w:jc w:val="center"/>
              <w:rPr>
                <w:rFonts w:ascii="Calibri Light" w:hAnsi="Calibri Light" w:cs="Arial"/>
                <w:szCs w:val="18"/>
              </w:rPr>
            </w:pPr>
          </w:p>
        </w:tc>
      </w:tr>
    </w:tbl>
    <w:p w:rsidR="00585E19" w:rsidRPr="00444B24" w:rsidRDefault="00585E19" w:rsidP="00A914BF">
      <w:pPr>
        <w:pStyle w:val="ProductList-Body"/>
      </w:pPr>
    </w:p>
    <w:p w:rsidR="00585E19" w:rsidRPr="00444B24" w:rsidRDefault="00585E19" w:rsidP="00A914BF">
      <w:pPr>
        <w:pStyle w:val="ProductList-Body"/>
      </w:pPr>
      <w:r w:rsidRPr="00444B24">
        <w:t>Add-On Suite-ALs, deren Titel „ohne ProPlus“ enthält, umfassen keine Rechte für Office 365 ProPlus.</w:t>
      </w:r>
    </w:p>
    <w:p w:rsidR="00585E19" w:rsidRPr="00444B24" w:rsidRDefault="00585E19" w:rsidP="00A914BF">
      <w:pPr>
        <w:pStyle w:val="ProductList-Body"/>
      </w:pPr>
    </w:p>
    <w:p w:rsidR="00585E19" w:rsidRPr="00444B24" w:rsidRDefault="00585E19" w:rsidP="00A914BF">
      <w:pPr>
        <w:pStyle w:val="ProductList-Body"/>
      </w:pPr>
    </w:p>
    <w:p w:rsidR="00585E19" w:rsidRPr="00444B24" w:rsidRDefault="00585E19" w:rsidP="00A914BF">
      <w:pPr>
        <w:pStyle w:val="ProductList-Body"/>
        <w:sectPr w:rsidR="00585E19" w:rsidRPr="00444B24" w:rsidSect="00A61B2A">
          <w:pgSz w:w="12240" w:h="15840"/>
          <w:pgMar w:top="1440" w:right="720" w:bottom="1440" w:left="720" w:header="720" w:footer="720" w:gutter="0"/>
          <w:cols w:space="720"/>
          <w:titlePg/>
          <w:docGrid w:linePitch="360"/>
        </w:sectPr>
      </w:pPr>
    </w:p>
    <w:p w:rsidR="00585E19" w:rsidRPr="00444B24" w:rsidRDefault="00585E19" w:rsidP="00233C87">
      <w:pPr>
        <w:pStyle w:val="ProductList-SectionHeading"/>
        <w:outlineLvl w:val="0"/>
      </w:pPr>
      <w:bookmarkStart w:id="87" w:name="Attachment3"/>
      <w:bookmarkStart w:id="88" w:name="_Toc401641615"/>
      <w:r w:rsidRPr="00444B24">
        <w:t>Anhang 3 – Die Standardvertragsklauseln (</w:t>
      </w:r>
      <w:r>
        <w:t>Auftragsverarbeiter</w:t>
      </w:r>
      <w:r w:rsidRPr="00444B24">
        <w:t>)</w:t>
      </w:r>
      <w:bookmarkEnd w:id="87"/>
      <w:bookmarkEnd w:id="88"/>
    </w:p>
    <w:p w:rsidR="00585E19" w:rsidRPr="00444B24" w:rsidRDefault="00585E19" w:rsidP="00232755">
      <w:pPr>
        <w:pStyle w:val="ProductList-Body"/>
      </w:pPr>
      <w:r w:rsidRPr="00444B24">
        <w:t>Gemäß Artikel 26 Absatz 2 der Richtlinie 95/46/EG für die Übermittlung personenbezogener Daten an Auftragsverarbeiter, die in Drittländern</w:t>
      </w:r>
      <w:r>
        <w:t> </w:t>
      </w:r>
      <w:r w:rsidRPr="00444B24">
        <w:t>niedergelassen sind, in denen kein angemessenes Schutzniveau gewährleistet ist, haben der Kunde (als Datenexporteur) und</w:t>
      </w:r>
      <w:r>
        <w:t> </w:t>
      </w:r>
      <w:r w:rsidRPr="00444B24">
        <w:t>die</w:t>
      </w:r>
      <w:r>
        <w:t> </w:t>
      </w:r>
      <w:r w:rsidRPr="00444B24">
        <w:t xml:space="preserve">Microsoft Corporation (als Datenimporteur, deren Unterschrift unten zu finden ist) </w:t>
      </w:r>
      <w:r>
        <w:t xml:space="preserve">(die „Partei“, wenn eine dieser Organisationen gemeint ist, die „Parteien“, wenn beide gemeint sind) </w:t>
      </w:r>
      <w:r w:rsidRPr="00444B24">
        <w:t>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w:t>
      </w:r>
      <w:r>
        <w:t> </w:t>
      </w:r>
      <w:r w:rsidRPr="00444B24">
        <w:t>Datenexporteur an den Datenimporteur zu bieten.</w:t>
      </w:r>
    </w:p>
    <w:p w:rsidR="00585E19" w:rsidRPr="00444B24" w:rsidRDefault="00585E19" w:rsidP="00232755">
      <w:pPr>
        <w:pStyle w:val="ProductList-Body"/>
      </w:pPr>
    </w:p>
    <w:p w:rsidR="00585E19" w:rsidRPr="00444B24" w:rsidRDefault="00585E19" w:rsidP="00233C87">
      <w:pPr>
        <w:pStyle w:val="ProductList-Body"/>
        <w:jc w:val="center"/>
        <w:outlineLvl w:val="1"/>
      </w:pPr>
      <w:r w:rsidRPr="00444B24">
        <w:rPr>
          <w:b/>
        </w:rPr>
        <w:t>Klausel 1: Definitionen</w:t>
      </w:r>
    </w:p>
    <w:p w:rsidR="00585E19" w:rsidRPr="00444B24" w:rsidRDefault="00585E19" w:rsidP="00232755">
      <w:pPr>
        <w:pStyle w:val="ProductList-Body"/>
      </w:pPr>
    </w:p>
    <w:p w:rsidR="00585E19" w:rsidRPr="00444B24" w:rsidRDefault="00585E19" w:rsidP="00232755">
      <w:pPr>
        <w:pStyle w:val="ProductList-Body"/>
        <w:spacing w:after="120"/>
      </w:pPr>
      <w:r w:rsidRPr="00444B24">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585E19" w:rsidRPr="00444B24" w:rsidRDefault="00585E19" w:rsidP="00232755">
      <w:pPr>
        <w:pStyle w:val="ProductList-Body"/>
        <w:spacing w:after="120"/>
      </w:pPr>
      <w:r w:rsidRPr="00444B24">
        <w:t xml:space="preserve">(b) Der „Datenexporteur“ ist der für die Verarbeitung Verantwortliche, der die personenbezogenen Daten übermittelt. </w:t>
      </w:r>
    </w:p>
    <w:p w:rsidR="00585E19" w:rsidRPr="00444B24" w:rsidRDefault="00585E19" w:rsidP="00232755">
      <w:pPr>
        <w:pStyle w:val="ProductList-Body"/>
        <w:spacing w:after="120"/>
      </w:pPr>
      <w:r w:rsidRPr="00444B24">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585E19" w:rsidRPr="00444B24" w:rsidRDefault="00585E19" w:rsidP="00232755">
      <w:pPr>
        <w:pStyle w:val="ProductList-Body"/>
        <w:spacing w:after="120"/>
      </w:pPr>
      <w:r w:rsidRPr="00444B24">
        <w:t>(d)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w:t>
      </w:r>
      <w:r>
        <w:t>.</w:t>
      </w:r>
      <w:r w:rsidRPr="00444B24">
        <w:t xml:space="preserve"> </w:t>
      </w:r>
    </w:p>
    <w:p w:rsidR="00585E19" w:rsidRPr="00444B24" w:rsidRDefault="00585E19" w:rsidP="00232755">
      <w:pPr>
        <w:pStyle w:val="ProductList-Body"/>
        <w:spacing w:after="120"/>
      </w:pPr>
      <w:r w:rsidRPr="00444B24">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585E19" w:rsidRPr="00444B24" w:rsidRDefault="00585E19" w:rsidP="00232755">
      <w:pPr>
        <w:pStyle w:val="ProductList-Body"/>
      </w:pPr>
      <w:r w:rsidRPr="00444B24">
        <w:t>(f) Die „technischen und organisatorischen Sicherheitsmaßnahmen“ sind die Maßnahmen, die personenbezogene Daten vor der zufälligen oder</w:t>
      </w:r>
      <w:r>
        <w:t> </w:t>
      </w:r>
      <w:r w:rsidRPr="00444B24">
        <w:t xml:space="preserve">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585E19" w:rsidRPr="00444B24" w:rsidRDefault="00585E19" w:rsidP="00232755">
      <w:pPr>
        <w:pStyle w:val="ProductList-Body"/>
      </w:pPr>
    </w:p>
    <w:p w:rsidR="00585E19" w:rsidRPr="00444B24" w:rsidRDefault="00585E19" w:rsidP="00233C87">
      <w:pPr>
        <w:pStyle w:val="ProductList-Body"/>
        <w:jc w:val="center"/>
        <w:outlineLvl w:val="1"/>
      </w:pPr>
      <w:r w:rsidRPr="00444B24">
        <w:rPr>
          <w:b/>
        </w:rPr>
        <w:t>Klausel 2:</w:t>
      </w:r>
      <w:r>
        <w:rPr>
          <w:b/>
        </w:rPr>
        <w:t xml:space="preserve"> Einzelheiten der </w:t>
      </w:r>
      <w:r w:rsidRPr="00444B24">
        <w:rPr>
          <w:b/>
        </w:rPr>
        <w:t>Übermittlung</w:t>
      </w:r>
    </w:p>
    <w:p w:rsidR="00585E19" w:rsidRPr="00444B24" w:rsidRDefault="00585E19" w:rsidP="00232755">
      <w:pPr>
        <w:pStyle w:val="ProductList-Body"/>
      </w:pPr>
    </w:p>
    <w:p w:rsidR="00585E19" w:rsidRPr="00444B24" w:rsidRDefault="00585E19" w:rsidP="00232755">
      <w:pPr>
        <w:pStyle w:val="ProductList-Body"/>
      </w:pPr>
      <w:r w:rsidRPr="00444B24">
        <w:t>Die Einzelheiten der Übermittlung, insbesondere die besonderen Kategorien personenbezogener Daten, sofern vorhanden, werden in Anhang 1 unten erläutert.</w:t>
      </w:r>
    </w:p>
    <w:p w:rsidR="00585E19" w:rsidRPr="00444B24" w:rsidRDefault="00585E19" w:rsidP="00A914BF">
      <w:pPr>
        <w:pStyle w:val="ProductList-Body"/>
      </w:pPr>
    </w:p>
    <w:p w:rsidR="00585E19" w:rsidRPr="00444B24" w:rsidRDefault="00585E19" w:rsidP="00233C87">
      <w:pPr>
        <w:pStyle w:val="ProductList-Body"/>
        <w:jc w:val="center"/>
        <w:outlineLvl w:val="1"/>
      </w:pPr>
      <w:r w:rsidRPr="00444B24">
        <w:rPr>
          <w:b/>
        </w:rPr>
        <w:t>Klausel 3: Drittbegünstigtenklausel</w:t>
      </w:r>
    </w:p>
    <w:p w:rsidR="00585E19" w:rsidRPr="00444B24" w:rsidRDefault="00585E19" w:rsidP="00232755">
      <w:pPr>
        <w:pStyle w:val="ProductList-Body"/>
      </w:pPr>
    </w:p>
    <w:p w:rsidR="00585E19" w:rsidRPr="00444B24" w:rsidRDefault="00585E19" w:rsidP="00232755">
      <w:pPr>
        <w:pStyle w:val="ProductList-Body"/>
        <w:spacing w:after="120"/>
      </w:pPr>
      <w:r w:rsidRPr="00444B24">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585E19" w:rsidRPr="00444B24" w:rsidRDefault="00585E19" w:rsidP="00232755">
      <w:pPr>
        <w:pStyle w:val="ProductList-Body"/>
        <w:spacing w:after="120"/>
      </w:pPr>
      <w:r w:rsidRPr="00444B24">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585E19" w:rsidRPr="00444B24" w:rsidRDefault="00585E19" w:rsidP="00232755">
      <w:pPr>
        <w:pStyle w:val="ProductList-Body"/>
        <w:spacing w:after="120"/>
      </w:pPr>
      <w:r w:rsidRPr="00444B24">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585E19" w:rsidRPr="00444B24" w:rsidRDefault="00585E19" w:rsidP="00232755">
      <w:pPr>
        <w:pStyle w:val="ProductList-Body"/>
      </w:pPr>
      <w:r w:rsidRPr="00444B24">
        <w:t xml:space="preserve">4. Die Parteien haben keine Einwände dagegen, dass die betroffene Person, sofern sie dies ausdrücklich wünscht und das nationale Recht dies zulässt, durch eine Vereinigung oder sonstige Einrichtung vertreten wird. </w:t>
      </w:r>
    </w:p>
    <w:p w:rsidR="00585E19" w:rsidRDefault="00585E19" w:rsidP="00233C87">
      <w:pPr>
        <w:pStyle w:val="ProductList-Body"/>
        <w:jc w:val="center"/>
        <w:outlineLvl w:val="1"/>
        <w:rPr>
          <w:b/>
        </w:rPr>
      </w:pPr>
    </w:p>
    <w:p w:rsidR="00585E19" w:rsidRPr="00444B24" w:rsidRDefault="00585E19" w:rsidP="00233C87">
      <w:pPr>
        <w:pStyle w:val="ProductList-Body"/>
        <w:jc w:val="center"/>
        <w:outlineLvl w:val="1"/>
      </w:pPr>
      <w:r w:rsidRPr="00444B24">
        <w:rPr>
          <w:b/>
        </w:rPr>
        <w:t>Klausel 4: Pflichten des Datenexporteurs</w:t>
      </w:r>
    </w:p>
    <w:p w:rsidR="00585E19" w:rsidRPr="00444B24" w:rsidRDefault="00585E19" w:rsidP="00232755">
      <w:pPr>
        <w:pStyle w:val="ProductList-Body"/>
      </w:pPr>
    </w:p>
    <w:p w:rsidR="00585E19" w:rsidRPr="00444B24" w:rsidRDefault="00585E19" w:rsidP="00232755">
      <w:pPr>
        <w:pStyle w:val="ProductList-Body"/>
      </w:pPr>
      <w:r w:rsidRPr="00444B24">
        <w:t xml:space="preserve">Der Datenexporteur erklärt sich bereit und </w:t>
      </w:r>
      <w:r>
        <w:t>garantiert</w:t>
      </w:r>
      <w:r w:rsidRPr="00444B24">
        <w:t xml:space="preserve">, dass </w:t>
      </w:r>
    </w:p>
    <w:p w:rsidR="00585E19" w:rsidRPr="00444B24" w:rsidRDefault="00585E19" w:rsidP="00232755">
      <w:pPr>
        <w:pStyle w:val="ProductList-Body"/>
      </w:pPr>
    </w:p>
    <w:p w:rsidR="00585E19" w:rsidRPr="00444B24" w:rsidRDefault="00585E19" w:rsidP="00232755">
      <w:pPr>
        <w:pStyle w:val="ProductList-Body"/>
        <w:spacing w:after="120"/>
      </w:pPr>
      <w:r>
        <w:t>(</w:t>
      </w:r>
      <w:r w:rsidRPr="00444B24">
        <w:t>a) die Verarbeitung der personenbezogenen Daten einschließlich der Übermittlung entsprechend den einschlägigen Bestimmungen des anwendbaren Datenschutzrechts durchgeführt wurde und auch weiterhin so durchgeführt wird (und gegebenenfalls den zuständigen Behörden des</w:t>
      </w:r>
      <w:r>
        <w:t> </w:t>
      </w:r>
      <w:r w:rsidRPr="00444B24">
        <w:t xml:space="preserve">Mitgliedstaats mitgeteilt wurde, in dem der Datenexporteur niedergelassen ist) und nicht gegen die einschlägigen Vorschriften dieses Staates verstößt; </w:t>
      </w:r>
    </w:p>
    <w:p w:rsidR="00585E19" w:rsidRPr="00444B24" w:rsidRDefault="00585E19" w:rsidP="00232755">
      <w:pPr>
        <w:pStyle w:val="ProductList-Body"/>
        <w:spacing w:after="120"/>
      </w:pPr>
      <w:r w:rsidRPr="00444B24">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585E19" w:rsidRPr="00444B24" w:rsidRDefault="00585E19" w:rsidP="00232755">
      <w:pPr>
        <w:pStyle w:val="ProductList-Body"/>
        <w:spacing w:after="120"/>
      </w:pPr>
      <w:r w:rsidRPr="00444B24">
        <w:t xml:space="preserve">(c) der Datenimporteur hinreichende Garantien in Bezug auf die in Anhang 2 unten beschriebenen technischen und organisatorischen Sicherheitsmaßnahmen bietet; </w:t>
      </w:r>
    </w:p>
    <w:p w:rsidR="00585E19" w:rsidRPr="00444B24" w:rsidRDefault="00585E19" w:rsidP="00232755">
      <w:pPr>
        <w:pStyle w:val="ProductList-Body"/>
        <w:spacing w:after="120"/>
      </w:pPr>
      <w:r>
        <w:t>(</w:t>
      </w:r>
      <w:r w:rsidRPr="00444B24">
        <w:t>d) die Sicherheitsmaßnahmen unter Berücksichtigung der Anforderungen des anwendbaren Datenschutzrechts, des Standes der Technik, der bei</w:t>
      </w:r>
      <w:r>
        <w:t> </w:t>
      </w:r>
      <w:r w:rsidRPr="00444B24">
        <w:t>ihrer Durchführung entstehenden Kosten, der von der Verarbeitung ausgehenden Risiken und der Art der zu schützenden Daten hinreichend gewährleisten, dass personenbezogene Daten vor der zufälligen oder unrechtmäßigen Zerstörung, dem zufälligem Verlust, der Änderung, der</w:t>
      </w:r>
      <w:r>
        <w:t> </w:t>
      </w:r>
      <w:r w:rsidRPr="00444B24">
        <w:t>unberechtigten Weitergabe oder dem unberechtigten Zugang, insbesondere wenn die Verarbeitung die Übermittlung der Daten über ein</w:t>
      </w:r>
      <w:r>
        <w:t> </w:t>
      </w:r>
      <w:r w:rsidRPr="00444B24">
        <w:t>Netzwerk</w:t>
      </w:r>
      <w:r>
        <w:t> </w:t>
      </w:r>
      <w:r w:rsidRPr="00444B24">
        <w:t xml:space="preserve">umfasst, und vor jeder anderen Form der unrechtmäßigen Verarbeitung geschützt sind; </w:t>
      </w:r>
    </w:p>
    <w:p w:rsidR="00585E19" w:rsidRPr="00444B24" w:rsidRDefault="00585E19" w:rsidP="00232755">
      <w:pPr>
        <w:pStyle w:val="ProductList-Body"/>
        <w:spacing w:after="120"/>
      </w:pPr>
      <w:r w:rsidRPr="00444B24">
        <w:t xml:space="preserve">(e) er für die Einhaltung dieser Sicherheitsmaßnahmen sorgt; </w:t>
      </w:r>
    </w:p>
    <w:p w:rsidR="00585E19" w:rsidRPr="00444B24" w:rsidRDefault="00585E19" w:rsidP="00232755">
      <w:pPr>
        <w:pStyle w:val="ProductList-Body"/>
        <w:spacing w:after="120"/>
      </w:pPr>
      <w:r w:rsidRPr="00444B24">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585E19" w:rsidRPr="00444B24" w:rsidRDefault="00585E19" w:rsidP="00232755">
      <w:pPr>
        <w:pStyle w:val="ProductList-Body"/>
        <w:spacing w:after="120"/>
      </w:pPr>
      <w:r w:rsidRPr="00444B24">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585E19" w:rsidRPr="00444B24" w:rsidRDefault="00585E19" w:rsidP="00232755">
      <w:pPr>
        <w:pStyle w:val="ProductList-Body"/>
        <w:spacing w:after="120"/>
      </w:pPr>
      <w:r w:rsidRPr="00444B24">
        <w:t>(h) er den betroffenen Personen auf Anfrage eine Kopie der Klauseln mit Ausnahme von Anhang 2 sowie eine allgemeine Beschreibung der Sicherheitsmaßnahmen zur Verfügung stellt; außerdem stellt er ihnen gegebenenfalls die Kopie des Vertrags über Datenverarbeitungsdienste zur</w:t>
      </w:r>
      <w:r>
        <w:t> </w:t>
      </w:r>
      <w:r w:rsidRPr="00444B24">
        <w:t xml:space="preserve">Verfügung, der gemäß den Klauseln an einen Unterauftragsverarbeiter vergeben wurde, es sei denn, die Klauseln oder der Vertrag enthalten Geschäftsinformationen; in diesem Fall können solche Geschäftsinformationen herausgenommen werden; </w:t>
      </w:r>
    </w:p>
    <w:p w:rsidR="00585E19" w:rsidRPr="00444B24" w:rsidRDefault="00585E19" w:rsidP="00232755">
      <w:pPr>
        <w:pStyle w:val="ProductList-Body"/>
        <w:spacing w:after="120"/>
      </w:pPr>
      <w:r w:rsidRPr="00444B24">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585E19" w:rsidRPr="00444B24" w:rsidRDefault="00585E19" w:rsidP="00232755">
      <w:pPr>
        <w:pStyle w:val="ProductList-Body"/>
      </w:pPr>
      <w:r w:rsidRPr="00444B24">
        <w:t>(j) er für die Einhaltung der Klausel 4 Buchstaben a bis i sorgt.</w:t>
      </w:r>
    </w:p>
    <w:p w:rsidR="00585E19" w:rsidRPr="00444B24" w:rsidRDefault="00585E19" w:rsidP="00A914BF">
      <w:pPr>
        <w:pStyle w:val="ProductList-Body"/>
      </w:pPr>
    </w:p>
    <w:p w:rsidR="00585E19" w:rsidRPr="00444B24" w:rsidRDefault="00585E19" w:rsidP="00233C87">
      <w:pPr>
        <w:pStyle w:val="ProductList-Body"/>
        <w:jc w:val="center"/>
        <w:outlineLvl w:val="1"/>
      </w:pPr>
      <w:r w:rsidRPr="00444B24">
        <w:rPr>
          <w:b/>
        </w:rPr>
        <w:t>Klausel 5: Pflichten des Datenimporteurs</w:t>
      </w:r>
    </w:p>
    <w:p w:rsidR="00585E19" w:rsidRPr="00444B24" w:rsidRDefault="00585E19" w:rsidP="00E83159">
      <w:pPr>
        <w:pStyle w:val="ProductList-Body"/>
      </w:pPr>
    </w:p>
    <w:p w:rsidR="00585E19" w:rsidRPr="00444B24" w:rsidRDefault="00585E19" w:rsidP="00E83159">
      <w:pPr>
        <w:pStyle w:val="ProductList-Body"/>
      </w:pPr>
      <w:r w:rsidRPr="00444B24">
        <w:t xml:space="preserve">Der Datenimporteur erklärt sich bereit und </w:t>
      </w:r>
      <w:r>
        <w:t>garantiert</w:t>
      </w:r>
      <w:r w:rsidRPr="00444B24">
        <w:t xml:space="preserve">, dass </w:t>
      </w:r>
    </w:p>
    <w:p w:rsidR="00585E19" w:rsidRPr="00444B24" w:rsidRDefault="00585E19" w:rsidP="00E83159">
      <w:pPr>
        <w:pStyle w:val="ProductList-Body"/>
      </w:pPr>
    </w:p>
    <w:p w:rsidR="00585E19" w:rsidRPr="00444B24" w:rsidRDefault="00585E19" w:rsidP="00E83159">
      <w:pPr>
        <w:pStyle w:val="ProductList-Body"/>
        <w:spacing w:after="120"/>
      </w:pPr>
      <w:r w:rsidRPr="00444B24">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585E19" w:rsidRPr="00444B24" w:rsidRDefault="00585E19" w:rsidP="00E83159">
      <w:pPr>
        <w:pStyle w:val="ProductList-Body"/>
        <w:spacing w:after="120"/>
      </w:pPr>
      <w:r w:rsidRPr="00444B24">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585E19" w:rsidRPr="00444B24" w:rsidRDefault="00585E19" w:rsidP="00E83159">
      <w:pPr>
        <w:pStyle w:val="ProductList-Body"/>
        <w:spacing w:after="120"/>
      </w:pPr>
      <w:r w:rsidRPr="00444B24">
        <w:t xml:space="preserve">(c) er vor der Verarbeitung der übermittelten personenbezogenen Daten die in Anhang 2 beschriebenen technischen und organisatorischen Sicherheitsmaßnahmen ergriffen hat; </w:t>
      </w:r>
    </w:p>
    <w:p w:rsidR="00585E19" w:rsidRPr="00444B24" w:rsidRDefault="00585E19" w:rsidP="00E83159">
      <w:pPr>
        <w:pStyle w:val="ProductList-Body"/>
      </w:pPr>
      <w:r w:rsidRPr="00444B24">
        <w:t xml:space="preserve">(d) er den Datenexporteur unverzüglich informiert über </w:t>
      </w:r>
    </w:p>
    <w:p w:rsidR="00585E19" w:rsidRPr="00444B24" w:rsidRDefault="00585E19" w:rsidP="00E83159">
      <w:pPr>
        <w:pStyle w:val="ProductList-Body"/>
        <w:spacing w:after="60"/>
        <w:ind w:left="360"/>
      </w:pPr>
      <w:r w:rsidRPr="00444B24">
        <w:t>(i) alle rechtlich bindenden Aufforderungen einer Vollstreckungsbehörde zur Weitergabe der personenbezogenen Daten, es sei denn, dies</w:t>
      </w:r>
      <w:r>
        <w:t> </w:t>
      </w:r>
      <w:r w:rsidRPr="00444B24">
        <w:t>wäre anderweitig untersagt, beispielsweise durch ein strafrechtliches Verbot zur Wahrung des Untersuchungsgeheimnisses bei strafrechtlichen Ermittlungen</w:t>
      </w:r>
      <w:r>
        <w:t>,</w:t>
      </w:r>
      <w:r w:rsidRPr="00444B24">
        <w:t xml:space="preserve"> </w:t>
      </w:r>
    </w:p>
    <w:p w:rsidR="00585E19" w:rsidRPr="00444B24" w:rsidRDefault="00585E19" w:rsidP="00E83159">
      <w:pPr>
        <w:pStyle w:val="ProductList-Body"/>
        <w:spacing w:after="60"/>
        <w:ind w:left="360"/>
      </w:pPr>
      <w:r w:rsidRPr="00444B24">
        <w:t>(ii) jeden zufälligen oder unberechtigten Zugang</w:t>
      </w:r>
      <w:r>
        <w:t>,</w:t>
      </w:r>
      <w:r w:rsidRPr="00444B24">
        <w:t xml:space="preserve"> und </w:t>
      </w:r>
    </w:p>
    <w:p w:rsidR="00585E19" w:rsidRPr="00444B24" w:rsidRDefault="00585E19" w:rsidP="00E83159">
      <w:pPr>
        <w:pStyle w:val="ProductList-Body"/>
        <w:spacing w:after="120"/>
        <w:ind w:left="360"/>
      </w:pPr>
      <w:r w:rsidRPr="00444B24">
        <w:t>(iii) alle Anfragen, die direkt von den betroffenen Personen an ihn gerichtet werden, ohne diese zu beantworten, es sei denn, er wäre anderweitig dazu berechtigt</w:t>
      </w:r>
      <w:r>
        <w:t>;</w:t>
      </w:r>
      <w:r w:rsidRPr="00444B24">
        <w:t xml:space="preserve"> </w:t>
      </w:r>
    </w:p>
    <w:p w:rsidR="00585E19" w:rsidRPr="00444B24" w:rsidRDefault="00585E19" w:rsidP="00E83159">
      <w:pPr>
        <w:pStyle w:val="ProductList-Body"/>
        <w:spacing w:after="120"/>
      </w:pPr>
      <w:r w:rsidRPr="00444B24">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585E19" w:rsidRPr="00444B24" w:rsidRDefault="00585E19" w:rsidP="00E83159">
      <w:pPr>
        <w:pStyle w:val="ProductList-Body"/>
        <w:spacing w:after="120"/>
      </w:pPr>
      <w:r w:rsidRPr="00444B24">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585E19" w:rsidRPr="00444B24" w:rsidRDefault="00585E19" w:rsidP="00E83159">
      <w:pPr>
        <w:pStyle w:val="ProductList-Body"/>
        <w:spacing w:after="120"/>
      </w:pPr>
      <w:r w:rsidRPr="00444B24">
        <w:t>(g) er den betroffenen Personen auf Anfrage eine Kopie der Klauseln und gegebenenfalls einen bestehenden Vertrag über die Vergabe eines</w:t>
      </w:r>
      <w:r>
        <w:t> </w:t>
      </w:r>
      <w:r w:rsidRPr="00444B24">
        <w:t xml:space="preserve">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585E19" w:rsidRPr="00444B24" w:rsidRDefault="00585E19" w:rsidP="00E83159">
      <w:pPr>
        <w:pStyle w:val="ProductList-Body"/>
        <w:spacing w:after="120"/>
      </w:pPr>
      <w:r w:rsidRPr="00444B24">
        <w:t xml:space="preserve">(h) er bei der Vergabe eines Verarbeitungsauftrags an einen Unterauftragsverarbeiter den Datenexporteur vorher benachrichtigt und seine vorherige schriftliche Einwilligung eingeholt hat; </w:t>
      </w:r>
    </w:p>
    <w:p w:rsidR="00585E19" w:rsidRPr="00444B24" w:rsidRDefault="00585E19" w:rsidP="00E83159">
      <w:pPr>
        <w:pStyle w:val="ProductList-Body"/>
        <w:spacing w:after="120"/>
      </w:pPr>
      <w:r w:rsidRPr="00444B24">
        <w:t>(i) der Unterauftragsverarbeiter die Datenverarbeitungsdienste in Übereinstimmung mit Klausel 11 erbringt</w:t>
      </w:r>
      <w:r>
        <w:t>;</w:t>
      </w:r>
    </w:p>
    <w:p w:rsidR="00585E19" w:rsidRPr="00444B24" w:rsidRDefault="00585E19" w:rsidP="00E83159">
      <w:pPr>
        <w:pStyle w:val="ProductList-Body"/>
      </w:pPr>
      <w:r w:rsidRPr="00444B24">
        <w:t>(j) er dem Datenexporteur unverzüglich eine Kopie des Unterauftrags über die Datenverarbeitung zuschickt, den er nach den Klauseln geschlossen</w:t>
      </w:r>
      <w:r>
        <w:t> </w:t>
      </w:r>
      <w:r w:rsidRPr="00444B24">
        <w:t>hat.</w:t>
      </w:r>
    </w:p>
    <w:p w:rsidR="00585E19" w:rsidRPr="00444B24" w:rsidRDefault="00585E19" w:rsidP="00A914BF">
      <w:pPr>
        <w:pStyle w:val="ProductList-Body"/>
      </w:pPr>
    </w:p>
    <w:p w:rsidR="00585E19" w:rsidRPr="00444B24" w:rsidRDefault="00585E19" w:rsidP="00233C87">
      <w:pPr>
        <w:pStyle w:val="ProductList-Body"/>
        <w:jc w:val="center"/>
        <w:outlineLvl w:val="1"/>
      </w:pPr>
      <w:r w:rsidRPr="00444B24">
        <w:rPr>
          <w:b/>
        </w:rPr>
        <w:t>Klausel 6: Haftung</w:t>
      </w:r>
    </w:p>
    <w:p w:rsidR="00585E19" w:rsidRPr="00444B24" w:rsidRDefault="00585E19" w:rsidP="00E83159">
      <w:pPr>
        <w:pStyle w:val="ProductList-Body"/>
      </w:pPr>
    </w:p>
    <w:p w:rsidR="00585E19" w:rsidRPr="00444B24" w:rsidRDefault="00585E19" w:rsidP="00E83159">
      <w:pPr>
        <w:pStyle w:val="ProductList-Body"/>
        <w:spacing w:after="120"/>
      </w:pPr>
      <w:r w:rsidRPr="00444B24">
        <w:t>1. Die Parteien vereinbaren, dass jede betroffene Person, die durch eine Verletzung der in Klausel 3 oder 11 genannten Pflichten durch eine Partei</w:t>
      </w:r>
      <w:r>
        <w:t> </w:t>
      </w:r>
      <w:r w:rsidRPr="00444B24">
        <w:t>oder einen Unterauftragsverarbeiter Schaden erlitten hat, berechtigt ist, vom Datenexporteur Schadenersatz für den erlittenen Schaden zu</w:t>
      </w:r>
      <w:r>
        <w:t> </w:t>
      </w:r>
      <w:r w:rsidRPr="00444B24">
        <w:t xml:space="preserve">erlangen. </w:t>
      </w:r>
    </w:p>
    <w:p w:rsidR="00585E19" w:rsidRPr="00444B24" w:rsidRDefault="00585E19" w:rsidP="00E83159">
      <w:pPr>
        <w:pStyle w:val="ProductList-Body"/>
        <w:spacing w:after="120"/>
      </w:pPr>
      <w:r w:rsidRPr="00444B24">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585E19" w:rsidRPr="00444B24" w:rsidRDefault="00585E19" w:rsidP="00E83159">
      <w:pPr>
        <w:pStyle w:val="ProductList-Body"/>
        <w:spacing w:after="120"/>
      </w:pPr>
      <w:r w:rsidRPr="00444B24">
        <w:t xml:space="preserve">Der Datenimporteur kann sich seiner Haftung nicht entziehen, indem er sich auf die Verantwortung des Unterauftragsverarbeiters für einen Verstoß beruft. </w:t>
      </w:r>
    </w:p>
    <w:p w:rsidR="00585E19" w:rsidRPr="00444B24" w:rsidRDefault="00585E19" w:rsidP="00E83159">
      <w:pPr>
        <w:pStyle w:val="ProductList-Body"/>
      </w:pPr>
      <w:r w:rsidRPr="00444B24">
        <w:t>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w:t>
      </w:r>
      <w:r>
        <w:t> </w:t>
      </w:r>
      <w:r w:rsidRPr="00444B24">
        <w:t xml:space="preserve">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585E19" w:rsidRPr="00444B24" w:rsidRDefault="00585E19" w:rsidP="00E83159">
      <w:pPr>
        <w:pStyle w:val="ProductList-Body"/>
      </w:pPr>
    </w:p>
    <w:p w:rsidR="00585E19" w:rsidRPr="00444B24" w:rsidRDefault="00585E19" w:rsidP="00233C87">
      <w:pPr>
        <w:pStyle w:val="ProductList-Body"/>
        <w:jc w:val="center"/>
        <w:outlineLvl w:val="1"/>
      </w:pPr>
      <w:r w:rsidRPr="00444B24">
        <w:rPr>
          <w:b/>
        </w:rPr>
        <w:t>Klausel 7: Schlichtungsverfahren und Gerichtsstand</w:t>
      </w:r>
    </w:p>
    <w:p w:rsidR="00585E19" w:rsidRPr="00444B24" w:rsidRDefault="00585E19" w:rsidP="00E83159">
      <w:pPr>
        <w:pStyle w:val="ProductList-Body"/>
      </w:pPr>
    </w:p>
    <w:p w:rsidR="00585E19" w:rsidRPr="00444B24" w:rsidRDefault="00585E19" w:rsidP="00E83159">
      <w:pPr>
        <w:pStyle w:val="ProductList-Body"/>
      </w:pPr>
      <w:r w:rsidRPr="00444B24">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585E19" w:rsidRPr="00444B24" w:rsidRDefault="00585E19" w:rsidP="00E83159">
      <w:pPr>
        <w:pStyle w:val="ProductList-Body"/>
        <w:spacing w:after="60"/>
        <w:ind w:left="360"/>
      </w:pPr>
      <w:r w:rsidRPr="00444B24">
        <w:t xml:space="preserve">(a) die Angelegenheit in einem Schlichtungsverfahren durch eine unabhängige Person oder gegebenenfalls durch die Kontrollstelle beizulegen oder </w:t>
      </w:r>
    </w:p>
    <w:p w:rsidR="00585E19" w:rsidRPr="00444B24" w:rsidRDefault="00585E19" w:rsidP="00E83159">
      <w:pPr>
        <w:pStyle w:val="ProductList-Body"/>
        <w:spacing w:after="120"/>
        <w:ind w:left="360"/>
      </w:pPr>
      <w:r w:rsidRPr="00444B24">
        <w:t>(b) die Gerichte des Mitgliedstaats, in dem der Datenexporteur niedergelassen ist, mit dem Streitfall zu befassen</w:t>
      </w:r>
      <w:r>
        <w:t>.</w:t>
      </w:r>
      <w:r w:rsidRPr="00444B24">
        <w:t xml:space="preserve"> </w:t>
      </w:r>
    </w:p>
    <w:p w:rsidR="00585E19" w:rsidRPr="00444B24" w:rsidRDefault="00585E19" w:rsidP="00E83159">
      <w:pPr>
        <w:pStyle w:val="ProductList-Body"/>
      </w:pPr>
      <w:r w:rsidRPr="00444B24">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585E19" w:rsidRPr="00444B24" w:rsidRDefault="00585E19" w:rsidP="00E83159">
      <w:pPr>
        <w:pStyle w:val="ProductList-Body"/>
      </w:pPr>
    </w:p>
    <w:p w:rsidR="00585E19" w:rsidRDefault="00585E19" w:rsidP="00233C87">
      <w:pPr>
        <w:pStyle w:val="ProductList-Body"/>
        <w:jc w:val="center"/>
        <w:outlineLvl w:val="1"/>
        <w:rPr>
          <w:b/>
        </w:rPr>
      </w:pPr>
    </w:p>
    <w:p w:rsidR="00585E19" w:rsidRDefault="00585E19" w:rsidP="00233C87">
      <w:pPr>
        <w:pStyle w:val="ProductList-Body"/>
        <w:jc w:val="center"/>
        <w:outlineLvl w:val="1"/>
        <w:rPr>
          <w:b/>
        </w:rPr>
      </w:pPr>
      <w:r w:rsidRPr="00444B24">
        <w:rPr>
          <w:b/>
        </w:rPr>
        <w:t>Klausel 8: Zusammenarbeit mit Kontrollstellen</w:t>
      </w:r>
    </w:p>
    <w:p w:rsidR="00585E19" w:rsidRPr="00444B24" w:rsidRDefault="00585E19" w:rsidP="00233C87">
      <w:pPr>
        <w:pStyle w:val="ProductList-Body"/>
        <w:jc w:val="center"/>
        <w:outlineLvl w:val="1"/>
      </w:pPr>
    </w:p>
    <w:p w:rsidR="00585E19" w:rsidRPr="00444B24" w:rsidRDefault="00585E19" w:rsidP="00E83159">
      <w:pPr>
        <w:pStyle w:val="ProductList-Body"/>
        <w:spacing w:after="120"/>
      </w:pPr>
      <w:r w:rsidRPr="00444B24">
        <w:t xml:space="preserve">1. Der Datenexporteur erklärt sich bereit, eine Kopie dieses Vertrages bei der Kontrollstelle zu hinterlegen, wenn diese es verlangt oder das anwendbare Datenschutzrecht es so vorsieht. </w:t>
      </w:r>
    </w:p>
    <w:p w:rsidR="00585E19" w:rsidRPr="00444B24" w:rsidRDefault="00585E19" w:rsidP="00E83159">
      <w:pPr>
        <w:pStyle w:val="ProductList-Body"/>
        <w:spacing w:after="120"/>
      </w:pPr>
      <w:r w:rsidRPr="00444B24">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585E19" w:rsidRPr="00444B24" w:rsidRDefault="00585E19" w:rsidP="00E83159">
      <w:pPr>
        <w:pStyle w:val="ProductList-Body"/>
      </w:pPr>
      <w:r w:rsidRPr="00444B24">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585E19" w:rsidRPr="00444B24" w:rsidRDefault="00585E19" w:rsidP="00E83159">
      <w:pPr>
        <w:pStyle w:val="ProductList-Body"/>
      </w:pPr>
    </w:p>
    <w:p w:rsidR="00585E19" w:rsidRPr="00444B24" w:rsidRDefault="00585E19" w:rsidP="00233C87">
      <w:pPr>
        <w:pStyle w:val="ProductList-Body"/>
        <w:jc w:val="center"/>
        <w:outlineLvl w:val="1"/>
      </w:pPr>
      <w:r w:rsidRPr="00444B24">
        <w:rPr>
          <w:b/>
        </w:rPr>
        <w:t>Klausel 9: Anwendbares Recht.</w:t>
      </w:r>
    </w:p>
    <w:p w:rsidR="00585E19" w:rsidRPr="00444B24" w:rsidRDefault="00585E19" w:rsidP="00E83159">
      <w:pPr>
        <w:pStyle w:val="ProductList-Body"/>
      </w:pPr>
    </w:p>
    <w:p w:rsidR="00585E19" w:rsidRPr="00444B24" w:rsidRDefault="00585E19" w:rsidP="00E83159">
      <w:pPr>
        <w:pStyle w:val="ProductList-Body"/>
      </w:pPr>
      <w:r w:rsidRPr="00444B24">
        <w:t xml:space="preserve">Für diese Klauseln gilt das Recht des Mitgliedstaats, in dem der Datenexporteur niedergelassen ist. </w:t>
      </w:r>
    </w:p>
    <w:p w:rsidR="00585E19" w:rsidRPr="00444B24" w:rsidRDefault="00585E19" w:rsidP="00E83159">
      <w:pPr>
        <w:pStyle w:val="ProductList-Body"/>
      </w:pPr>
    </w:p>
    <w:p w:rsidR="00585E19" w:rsidRPr="00444B24" w:rsidRDefault="00585E19" w:rsidP="00233C87">
      <w:pPr>
        <w:pStyle w:val="ProductList-Body"/>
        <w:jc w:val="center"/>
        <w:outlineLvl w:val="1"/>
      </w:pPr>
      <w:r w:rsidRPr="00444B24">
        <w:rPr>
          <w:b/>
        </w:rPr>
        <w:t>Klausel 10: Änderung des Vertrags</w:t>
      </w:r>
    </w:p>
    <w:p w:rsidR="00585E19" w:rsidRPr="00444B24" w:rsidRDefault="00585E19" w:rsidP="00E83159">
      <w:pPr>
        <w:pStyle w:val="ProductList-Body"/>
      </w:pPr>
    </w:p>
    <w:p w:rsidR="00585E19" w:rsidRPr="00444B24" w:rsidRDefault="00585E19" w:rsidP="00E83159">
      <w:pPr>
        <w:pStyle w:val="ProductList-Body"/>
      </w:pPr>
      <w:r w:rsidRPr="00444B24">
        <w:t xml:space="preserve">Die Parteien verpflichten sich, die Klauseln nicht zu verändern. Es steht den Parteien allerdings frei, erforderlichenfalls weitere, geschäftsbezogene Klauseln aufzunehmen, sofern diese nicht im Widerspruch zu der Klausel stehen. </w:t>
      </w:r>
    </w:p>
    <w:p w:rsidR="00585E19" w:rsidRPr="00444B24" w:rsidRDefault="00585E19" w:rsidP="00E83159">
      <w:pPr>
        <w:pStyle w:val="ProductList-Body"/>
      </w:pPr>
    </w:p>
    <w:p w:rsidR="00585E19" w:rsidRPr="00444B24" w:rsidRDefault="00585E19" w:rsidP="00233C87">
      <w:pPr>
        <w:pStyle w:val="ProductList-Body"/>
        <w:jc w:val="center"/>
        <w:outlineLvl w:val="1"/>
      </w:pPr>
      <w:r w:rsidRPr="00444B24">
        <w:rPr>
          <w:b/>
        </w:rPr>
        <w:t>Klausel 11: Vergabe eines Unterauftrags</w:t>
      </w:r>
    </w:p>
    <w:p w:rsidR="00585E19" w:rsidRPr="00444B24" w:rsidRDefault="00585E19" w:rsidP="00E83159">
      <w:pPr>
        <w:pStyle w:val="ProductList-Body"/>
      </w:pPr>
    </w:p>
    <w:p w:rsidR="00585E19" w:rsidRPr="00444B24" w:rsidRDefault="00585E19" w:rsidP="00E83159">
      <w:pPr>
        <w:pStyle w:val="ProductList-Body"/>
        <w:spacing w:after="120"/>
      </w:pPr>
      <w:r w:rsidRPr="00444B24">
        <w:t>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w:t>
      </w:r>
      <w:r>
        <w:t> </w:t>
      </w:r>
      <w:r w:rsidRPr="00444B24">
        <w:t xml:space="preserve">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585E19" w:rsidRPr="00444B24" w:rsidRDefault="00585E19" w:rsidP="00E83159">
      <w:pPr>
        <w:pStyle w:val="ProductList-Body"/>
        <w:spacing w:after="120"/>
      </w:pPr>
      <w:r w:rsidRPr="00444B24">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585E19" w:rsidRPr="00444B24" w:rsidRDefault="00585E19" w:rsidP="00E83159">
      <w:pPr>
        <w:pStyle w:val="ProductList-Body"/>
        <w:spacing w:after="120"/>
      </w:pPr>
      <w:r w:rsidRPr="00444B24">
        <w:t xml:space="preserve">3. Für Datenschutzbestimmungen im Zusammenhang mit der Vergabe von Unteraufträgen über die Datenverarbeitung gemäß Absatz 1 gilt das Recht des Mitgliedstaats, in dem der Datenexporteur niedergelassen ist. </w:t>
      </w:r>
    </w:p>
    <w:p w:rsidR="00585E19" w:rsidRPr="00444B24" w:rsidRDefault="00585E19" w:rsidP="00E83159">
      <w:pPr>
        <w:pStyle w:val="ProductList-Body"/>
      </w:pPr>
      <w:r w:rsidRPr="00444B24">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585E19" w:rsidRPr="00444B24" w:rsidRDefault="00585E19" w:rsidP="00E83159">
      <w:pPr>
        <w:pStyle w:val="ProductList-Body"/>
      </w:pPr>
    </w:p>
    <w:p w:rsidR="00585E19" w:rsidRPr="00444B24" w:rsidRDefault="00585E19" w:rsidP="00233C87">
      <w:pPr>
        <w:pStyle w:val="ProductList-Body"/>
        <w:jc w:val="center"/>
        <w:outlineLvl w:val="1"/>
      </w:pPr>
      <w:r w:rsidRPr="00444B24">
        <w:rPr>
          <w:b/>
        </w:rPr>
        <w:t>Klausel 12: Pflichten nach Beendigung der Datenverarbeitungsdienste</w:t>
      </w:r>
    </w:p>
    <w:p w:rsidR="00585E19" w:rsidRPr="00444B24" w:rsidRDefault="00585E19" w:rsidP="00E83159">
      <w:pPr>
        <w:pStyle w:val="ProductList-Body"/>
      </w:pPr>
    </w:p>
    <w:p w:rsidR="00585E19" w:rsidRPr="00444B24" w:rsidRDefault="00585E19" w:rsidP="00E83159">
      <w:pPr>
        <w:pStyle w:val="ProductList-Body"/>
        <w:spacing w:after="120"/>
      </w:pPr>
      <w:r w:rsidRPr="00444B24">
        <w:t>1. Die Parteien vereinbaren, dass der Datenimporteur und der Unterauftragsverarbeiter bei Beendigung der Datenverarbeitungsdienste je nach</w:t>
      </w:r>
      <w:r>
        <w:t> </w:t>
      </w:r>
      <w:r w:rsidRPr="00444B24">
        <w:t>Wunsch des Datenexporteurs alle übermittelten personenbezogenen Daten und deren Kopien an den Datenexporteur zurückschicken oder</w:t>
      </w:r>
      <w:r>
        <w:t> </w:t>
      </w:r>
      <w:r w:rsidRPr="00444B24">
        <w:t xml:space="preserve">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585E19" w:rsidRPr="00444B24" w:rsidRDefault="00585E19" w:rsidP="00E83159">
      <w:pPr>
        <w:pStyle w:val="ProductList-Body"/>
      </w:pPr>
      <w:r w:rsidRPr="00444B24">
        <w:t xml:space="preserve">2. Der Datenimporteur und der Unterauftragsverarbeiter </w:t>
      </w:r>
      <w:r>
        <w:t>garantieren</w:t>
      </w:r>
      <w:r w:rsidRPr="00444B24">
        <w:t>, dass sie auf Verlangen des Datenexporteurs und/oder der Kontrollstelle ihre Datenverarbeitungseinrichtungen zur Prüfung der in Absatz 1 genannten Maßnahmen zur Verfügung stellen.</w:t>
      </w:r>
    </w:p>
    <w:p w:rsidR="00585E19" w:rsidRDefault="00585E19" w:rsidP="00A914BF">
      <w:pPr>
        <w:pStyle w:val="ProductList-Body"/>
      </w:pPr>
    </w:p>
    <w:p w:rsidR="00585E19" w:rsidRDefault="00585E19" w:rsidP="00A914BF">
      <w:pPr>
        <w:pStyle w:val="ProductList-Body"/>
      </w:pPr>
    </w:p>
    <w:p w:rsidR="00585E19" w:rsidRDefault="00585E19" w:rsidP="00A914BF">
      <w:pPr>
        <w:pStyle w:val="ProductList-Body"/>
      </w:pPr>
    </w:p>
    <w:p w:rsidR="00585E19" w:rsidRPr="00444B24" w:rsidRDefault="00585E19" w:rsidP="00A914BF">
      <w:pPr>
        <w:pStyle w:val="ProductList-Body"/>
      </w:pPr>
    </w:p>
    <w:p w:rsidR="00585E19" w:rsidRPr="00444B24" w:rsidRDefault="00585E19" w:rsidP="00233C87">
      <w:pPr>
        <w:pStyle w:val="ProductList-Body"/>
        <w:jc w:val="center"/>
        <w:outlineLvl w:val="1"/>
      </w:pPr>
      <w:r w:rsidRPr="00444B24">
        <w:rPr>
          <w:b/>
        </w:rPr>
        <w:t>Anhang 1 zu den Standardvertragsklauseln</w:t>
      </w:r>
    </w:p>
    <w:p w:rsidR="00585E19" w:rsidRPr="00444B24" w:rsidRDefault="00585E19" w:rsidP="00E83159">
      <w:pPr>
        <w:pStyle w:val="ProductList-Body"/>
      </w:pPr>
    </w:p>
    <w:p w:rsidR="00585E19" w:rsidRPr="008E1564" w:rsidRDefault="00585E19" w:rsidP="00E83159">
      <w:pPr>
        <w:pStyle w:val="ProductList-Body"/>
        <w:spacing w:after="120"/>
        <w:rPr>
          <w:highlight w:val="yellow"/>
        </w:rPr>
      </w:pPr>
      <w:r w:rsidRPr="00444B24">
        <w:rPr>
          <w:b/>
        </w:rPr>
        <w:t>Datenexporteur</w:t>
      </w:r>
      <w:r w:rsidRPr="00591A9C">
        <w:rPr>
          <w:b/>
        </w:rPr>
        <w:t>:</w:t>
      </w:r>
      <w:r w:rsidRPr="00444B24">
        <w:t xml:space="preserve"> Der Kunde ist der Datenexporteur. Der Datenexporteur ist ein Nutzer v</w:t>
      </w:r>
      <w:r w:rsidRPr="00172A00">
        <w:t>on Onlinediensten wie in den OST im Abschnitt „Sicherheit und Datenverarbeitung: Zusätzliche technische und organisatorische Maßnahmen“ definiert</w:t>
      </w:r>
      <w:r w:rsidRPr="001226EF">
        <w:t xml:space="preserve">. </w:t>
      </w:r>
    </w:p>
    <w:p w:rsidR="00585E19" w:rsidRPr="00444B24" w:rsidRDefault="00585E19" w:rsidP="00E83159">
      <w:pPr>
        <w:pStyle w:val="ProductList-Body"/>
        <w:spacing w:after="120"/>
      </w:pPr>
      <w:r w:rsidRPr="00444B24">
        <w:t xml:space="preserve">Datenimporteur: Der Datenimporteur ist MICROSOFT CORPORATION, ein weltweit tätiger Hersteller von Software und Diensten. </w:t>
      </w:r>
    </w:p>
    <w:p w:rsidR="00585E19" w:rsidRPr="00444B24" w:rsidRDefault="00585E19" w:rsidP="00E83159">
      <w:pPr>
        <w:pStyle w:val="ProductList-Body"/>
        <w:spacing w:after="120"/>
      </w:pPr>
      <w:r w:rsidRPr="00444B24">
        <w:rPr>
          <w:b/>
        </w:rPr>
        <w:t>Betroffene Personen</w:t>
      </w:r>
      <w:r w:rsidRPr="00591A9C">
        <w:rPr>
          <w:b/>
        </w:rPr>
        <w:t>:</w:t>
      </w:r>
      <w:r w:rsidRPr="00444B24">
        <w:t xml:space="preserve"> Betroffene Personen sind die Vertreter </w:t>
      </w:r>
      <w:r>
        <w:t xml:space="preserve">und Endbenutzer </w:t>
      </w:r>
      <w:r w:rsidRPr="00444B24">
        <w:t>des Kunden des Datenexporteurs, darunter Mitarbeiter, Vertragspartner und Kunden des Datenexporteurs. Zu den betroffenen Personen können auch Personen gehören, die personenbezogene Daten an</w:t>
      </w:r>
      <w:r>
        <w:t> </w:t>
      </w:r>
      <w:r w:rsidRPr="00444B24">
        <w:t xml:space="preserve">Nutzer der vom Datenimporteur bereitgestellten Dienste übermitteln oder Kontakt zu solchen Nutzern aufnehmen möchten. </w:t>
      </w:r>
    </w:p>
    <w:p w:rsidR="00585E19" w:rsidRPr="00444B24" w:rsidRDefault="00585E19" w:rsidP="00E83159">
      <w:pPr>
        <w:pStyle w:val="ProductList-Body"/>
        <w:spacing w:after="120"/>
      </w:pPr>
      <w:r w:rsidRPr="00444B24">
        <w:rPr>
          <w:b/>
        </w:rPr>
        <w:t>Datenkategorien</w:t>
      </w:r>
      <w:r w:rsidRPr="00591A9C">
        <w:rPr>
          <w:b/>
        </w:rPr>
        <w:t>:</w:t>
      </w:r>
      <w:r w:rsidRPr="00444B24">
        <w:t xml:space="preserve"> Die übermittelten personenbezogenen Daten umfassen E-Mails, Dokumente und andere Daten in elektronischer Form, die im Zusammenhang mit den Onlinediensten stehen. </w:t>
      </w:r>
    </w:p>
    <w:p w:rsidR="00585E19" w:rsidRPr="00444B24" w:rsidRDefault="00585E19" w:rsidP="00E83159">
      <w:pPr>
        <w:pStyle w:val="ProductList-Body"/>
      </w:pPr>
      <w:r w:rsidRPr="00444B24">
        <w:rPr>
          <w:b/>
        </w:rPr>
        <w:t>Verarbeitung</w:t>
      </w:r>
      <w:r w:rsidRPr="00591A9C">
        <w:rPr>
          <w:b/>
        </w:rPr>
        <w:t>:</w:t>
      </w:r>
      <w:r w:rsidRPr="00444B24">
        <w:t xml:space="preserve"> Die übermittelten personenbezogenen Daten werden den folgenden grundlegenden</w:t>
      </w:r>
      <w:r>
        <w:t xml:space="preserve"> Verarbeitungsmaßnahmen </w:t>
      </w:r>
      <w:r w:rsidRPr="00444B24">
        <w:t xml:space="preserve">unterzogen: </w:t>
      </w:r>
    </w:p>
    <w:p w:rsidR="00585E19" w:rsidRPr="00444B24" w:rsidRDefault="00585E19" w:rsidP="00E83159">
      <w:pPr>
        <w:pStyle w:val="ProductList-Body"/>
        <w:spacing w:after="60"/>
        <w:ind w:left="547"/>
      </w:pPr>
      <w:r w:rsidRPr="00444B24">
        <w:rPr>
          <w:b/>
        </w:rPr>
        <w:t>a. Dauer und Ziel der Datenverarbeitung</w:t>
      </w:r>
      <w:r w:rsidRPr="00591A9C">
        <w:rPr>
          <w:b/>
        </w:rPr>
        <w:t>.</w:t>
      </w:r>
      <w:r w:rsidRPr="00444B24">
        <w:t xml:space="preserve"> Die Dauer der Datenverarbeitung entspricht der Laufzeit, die in dem entsprechenden Volumenlizenzvertrag zwischen dem Datenexporteur und der Microsoft-Gesellschaft, </w:t>
      </w:r>
      <w:r>
        <w:t xml:space="preserve">dem diese </w:t>
      </w:r>
      <w:r w:rsidRPr="00444B24">
        <w:t>Standardvertragsklauseln</w:t>
      </w:r>
      <w:r>
        <w:t xml:space="preserve"> beigefügt wurden,</w:t>
      </w:r>
      <w:r w:rsidRPr="00444B24">
        <w:t xml:space="preserve"> („Microsoft“)</w:t>
      </w:r>
      <w:r>
        <w:t xml:space="preserve"> angegeben ist</w:t>
      </w:r>
      <w:r w:rsidRPr="00444B24">
        <w:t xml:space="preserve">. Das Ziel der Datenverarbeitung ist die Erbringung der Onlinedienste. </w:t>
      </w:r>
    </w:p>
    <w:p w:rsidR="00585E19" w:rsidRPr="00444B24" w:rsidRDefault="00585E19" w:rsidP="00E83159">
      <w:pPr>
        <w:pStyle w:val="ProductList-Body"/>
        <w:spacing w:after="60"/>
        <w:ind w:left="547"/>
      </w:pPr>
      <w:r w:rsidRPr="00444B24">
        <w:rPr>
          <w:b/>
        </w:rPr>
        <w:t>b.</w:t>
      </w:r>
      <w:r>
        <w:rPr>
          <w:b/>
        </w:rPr>
        <w:t xml:space="preserve"> Umfang </w:t>
      </w:r>
      <w:r w:rsidRPr="00444B24">
        <w:rPr>
          <w:b/>
        </w:rPr>
        <w:t>und Zweck der Datenverarbeitung</w:t>
      </w:r>
      <w:r w:rsidRPr="00591A9C">
        <w:rPr>
          <w:b/>
        </w:rPr>
        <w:t>.</w:t>
      </w:r>
      <w:r>
        <w:t xml:space="preserve"> Umfang </w:t>
      </w:r>
      <w:r w:rsidRPr="00444B24">
        <w:t>und Zweck der Verarbeitung personenbezogener Daten wird in</w:t>
      </w:r>
      <w:r>
        <w:t> </w:t>
      </w:r>
      <w:r w:rsidRPr="00444B24">
        <w:t xml:space="preserve">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w:t>
      </w:r>
      <w:r>
        <w:t>betreiben</w:t>
      </w:r>
      <w:r w:rsidRPr="00444B24">
        <w:t xml:space="preserve">. </w:t>
      </w:r>
    </w:p>
    <w:p w:rsidR="00585E19" w:rsidRPr="00444B24" w:rsidRDefault="00585E19" w:rsidP="00E83159">
      <w:pPr>
        <w:pStyle w:val="ProductList-Body"/>
        <w:spacing w:after="60"/>
        <w:ind w:left="547"/>
      </w:pPr>
      <w:r w:rsidRPr="00444B24">
        <w:rPr>
          <w:b/>
        </w:rPr>
        <w:t>c. Zugriff auf Kundendaten</w:t>
      </w:r>
      <w:r w:rsidRPr="00591A9C">
        <w:rPr>
          <w:b/>
        </w:rPr>
        <w:t>.</w:t>
      </w:r>
      <w:r w:rsidRPr="00444B24">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585E19" w:rsidRPr="00444B24" w:rsidRDefault="00585E19" w:rsidP="00E83159">
      <w:pPr>
        <w:pStyle w:val="ProductList-Body"/>
        <w:spacing w:after="60"/>
        <w:ind w:left="547"/>
      </w:pPr>
      <w:r w:rsidRPr="00444B24">
        <w:rPr>
          <w:b/>
        </w:rPr>
        <w:t>d. Anweisungen des Datenexporteurs</w:t>
      </w:r>
      <w:r w:rsidRPr="00591A9C">
        <w:rPr>
          <w:b/>
        </w:rPr>
        <w:t>.</w:t>
      </w:r>
      <w:r w:rsidRPr="00444B24">
        <w:t xml:space="preserve"> Für Onlinedienste ist der Datenimporteur dazu verpflichtet, ausschließlich auf vom Datenexporteur erteilte Anweisungen wie von Microsoft vorgegeben zu handeln. </w:t>
      </w:r>
    </w:p>
    <w:p w:rsidR="00585E19" w:rsidRPr="00444B24" w:rsidRDefault="00585E19" w:rsidP="00E83159">
      <w:pPr>
        <w:pStyle w:val="ProductList-Body"/>
        <w:spacing w:after="120"/>
        <w:ind w:left="547"/>
      </w:pPr>
      <w:r w:rsidRPr="00444B24">
        <w:rPr>
          <w:b/>
        </w:rPr>
        <w:t>e. Löschung oder Rückgabe von Kundendaten</w:t>
      </w:r>
      <w:r w:rsidRPr="00591A9C">
        <w:rPr>
          <w:b/>
        </w:rPr>
        <w:t>.</w:t>
      </w:r>
      <w:r w:rsidRPr="00444B24">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585E19" w:rsidRPr="00444B24" w:rsidRDefault="00585E19">
      <w:pPr>
        <w:pStyle w:val="ProductList-Body"/>
      </w:pPr>
      <w:r w:rsidRPr="00444B24">
        <w:rPr>
          <w:b/>
        </w:rPr>
        <w:t>Vertragspartner</w:t>
      </w:r>
      <w:r>
        <w:rPr>
          <w:b/>
        </w:rPr>
        <w:t>:</w:t>
      </w:r>
      <w:r w:rsidRPr="00444B24">
        <w:t xml:space="preserve"> Der Datenimporteur ist berechtigt, andere Unternehmen mit der Bereitstellung begrenzter</w:t>
      </w:r>
      <w:r>
        <w:t xml:space="preserve"> Dienste </w:t>
      </w:r>
      <w:r w:rsidRPr="00444B24">
        <w:t>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585E19" w:rsidRPr="00444B24" w:rsidRDefault="00585E19" w:rsidP="00A914BF">
      <w:pPr>
        <w:pStyle w:val="ProductList-Body"/>
      </w:pPr>
    </w:p>
    <w:p w:rsidR="00585E19" w:rsidRPr="00444B24" w:rsidRDefault="00585E19" w:rsidP="00233C87">
      <w:pPr>
        <w:pStyle w:val="ProductList-Body"/>
        <w:jc w:val="center"/>
        <w:outlineLvl w:val="1"/>
      </w:pPr>
      <w:r w:rsidRPr="00444B24">
        <w:rPr>
          <w:b/>
        </w:rPr>
        <w:t>Anhang 2 zu den Standardvertragsklauseln</w:t>
      </w:r>
    </w:p>
    <w:p w:rsidR="00585E19" w:rsidRPr="00444B24" w:rsidRDefault="00585E19" w:rsidP="00463CC3">
      <w:pPr>
        <w:pStyle w:val="ProductList-Body"/>
      </w:pPr>
    </w:p>
    <w:p w:rsidR="00585E19" w:rsidRPr="00444B24" w:rsidRDefault="00585E19" w:rsidP="00463CC3">
      <w:pPr>
        <w:pStyle w:val="ProductList-Body"/>
        <w:spacing w:after="120"/>
      </w:pPr>
      <w:r w:rsidRPr="00444B24">
        <w:t>Beschreibung der technischen und organisatorischen Sicherheitsmaßnahmen, die vom Datenimporteur in Übereinstimmungen mit Klausel 4 Buchstabe d und Klausel 5 Buchstabe c ergriffen wurden:</w:t>
      </w:r>
    </w:p>
    <w:p w:rsidR="00585E19" w:rsidRPr="00444B24" w:rsidRDefault="00585E19" w:rsidP="00463CC3">
      <w:pPr>
        <w:pStyle w:val="ProductList-Body"/>
        <w:spacing w:after="120"/>
      </w:pPr>
      <w:r w:rsidRPr="00444B24">
        <w:t xml:space="preserve">1. </w:t>
      </w:r>
      <w:r w:rsidRPr="00444B24">
        <w:rPr>
          <w:b/>
        </w:rPr>
        <w:t>Personal</w:t>
      </w:r>
      <w:r w:rsidRPr="002B3968">
        <w:rPr>
          <w:b/>
        </w:rPr>
        <w:t>.</w:t>
      </w:r>
      <w:r w:rsidRPr="00444B24">
        <w:t xml:space="preserve"> Die Mitarbeiter des Datenimporteurs werden Daten nicht ohne Genehmigung verarbeiten. Mitarbeiter sind verpflichtet, die</w:t>
      </w:r>
      <w:r>
        <w:t> </w:t>
      </w:r>
      <w:r w:rsidRPr="00444B24">
        <w:t xml:space="preserve">Vertraulichkeit von Daten zu wahren, und diese Verpflichtung besteht auch nach dem Ende ihrer Beschäftigung fort. </w:t>
      </w:r>
    </w:p>
    <w:p w:rsidR="00585E19" w:rsidRPr="00444B24" w:rsidRDefault="00585E19" w:rsidP="00463CC3">
      <w:pPr>
        <w:pStyle w:val="ProductList-Body"/>
      </w:pPr>
      <w:r w:rsidRPr="00444B24">
        <w:t xml:space="preserve">2. </w:t>
      </w:r>
      <w:r w:rsidRPr="00444B24">
        <w:rPr>
          <w:b/>
        </w:rPr>
        <w:t>Kontaktperson für Datenschutz</w:t>
      </w:r>
      <w:r w:rsidRPr="002B3968">
        <w:rPr>
          <w:b/>
        </w:rPr>
        <w:t xml:space="preserve">. </w:t>
      </w:r>
      <w:r w:rsidRPr="00444B24">
        <w:t xml:space="preserve">Der Data Privacy Officer des Datenimporteurs kann unter folgender Adresse erreicht werden: </w:t>
      </w:r>
    </w:p>
    <w:p w:rsidR="00585E19" w:rsidRPr="00A66523" w:rsidRDefault="00585E19" w:rsidP="00463CC3">
      <w:pPr>
        <w:pStyle w:val="ProductList-Body"/>
        <w:rPr>
          <w:lang w:val="en-US"/>
        </w:rPr>
      </w:pPr>
      <w:r w:rsidRPr="00A66523">
        <w:rPr>
          <w:lang w:val="en-US"/>
        </w:rPr>
        <w:t xml:space="preserve">Microsoft Corporation </w:t>
      </w:r>
    </w:p>
    <w:p w:rsidR="00585E19" w:rsidRPr="00A66523" w:rsidRDefault="00585E19" w:rsidP="00BA6C44">
      <w:pPr>
        <w:pStyle w:val="ProductList-Body"/>
        <w:ind w:left="360"/>
        <w:rPr>
          <w:lang w:val="en-US"/>
        </w:rPr>
      </w:pPr>
      <w:r w:rsidRPr="00A66523">
        <w:rPr>
          <w:lang w:val="en-US"/>
        </w:rPr>
        <w:t xml:space="preserve">Attn: Chief Privacy Officer </w:t>
      </w:r>
    </w:p>
    <w:p w:rsidR="00585E19" w:rsidRPr="00444B24" w:rsidRDefault="00585E19" w:rsidP="00BA6C44">
      <w:pPr>
        <w:pStyle w:val="ProductList-Body"/>
        <w:ind w:left="360"/>
      </w:pPr>
      <w:r w:rsidRPr="00444B24">
        <w:t xml:space="preserve">1 Microsoft Way </w:t>
      </w:r>
    </w:p>
    <w:p w:rsidR="00585E19" w:rsidRPr="00444B24" w:rsidRDefault="00585E19" w:rsidP="00BA6C44">
      <w:pPr>
        <w:pStyle w:val="ProductList-Body"/>
        <w:spacing w:after="120"/>
        <w:ind w:left="360"/>
      </w:pPr>
      <w:r w:rsidRPr="00444B24">
        <w:t xml:space="preserve">Redmond, WA 98052, USA </w:t>
      </w:r>
    </w:p>
    <w:p w:rsidR="00585E19" w:rsidRPr="00444B24" w:rsidRDefault="00585E19" w:rsidP="00463CC3">
      <w:pPr>
        <w:pStyle w:val="ProductList-Body"/>
        <w:spacing w:after="120"/>
      </w:pPr>
      <w:r w:rsidRPr="00444B24">
        <w:t xml:space="preserve">3. </w:t>
      </w:r>
      <w:r w:rsidRPr="00444B24">
        <w:rPr>
          <w:b/>
        </w:rPr>
        <w:t>Technische und organisatorische Sicherheitsmaßnahmen</w:t>
      </w:r>
      <w:r w:rsidRPr="006D4809">
        <w:rPr>
          <w:b/>
        </w:rPr>
        <w:t>.</w:t>
      </w:r>
      <w:r w:rsidRPr="00444B24">
        <w:t xml:space="preserve"> Der Datenimporteur hat geeignete technische und organisatorische Maßnahmen, interne Kontrollen und Informationssicherheitsverfahren</w:t>
      </w:r>
      <w:r>
        <w:t xml:space="preserve"> ergriffen und wird diese beibehalten</w:t>
      </w:r>
      <w:r w:rsidRPr="00444B24">
        <w:t>, die dazu dienen, Kundendaten wie in den DPT</w:t>
      </w:r>
      <w:r>
        <w:t xml:space="preserve"> definiert</w:t>
      </w:r>
      <w:r w:rsidRPr="00444B24">
        <w:t xml:space="preserve"> vor zufälligem Verlust, </w:t>
      </w:r>
      <w:r>
        <w:t xml:space="preserve">zufälliger </w:t>
      </w:r>
      <w:r w:rsidRPr="00444B24">
        <w:t xml:space="preserve">Vernichtung oder Veränderung, vor unbefugter Offenlegung oder unbefugtem Zugriff sowie vor unrechtmäßiger Vernichtung </w:t>
      </w:r>
      <w:r>
        <w:t xml:space="preserve">wie folgt </w:t>
      </w:r>
      <w:r w:rsidRPr="00444B24">
        <w:t>zu schützen: Die in den DP</w:t>
      </w:r>
      <w:r>
        <w:t>T</w:t>
      </w:r>
      <w:r w:rsidRPr="00444B24">
        <w:t xml:space="preserve">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585E19" w:rsidRPr="00444B24" w:rsidRDefault="00585E19" w:rsidP="00463CC3">
      <w:pPr>
        <w:pStyle w:val="ProductList-Body"/>
      </w:pPr>
      <w:r w:rsidRPr="00444B24">
        <w:t>Die Unterschrift der Microsoft Corporation erscheint auf der folgenden Seite.</w:t>
      </w:r>
    </w:p>
    <w:p w:rsidR="00585E19" w:rsidRDefault="00585E19">
      <w:pPr>
        <w:rPr>
          <w:sz w:val="18"/>
        </w:rPr>
      </w:pPr>
      <w:r>
        <w:br w:type="page"/>
      </w:r>
    </w:p>
    <w:p w:rsidR="00585E19" w:rsidRDefault="00585E19" w:rsidP="00233C87">
      <w:pPr>
        <w:pStyle w:val="ProductList-Body"/>
        <w:outlineLvl w:val="1"/>
        <w:rPr>
          <w:b/>
        </w:rPr>
      </w:pPr>
    </w:p>
    <w:p w:rsidR="00585E19" w:rsidRPr="00444B24" w:rsidRDefault="00585E19" w:rsidP="00233C87">
      <w:pPr>
        <w:pStyle w:val="ProductList-Body"/>
        <w:outlineLvl w:val="1"/>
      </w:pPr>
      <w:r w:rsidRPr="00444B24">
        <w:rPr>
          <w:b/>
        </w:rPr>
        <w:t>Die Standardvertragsklauseln, Anhang 1 und Anhang 2 wurden im Namen des Datenimporteurs unterzeichnet von:</w:t>
      </w:r>
    </w:p>
    <w:p w:rsidR="00585E19" w:rsidRPr="00444B24" w:rsidRDefault="003C7A47" w:rsidP="00A914BF">
      <w:pPr>
        <w:pStyle w:val="ProductList-Body"/>
      </w:pPr>
      <w:r>
        <w:rPr>
          <w:noProof/>
          <w:lang w:val="en-US" w:eastAsia="en-US"/>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9525"/>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585E19" w:rsidRPr="00444B24" w:rsidRDefault="00585E19" w:rsidP="00463CC3">
      <w:pPr>
        <w:pStyle w:val="ProductList-Body"/>
      </w:pPr>
    </w:p>
    <w:p w:rsidR="00585E19" w:rsidRPr="00A66523" w:rsidRDefault="00585E19" w:rsidP="00463CC3">
      <w:pPr>
        <w:pStyle w:val="ProductList-Body"/>
        <w:rPr>
          <w:lang w:val="en-US"/>
        </w:rPr>
      </w:pPr>
      <w:r w:rsidRPr="00A66523">
        <w:rPr>
          <w:lang w:val="en-US"/>
        </w:rPr>
        <w:t>Rajesh Jha, Corporate Vice President</w:t>
      </w:r>
    </w:p>
    <w:p w:rsidR="00585E19" w:rsidRPr="00A66523" w:rsidRDefault="00585E19" w:rsidP="00463CC3">
      <w:pPr>
        <w:pStyle w:val="ProductList-Body"/>
        <w:rPr>
          <w:lang w:val="en-US"/>
        </w:rPr>
      </w:pPr>
      <w:r w:rsidRPr="00A66523">
        <w:rPr>
          <w:lang w:val="en-US"/>
        </w:rPr>
        <w:t>Microsoft Corporation</w:t>
      </w:r>
    </w:p>
    <w:p w:rsidR="00585E19" w:rsidRPr="00A66523" w:rsidRDefault="00585E19" w:rsidP="00463CC3">
      <w:pPr>
        <w:pStyle w:val="ProductList-Body"/>
        <w:rPr>
          <w:lang w:val="en-US"/>
        </w:rPr>
      </w:pPr>
      <w:r w:rsidRPr="00A66523">
        <w:rPr>
          <w:lang w:val="en-US"/>
        </w:rPr>
        <w:t>One Microsoft Way, Redmond, WA 98052, USA</w:t>
      </w:r>
    </w:p>
    <w:p w:rsidR="00585E19" w:rsidRPr="00A66523" w:rsidRDefault="00585E19" w:rsidP="00A914BF">
      <w:pPr>
        <w:pStyle w:val="ProductList-Body"/>
        <w:rPr>
          <w:lang w:val="en-US"/>
        </w:rPr>
      </w:pPr>
    </w:p>
    <w:p w:rsidR="00585E19" w:rsidRPr="00A66523" w:rsidRDefault="00585E19" w:rsidP="00A914BF">
      <w:pPr>
        <w:pStyle w:val="ProductList-Body"/>
        <w:rPr>
          <w:lang w:val="en-US"/>
        </w:rPr>
      </w:pPr>
    </w:p>
    <w:sectPr w:rsidR="00585E19" w:rsidRPr="00A6652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302E" w:rsidRDefault="00D9302E" w:rsidP="009A573F">
      <w:pPr>
        <w:spacing w:after="0" w:line="240" w:lineRule="auto"/>
      </w:pPr>
      <w:r>
        <w:separator/>
      </w:r>
    </w:p>
  </w:endnote>
  <w:endnote w:type="continuationSeparator" w:id="0">
    <w:p w:rsidR="00D9302E" w:rsidRDefault="00D9302E" w:rsidP="009A573F">
      <w:pPr>
        <w:spacing w:after="0" w:line="240" w:lineRule="auto"/>
      </w:pPr>
      <w:r>
        <w:continuationSeparator/>
      </w:r>
    </w:p>
  </w:endnote>
  <w:endnote w:type="continuationNotice" w:id="1">
    <w:p w:rsidR="00D9302E" w:rsidRDefault="00D930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72DB" w:rsidRDefault="00F472D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E70" w:rsidRDefault="00B36E70" w:rsidP="004D27A6">
    <w:pPr>
      <w:pStyle w:val="ProductList-Body"/>
    </w:pPr>
    <w:r>
      <w:rPr>
        <w:noProof/>
        <w:lang w:val="en-US" w:eastAsia="en-US"/>
      </w:rPr>
      <w:drawing>
        <wp:inline distT="0" distB="0" distL="0" distR="0">
          <wp:extent cx="1983105" cy="457200"/>
          <wp:effectExtent l="0" t="0" r="0" b="0"/>
          <wp:docPr id="1"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3105" cy="457200"/>
                  </a:xfrm>
                  <a:prstGeom prst="rect">
                    <a:avLst/>
                  </a:prstGeom>
                  <a:noFill/>
                  <a:ln>
                    <a:noFill/>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E70" w:rsidRPr="00591643" w:rsidRDefault="00B36E70">
    <w:pPr>
      <w:pStyle w:val="Footer"/>
      <w:rPr>
        <w:sz w:val="14"/>
        <w:szCs w:val="14"/>
      </w:rPr>
    </w:pPr>
    <w:r>
      <w:rPr>
        <w:noProof/>
        <w:lang w:val="en-US" w:eastAsia="en-US"/>
      </w:rPr>
      <w:drawing>
        <wp:inline distT="0" distB="0" distL="0" distR="0">
          <wp:extent cx="1983105" cy="457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3105" cy="457200"/>
                  </a:xfrm>
                  <a:prstGeom prst="rect">
                    <a:avLst/>
                  </a:prstGeom>
                  <a:noFill/>
                  <a:ln>
                    <a:noFill/>
                  </a:ln>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633"/>
      <w:gridCol w:w="181"/>
      <w:gridCol w:w="1619"/>
      <w:gridCol w:w="182"/>
      <w:gridCol w:w="1618"/>
      <w:gridCol w:w="183"/>
      <w:gridCol w:w="1706"/>
      <w:gridCol w:w="185"/>
      <w:gridCol w:w="1885"/>
      <w:gridCol w:w="185"/>
      <w:gridCol w:w="1423"/>
    </w:tblGrid>
    <w:tr w:rsidR="00B36E70" w:rsidRPr="00D73341" w:rsidTr="00D73341">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7" w:right="-73"/>
            <w:jc w:val="center"/>
            <w:rPr>
              <w:rStyle w:val="LogoportDoNotTranslate"/>
              <w:rFonts w:ascii="Calibri" w:hAnsi="Calibri" w:cs="Calibri"/>
              <w:sz w:val="14"/>
              <w:szCs w:val="14"/>
            </w:rPr>
          </w:pPr>
          <w:hyperlink w:anchor="TableofContents" w:tooltip="Inhalt" w:history="1">
            <w:r w:rsidRPr="00F038DB">
              <w:rPr>
                <w:rStyle w:val="Hyperlink"/>
                <w:rFonts w:cs="Calibri"/>
                <w:sz w:val="14"/>
                <w:szCs w:val="14"/>
              </w:rPr>
              <w:t>Inhalt</w:t>
            </w:r>
          </w:hyperlink>
        </w:p>
      </w:tc>
      <w:tc>
        <w:tcPr>
          <w:tcW w:w="181"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1"/>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36E70" w:rsidRPr="00F038DB" w:rsidRDefault="00B36E70" w:rsidP="00D73341">
          <w:pPr>
            <w:pStyle w:val="ProductList-OfferingBody"/>
            <w:ind w:left="-72" w:right="-74"/>
            <w:jc w:val="center"/>
            <w:rPr>
              <w:rStyle w:val="LogoportDoNotTranslate"/>
              <w:rFonts w:ascii="Calibri" w:hAnsi="Calibri" w:cs="Calibri"/>
              <w:color w:val="0563C1"/>
              <w:sz w:val="14"/>
              <w:szCs w:val="14"/>
            </w:rPr>
          </w:pPr>
          <w:hyperlink w:anchor="Introduction" w:tooltip="Einleitung" w:history="1">
            <w:r w:rsidRPr="00F038DB">
              <w:rPr>
                <w:rStyle w:val="Hyperlink"/>
                <w:rFonts w:cs="Arial"/>
                <w:sz w:val="14"/>
                <w:szCs w:val="14"/>
              </w:rPr>
              <w:t>Einleitung</w:t>
            </w:r>
          </w:hyperlink>
        </w:p>
      </w:tc>
      <w:tc>
        <w:tcPr>
          <w:tcW w:w="182"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0"/>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5"/>
            <w:jc w:val="center"/>
            <w:rPr>
              <w:rStyle w:val="LogoportDoNotTranslate"/>
              <w:rFonts w:ascii="Calibri" w:hAnsi="Calibri" w:cs="Calibri"/>
              <w:color w:val="0563C1"/>
              <w:sz w:val="14"/>
              <w:szCs w:val="14"/>
              <w:u w:val="single"/>
            </w:rPr>
          </w:pPr>
          <w:hyperlink w:anchor="GeneralTerms" w:tooltip="Allgemeine Bestimmungen" w:history="1">
            <w:r w:rsidRPr="00F038DB">
              <w:rPr>
                <w:rStyle w:val="LogoportDoNotTranslate"/>
                <w:rFonts w:ascii="Calibri" w:hAnsi="Calibri" w:cs="Calibri"/>
                <w:color w:val="0563C1"/>
                <w:sz w:val="14"/>
                <w:szCs w:val="14"/>
                <w:u w:val="single"/>
              </w:rPr>
              <w:t xml:space="preserve">Allgemeine </w:t>
            </w:r>
            <w:r w:rsidRPr="00F038DB">
              <w:rPr>
                <w:rStyle w:val="LogoportDoNotTranslate"/>
                <w:rFonts w:ascii="Calibri" w:hAnsi="Calibri" w:cs="Calibri"/>
                <w:color w:val="0563C1"/>
                <w:sz w:val="14"/>
                <w:szCs w:val="14"/>
                <w:u w:val="single"/>
              </w:rPr>
              <w:br/>
              <w:t>Bestimmungen</w:t>
            </w:r>
          </w:hyperlink>
        </w:p>
      </w:tc>
      <w:tc>
        <w:tcPr>
          <w:tcW w:w="183"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9"/>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PrivacyandSecurityTerms" w:tooltip="Datenschutz- und Sicherheitsbestimmungen" w:history="1">
            <w:r w:rsidRPr="00F038DB">
              <w:rPr>
                <w:rStyle w:val="Hyperlink"/>
                <w:rFonts w:cs="Arial"/>
                <w:sz w:val="14"/>
                <w:szCs w:val="14"/>
              </w:rPr>
              <w:t>Datenschutz- und Sicherheitsbestimmungen</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OnlineServiceSpecificTerms" w:tooltip="Spezifische Bestimmungen für Onlinedienste" w:history="1">
            <w:r w:rsidRPr="00F038DB">
              <w:rPr>
                <w:rStyle w:val="Hyperlink"/>
                <w:rFonts w:cs="Arial"/>
                <w:sz w:val="14"/>
                <w:szCs w:val="14"/>
              </w:rPr>
              <w:t>Spezifische Bestimmungen für Onlinedienste</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6"/>
            <w:jc w:val="center"/>
            <w:rPr>
              <w:rStyle w:val="LogoportDoNotTranslate"/>
              <w:rFonts w:ascii="Calibri" w:hAnsi="Calibri" w:cs="Calibri"/>
              <w:sz w:val="14"/>
              <w:szCs w:val="14"/>
            </w:rPr>
          </w:pPr>
          <w:hyperlink w:anchor="Attachment1" w:tooltip="Anhang" w:history="1">
            <w:r w:rsidRPr="00F038DB">
              <w:rPr>
                <w:rStyle w:val="Hyperlink"/>
                <w:rFonts w:cs="Arial"/>
                <w:sz w:val="14"/>
                <w:szCs w:val="14"/>
              </w:rPr>
              <w:t>Anhang</w:t>
            </w:r>
          </w:hyperlink>
        </w:p>
      </w:tc>
    </w:tr>
  </w:tbl>
  <w:p w:rsidR="00B36E70" w:rsidRPr="00ED16D6" w:rsidRDefault="00B36E70" w:rsidP="00817E42">
    <w:pPr>
      <w:pStyle w:val="Footer"/>
      <w:rPr>
        <w:rStyle w:val="LogoportDoNotTranslate"/>
        <w:rFonts w:ascii="Calibri" w:hAnsi="Calibri" w:cs="Calibr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633"/>
      <w:gridCol w:w="181"/>
      <w:gridCol w:w="1619"/>
      <w:gridCol w:w="182"/>
      <w:gridCol w:w="1618"/>
      <w:gridCol w:w="183"/>
      <w:gridCol w:w="1706"/>
      <w:gridCol w:w="185"/>
      <w:gridCol w:w="1885"/>
      <w:gridCol w:w="185"/>
      <w:gridCol w:w="1423"/>
    </w:tblGrid>
    <w:tr w:rsidR="00B36E70" w:rsidRPr="00D73341" w:rsidTr="00D73341">
      <w:tc>
        <w:tcPr>
          <w:tcW w:w="163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36E70" w:rsidRPr="00F038DB" w:rsidRDefault="00B36E70" w:rsidP="00D73341">
          <w:pPr>
            <w:pStyle w:val="ProductList-OfferingBody"/>
            <w:ind w:left="-77" w:right="-73"/>
            <w:jc w:val="center"/>
            <w:rPr>
              <w:rStyle w:val="LogoportDoNotTranslate"/>
              <w:rFonts w:ascii="Calibri" w:hAnsi="Calibri" w:cs="Calibri"/>
              <w:sz w:val="14"/>
              <w:szCs w:val="14"/>
            </w:rPr>
          </w:pPr>
          <w:hyperlink w:anchor="TableofContents" w:tooltip="Inhalt" w:history="1">
            <w:r w:rsidRPr="00F038DB">
              <w:rPr>
                <w:rStyle w:val="Hyperlink"/>
                <w:rFonts w:cs="Calibri"/>
                <w:sz w:val="14"/>
                <w:szCs w:val="14"/>
              </w:rPr>
              <w:t>Inhalt</w:t>
            </w:r>
          </w:hyperlink>
        </w:p>
      </w:tc>
      <w:tc>
        <w:tcPr>
          <w:tcW w:w="181"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1"/>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4"/>
            <w:jc w:val="center"/>
            <w:rPr>
              <w:rStyle w:val="LogoportDoNotTranslate"/>
              <w:rFonts w:ascii="Calibri" w:hAnsi="Calibri" w:cs="Calibri"/>
              <w:color w:val="0563C1"/>
              <w:sz w:val="14"/>
              <w:szCs w:val="14"/>
            </w:rPr>
          </w:pPr>
          <w:hyperlink w:anchor="Introduction" w:tooltip="Einleitung" w:history="1">
            <w:r w:rsidRPr="00F038DB">
              <w:rPr>
                <w:rStyle w:val="Hyperlink"/>
                <w:rFonts w:cs="Arial"/>
                <w:sz w:val="14"/>
                <w:szCs w:val="14"/>
              </w:rPr>
              <w:t>Einleitung</w:t>
            </w:r>
          </w:hyperlink>
        </w:p>
      </w:tc>
      <w:tc>
        <w:tcPr>
          <w:tcW w:w="182"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0"/>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5"/>
            <w:jc w:val="center"/>
            <w:rPr>
              <w:rStyle w:val="LogoportDoNotTranslate"/>
              <w:rFonts w:ascii="Calibri" w:hAnsi="Calibri" w:cs="Calibri"/>
              <w:color w:val="0563C1"/>
              <w:sz w:val="14"/>
              <w:szCs w:val="14"/>
              <w:u w:val="single"/>
            </w:rPr>
          </w:pPr>
          <w:hyperlink w:anchor="GeneralTerms" w:tooltip="Allgemeine Bestimmungen" w:history="1">
            <w:r w:rsidRPr="00F038DB">
              <w:rPr>
                <w:rStyle w:val="LogoportDoNotTranslate"/>
                <w:rFonts w:ascii="Calibri" w:hAnsi="Calibri" w:cs="Calibri"/>
                <w:color w:val="0563C1"/>
                <w:sz w:val="14"/>
                <w:szCs w:val="14"/>
                <w:u w:val="single"/>
              </w:rPr>
              <w:t xml:space="preserve">Allgemeine </w:t>
            </w:r>
            <w:r w:rsidRPr="00F038DB">
              <w:rPr>
                <w:rStyle w:val="LogoportDoNotTranslate"/>
                <w:rFonts w:ascii="Calibri" w:hAnsi="Calibri" w:cs="Calibri"/>
                <w:color w:val="0563C1"/>
                <w:sz w:val="14"/>
                <w:szCs w:val="14"/>
                <w:u w:val="single"/>
              </w:rPr>
              <w:br/>
              <w:t>Bestimmungen</w:t>
            </w:r>
          </w:hyperlink>
        </w:p>
      </w:tc>
      <w:tc>
        <w:tcPr>
          <w:tcW w:w="183"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9"/>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PrivacyandSecurityTerms" w:tooltip="Datenschutz- und Sicherheitsbestimmungen" w:history="1">
            <w:r w:rsidRPr="00F038DB">
              <w:rPr>
                <w:rStyle w:val="Hyperlink"/>
                <w:rFonts w:cs="Arial"/>
                <w:sz w:val="14"/>
                <w:szCs w:val="14"/>
              </w:rPr>
              <w:t>Datenschutz- und Sicherheitsbestimmungen</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OnlineServiceSpecificTerms" w:tooltip="Spezifische Bestimmungen für Onlinedienste" w:history="1">
            <w:r w:rsidRPr="00F038DB">
              <w:rPr>
                <w:rStyle w:val="Hyperlink"/>
                <w:rFonts w:cs="Arial"/>
                <w:sz w:val="14"/>
                <w:szCs w:val="14"/>
              </w:rPr>
              <w:t>Spezifische Bestimmungen für Onlinedienste</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6"/>
            <w:jc w:val="center"/>
            <w:rPr>
              <w:rStyle w:val="LogoportDoNotTranslate"/>
              <w:rFonts w:ascii="Calibri" w:hAnsi="Calibri" w:cs="Calibri"/>
              <w:sz w:val="14"/>
              <w:szCs w:val="14"/>
            </w:rPr>
          </w:pPr>
          <w:hyperlink w:anchor="Attachment1" w:tooltip="Anhang" w:history="1">
            <w:r w:rsidRPr="00F038DB">
              <w:rPr>
                <w:rStyle w:val="Hyperlink"/>
                <w:rFonts w:cs="Arial"/>
                <w:sz w:val="14"/>
                <w:szCs w:val="14"/>
              </w:rPr>
              <w:t>Anhang</w:t>
            </w:r>
          </w:hyperlink>
        </w:p>
      </w:tc>
    </w:tr>
  </w:tbl>
  <w:p w:rsidR="00B36E70" w:rsidRPr="00ED16D6" w:rsidRDefault="00B36E70">
    <w:pPr>
      <w:pStyle w:val="Footer"/>
      <w:rPr>
        <w:rStyle w:val="LogoportDoNotTranslate"/>
        <w:rFonts w:ascii="Calibri" w:hAnsi="Calibri" w:cs="Calibr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633"/>
      <w:gridCol w:w="181"/>
      <w:gridCol w:w="1619"/>
      <w:gridCol w:w="182"/>
      <w:gridCol w:w="1618"/>
      <w:gridCol w:w="183"/>
      <w:gridCol w:w="1706"/>
      <w:gridCol w:w="185"/>
      <w:gridCol w:w="1885"/>
      <w:gridCol w:w="185"/>
      <w:gridCol w:w="1423"/>
    </w:tblGrid>
    <w:tr w:rsidR="00B36E70" w:rsidRPr="00D73341" w:rsidTr="00D73341">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7" w:right="-73"/>
            <w:jc w:val="center"/>
            <w:rPr>
              <w:rStyle w:val="LogoportDoNotTranslate"/>
              <w:rFonts w:ascii="Calibri" w:hAnsi="Calibri" w:cs="Calibri"/>
              <w:sz w:val="14"/>
              <w:szCs w:val="14"/>
            </w:rPr>
          </w:pPr>
          <w:hyperlink w:anchor="TableofContents" w:tooltip="Inhalt" w:history="1">
            <w:r w:rsidRPr="00F038DB">
              <w:rPr>
                <w:rStyle w:val="Hyperlink"/>
                <w:rFonts w:cs="Calibri"/>
                <w:sz w:val="14"/>
                <w:szCs w:val="14"/>
              </w:rPr>
              <w:t>Inhalt</w:t>
            </w:r>
          </w:hyperlink>
        </w:p>
      </w:tc>
      <w:tc>
        <w:tcPr>
          <w:tcW w:w="181"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1"/>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36E70" w:rsidRPr="00F038DB" w:rsidRDefault="00B36E70" w:rsidP="00D73341">
          <w:pPr>
            <w:pStyle w:val="ProductList-OfferingBody"/>
            <w:ind w:left="-72" w:right="-74"/>
            <w:jc w:val="center"/>
            <w:rPr>
              <w:rStyle w:val="LogoportDoNotTranslate"/>
              <w:rFonts w:ascii="Calibri" w:hAnsi="Calibri" w:cs="Calibri"/>
              <w:color w:val="0563C1"/>
              <w:sz w:val="14"/>
              <w:szCs w:val="14"/>
            </w:rPr>
          </w:pPr>
          <w:hyperlink w:anchor="Introduction" w:tooltip="Einleitung" w:history="1">
            <w:r w:rsidRPr="00F038DB">
              <w:rPr>
                <w:rStyle w:val="Hyperlink"/>
                <w:rFonts w:cs="Arial"/>
                <w:sz w:val="14"/>
                <w:szCs w:val="14"/>
              </w:rPr>
              <w:t>Einleitung</w:t>
            </w:r>
          </w:hyperlink>
        </w:p>
      </w:tc>
      <w:tc>
        <w:tcPr>
          <w:tcW w:w="182"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0"/>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5"/>
            <w:jc w:val="center"/>
            <w:rPr>
              <w:rStyle w:val="LogoportDoNotTranslate"/>
              <w:rFonts w:ascii="Calibri" w:hAnsi="Calibri" w:cs="Calibri"/>
              <w:color w:val="0563C1"/>
              <w:sz w:val="14"/>
              <w:szCs w:val="14"/>
              <w:u w:val="single"/>
            </w:rPr>
          </w:pPr>
          <w:hyperlink w:anchor="GeneralTerms" w:tooltip="Allgemeine Bestimmungen" w:history="1">
            <w:r w:rsidRPr="00F038DB">
              <w:rPr>
                <w:rStyle w:val="LogoportDoNotTranslate"/>
                <w:rFonts w:ascii="Calibri" w:hAnsi="Calibri" w:cs="Calibri"/>
                <w:color w:val="0563C1"/>
                <w:sz w:val="14"/>
                <w:szCs w:val="14"/>
                <w:u w:val="single"/>
              </w:rPr>
              <w:t xml:space="preserve">Allgemeine </w:t>
            </w:r>
            <w:r w:rsidRPr="00F038DB">
              <w:rPr>
                <w:rStyle w:val="LogoportDoNotTranslate"/>
                <w:rFonts w:ascii="Calibri" w:hAnsi="Calibri" w:cs="Calibri"/>
                <w:color w:val="0563C1"/>
                <w:sz w:val="14"/>
                <w:szCs w:val="14"/>
                <w:u w:val="single"/>
              </w:rPr>
              <w:br/>
              <w:t>Bestimmungen</w:t>
            </w:r>
          </w:hyperlink>
        </w:p>
      </w:tc>
      <w:tc>
        <w:tcPr>
          <w:tcW w:w="183"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9"/>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PrivacyandSecurityTerms" w:tooltip="Datenschutz- und Sicherheitsbestimmungen" w:history="1">
            <w:r w:rsidRPr="00F038DB">
              <w:rPr>
                <w:rStyle w:val="Hyperlink"/>
                <w:rFonts w:cs="Arial"/>
                <w:sz w:val="14"/>
                <w:szCs w:val="14"/>
              </w:rPr>
              <w:t>Datenschutz- und Sicherheitsbestimmungen</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OnlineServiceSpecificTerms" w:tooltip="Spezifische Bestimmungen für Onlinedienste" w:history="1">
            <w:r w:rsidRPr="00F038DB">
              <w:rPr>
                <w:rStyle w:val="Hyperlink"/>
                <w:rFonts w:cs="Arial"/>
                <w:sz w:val="14"/>
                <w:szCs w:val="14"/>
              </w:rPr>
              <w:t>Spezifische Bestimmungen für Onlinedienste</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6"/>
            <w:jc w:val="center"/>
            <w:rPr>
              <w:rStyle w:val="LogoportDoNotTranslate"/>
              <w:rFonts w:ascii="Calibri" w:hAnsi="Calibri" w:cs="Calibri"/>
              <w:sz w:val="14"/>
              <w:szCs w:val="14"/>
            </w:rPr>
          </w:pPr>
          <w:hyperlink w:anchor="Attachment1" w:tooltip="Anhang" w:history="1">
            <w:r w:rsidRPr="00F038DB">
              <w:rPr>
                <w:rStyle w:val="Hyperlink"/>
                <w:rFonts w:cs="Arial"/>
                <w:sz w:val="14"/>
                <w:szCs w:val="14"/>
              </w:rPr>
              <w:t>Anhang</w:t>
            </w:r>
          </w:hyperlink>
        </w:p>
      </w:tc>
    </w:tr>
  </w:tbl>
  <w:p w:rsidR="00B36E70" w:rsidRPr="00ED16D6" w:rsidRDefault="00B36E70" w:rsidP="0071348D">
    <w:pPr>
      <w:pStyle w:val="Footer"/>
      <w:rPr>
        <w:rStyle w:val="LogoportDoNotTranslate"/>
        <w:rFonts w:ascii="Calibri" w:hAnsi="Calibri" w:cs="Calibr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633"/>
      <w:gridCol w:w="181"/>
      <w:gridCol w:w="1619"/>
      <w:gridCol w:w="182"/>
      <w:gridCol w:w="1618"/>
      <w:gridCol w:w="183"/>
      <w:gridCol w:w="1706"/>
      <w:gridCol w:w="185"/>
      <w:gridCol w:w="1885"/>
      <w:gridCol w:w="185"/>
      <w:gridCol w:w="1423"/>
    </w:tblGrid>
    <w:tr w:rsidR="00B36E70" w:rsidRPr="00D73341" w:rsidTr="00D73341">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7" w:right="-73"/>
            <w:jc w:val="center"/>
            <w:rPr>
              <w:rStyle w:val="LogoportDoNotTranslate"/>
              <w:rFonts w:ascii="Calibri" w:hAnsi="Calibri" w:cs="Calibri"/>
              <w:sz w:val="14"/>
              <w:szCs w:val="14"/>
            </w:rPr>
          </w:pPr>
          <w:hyperlink w:anchor="TableofContents" w:tooltip="Inhalt" w:history="1">
            <w:r w:rsidRPr="00F038DB">
              <w:rPr>
                <w:rStyle w:val="Hyperlink"/>
                <w:rFonts w:cs="Calibri"/>
                <w:sz w:val="14"/>
                <w:szCs w:val="14"/>
              </w:rPr>
              <w:t>Inhalt</w:t>
            </w:r>
          </w:hyperlink>
        </w:p>
      </w:tc>
      <w:tc>
        <w:tcPr>
          <w:tcW w:w="181"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1"/>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36E70" w:rsidRPr="00F038DB" w:rsidRDefault="00B36E70" w:rsidP="00D73341">
          <w:pPr>
            <w:pStyle w:val="ProductList-OfferingBody"/>
            <w:ind w:left="-72" w:right="-74"/>
            <w:jc w:val="center"/>
            <w:rPr>
              <w:rStyle w:val="LogoportDoNotTranslate"/>
              <w:rFonts w:ascii="Calibri" w:hAnsi="Calibri" w:cs="Calibri"/>
              <w:color w:val="0563C1"/>
              <w:sz w:val="14"/>
              <w:szCs w:val="14"/>
            </w:rPr>
          </w:pPr>
          <w:hyperlink w:anchor="Introduction" w:tooltip="Einleitung" w:history="1">
            <w:r w:rsidRPr="00F038DB">
              <w:rPr>
                <w:rStyle w:val="Hyperlink"/>
                <w:rFonts w:cs="Arial"/>
                <w:sz w:val="14"/>
                <w:szCs w:val="14"/>
              </w:rPr>
              <w:t>Einleitung</w:t>
            </w:r>
          </w:hyperlink>
        </w:p>
      </w:tc>
      <w:tc>
        <w:tcPr>
          <w:tcW w:w="182"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0"/>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5"/>
            <w:jc w:val="center"/>
            <w:rPr>
              <w:rStyle w:val="LogoportDoNotTranslate"/>
              <w:rFonts w:ascii="Calibri" w:hAnsi="Calibri" w:cs="Calibri"/>
              <w:color w:val="0563C1"/>
              <w:sz w:val="14"/>
              <w:szCs w:val="14"/>
              <w:u w:val="single"/>
            </w:rPr>
          </w:pPr>
          <w:hyperlink w:anchor="GeneralTerms" w:tooltip="Allgemeine Bestimmungen" w:history="1">
            <w:r w:rsidRPr="00F038DB">
              <w:rPr>
                <w:rStyle w:val="LogoportDoNotTranslate"/>
                <w:rFonts w:ascii="Calibri" w:hAnsi="Calibri" w:cs="Calibri"/>
                <w:color w:val="0563C1"/>
                <w:sz w:val="14"/>
                <w:szCs w:val="14"/>
                <w:u w:val="single"/>
              </w:rPr>
              <w:t xml:space="preserve">Allgemeine </w:t>
            </w:r>
            <w:r w:rsidRPr="00F038DB">
              <w:rPr>
                <w:rStyle w:val="LogoportDoNotTranslate"/>
                <w:rFonts w:ascii="Calibri" w:hAnsi="Calibri" w:cs="Calibri"/>
                <w:color w:val="0563C1"/>
                <w:sz w:val="14"/>
                <w:szCs w:val="14"/>
                <w:u w:val="single"/>
              </w:rPr>
              <w:br/>
              <w:t>Bestimmungen</w:t>
            </w:r>
          </w:hyperlink>
        </w:p>
      </w:tc>
      <w:tc>
        <w:tcPr>
          <w:tcW w:w="183"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9"/>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PrivacyandSecurityTerms" w:tooltip="Datenschutz- und Sicherheitsbestimmungen" w:history="1">
            <w:r w:rsidRPr="00F038DB">
              <w:rPr>
                <w:rStyle w:val="Hyperlink"/>
                <w:rFonts w:cs="Arial"/>
                <w:sz w:val="14"/>
                <w:szCs w:val="14"/>
              </w:rPr>
              <w:t>Datenschutz- und Sicherheitsbestimmungen</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OnlineServiceSpecificTerms" w:tooltip="Spezifische Bestimmungen für Onlinedienste" w:history="1">
            <w:r w:rsidRPr="00F038DB">
              <w:rPr>
                <w:rStyle w:val="Hyperlink"/>
                <w:rFonts w:cs="Arial"/>
                <w:sz w:val="14"/>
                <w:szCs w:val="14"/>
              </w:rPr>
              <w:t>Spezifische Bestimmungen für Onlinedienste</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6"/>
            <w:jc w:val="center"/>
            <w:rPr>
              <w:rStyle w:val="LogoportDoNotTranslate"/>
              <w:rFonts w:ascii="Calibri" w:hAnsi="Calibri" w:cs="Calibri"/>
              <w:sz w:val="14"/>
              <w:szCs w:val="14"/>
            </w:rPr>
          </w:pPr>
          <w:hyperlink w:anchor="Attachment1" w:tooltip="Anhang" w:history="1">
            <w:r w:rsidRPr="00F038DB">
              <w:rPr>
                <w:rStyle w:val="Hyperlink"/>
                <w:rFonts w:cs="Arial"/>
                <w:sz w:val="14"/>
                <w:szCs w:val="14"/>
              </w:rPr>
              <w:t>Anhang</w:t>
            </w:r>
          </w:hyperlink>
        </w:p>
      </w:tc>
    </w:tr>
  </w:tbl>
  <w:p w:rsidR="00B36E70" w:rsidRPr="00ED16D6" w:rsidRDefault="00B36E70" w:rsidP="009130F2">
    <w:pPr>
      <w:pStyle w:val="Footer"/>
      <w:rPr>
        <w:rStyle w:val="LogoportDoNotTranslate"/>
        <w:rFonts w:ascii="Calibri" w:hAnsi="Calibri" w:cs="Calibr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633"/>
      <w:gridCol w:w="181"/>
      <w:gridCol w:w="1619"/>
      <w:gridCol w:w="182"/>
      <w:gridCol w:w="1618"/>
      <w:gridCol w:w="183"/>
      <w:gridCol w:w="1706"/>
      <w:gridCol w:w="185"/>
      <w:gridCol w:w="1885"/>
      <w:gridCol w:w="185"/>
      <w:gridCol w:w="1423"/>
    </w:tblGrid>
    <w:tr w:rsidR="00B36E70" w:rsidRPr="00D73341" w:rsidTr="00D73341">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7" w:right="-73"/>
            <w:jc w:val="center"/>
            <w:rPr>
              <w:rStyle w:val="LogoportDoNotTranslate"/>
              <w:rFonts w:ascii="Calibri" w:hAnsi="Calibri" w:cs="Calibri"/>
              <w:sz w:val="14"/>
              <w:szCs w:val="14"/>
            </w:rPr>
          </w:pPr>
          <w:hyperlink w:anchor="TableofContents" w:tooltip="Inhalt" w:history="1">
            <w:r w:rsidRPr="00F038DB">
              <w:rPr>
                <w:rStyle w:val="Hyperlink"/>
                <w:rFonts w:cs="Calibri"/>
                <w:sz w:val="14"/>
                <w:szCs w:val="14"/>
              </w:rPr>
              <w:t>Inhalt</w:t>
            </w:r>
          </w:hyperlink>
        </w:p>
      </w:tc>
      <w:tc>
        <w:tcPr>
          <w:tcW w:w="181"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1"/>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4"/>
            <w:jc w:val="center"/>
            <w:rPr>
              <w:rStyle w:val="LogoportDoNotTranslate"/>
              <w:rFonts w:ascii="Calibri" w:hAnsi="Calibri" w:cs="Calibri"/>
              <w:color w:val="0563C1"/>
              <w:sz w:val="14"/>
              <w:szCs w:val="14"/>
            </w:rPr>
          </w:pPr>
          <w:hyperlink w:anchor="Introduction" w:tooltip="Einleitung" w:history="1">
            <w:r w:rsidRPr="00F038DB">
              <w:rPr>
                <w:rStyle w:val="Hyperlink"/>
                <w:rFonts w:cs="Arial"/>
                <w:sz w:val="14"/>
                <w:szCs w:val="14"/>
              </w:rPr>
              <w:t>Einleitung</w:t>
            </w:r>
          </w:hyperlink>
        </w:p>
      </w:tc>
      <w:tc>
        <w:tcPr>
          <w:tcW w:w="182"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0"/>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36E70" w:rsidRPr="00F038DB" w:rsidRDefault="00B36E70" w:rsidP="00D73341">
          <w:pPr>
            <w:pStyle w:val="ProductList-OfferingBody"/>
            <w:ind w:left="-72" w:right="-75"/>
            <w:jc w:val="center"/>
            <w:rPr>
              <w:rStyle w:val="LogoportDoNotTranslate"/>
              <w:rFonts w:ascii="Calibri" w:hAnsi="Calibri" w:cs="Calibri"/>
              <w:color w:val="0563C1"/>
              <w:sz w:val="14"/>
              <w:szCs w:val="14"/>
              <w:u w:val="single"/>
            </w:rPr>
          </w:pPr>
          <w:hyperlink w:anchor="GeneralTerms" w:tooltip="Allgemeine Bestimmungen" w:history="1">
            <w:r w:rsidRPr="00F038DB">
              <w:rPr>
                <w:rStyle w:val="LogoportDoNotTranslate"/>
                <w:rFonts w:ascii="Calibri" w:hAnsi="Calibri" w:cs="Calibri"/>
                <w:color w:val="0563C1"/>
                <w:sz w:val="14"/>
                <w:szCs w:val="14"/>
                <w:u w:val="single"/>
              </w:rPr>
              <w:t xml:space="preserve">Allgemeine </w:t>
            </w:r>
            <w:r w:rsidRPr="00F038DB">
              <w:rPr>
                <w:rStyle w:val="LogoportDoNotTranslate"/>
                <w:rFonts w:ascii="Calibri" w:hAnsi="Calibri" w:cs="Calibri"/>
                <w:color w:val="0563C1"/>
                <w:sz w:val="14"/>
                <w:szCs w:val="14"/>
                <w:u w:val="single"/>
              </w:rPr>
              <w:br/>
              <w:t>Bestimmungen</w:t>
            </w:r>
          </w:hyperlink>
        </w:p>
      </w:tc>
      <w:tc>
        <w:tcPr>
          <w:tcW w:w="183"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9"/>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PrivacyandSecurityTerms" w:tooltip="Datenschutz- und Sicherheitsbestimmungen" w:history="1">
            <w:r w:rsidRPr="00F038DB">
              <w:rPr>
                <w:rStyle w:val="Hyperlink"/>
                <w:rFonts w:cs="Arial"/>
                <w:sz w:val="14"/>
                <w:szCs w:val="14"/>
              </w:rPr>
              <w:t>Datenschutz- und Sicherheitsbestimmungen</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OnlineServiceSpecificTerms" w:tooltip="Spezifische Bestimmungen für Onlinedienste" w:history="1">
            <w:r w:rsidRPr="00F038DB">
              <w:rPr>
                <w:rStyle w:val="Hyperlink"/>
                <w:rFonts w:cs="Arial"/>
                <w:sz w:val="14"/>
                <w:szCs w:val="14"/>
              </w:rPr>
              <w:t>Spezifische Bestimmungen für Onlinedienste</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6"/>
            <w:jc w:val="center"/>
            <w:rPr>
              <w:rStyle w:val="LogoportDoNotTranslate"/>
              <w:rFonts w:ascii="Calibri" w:hAnsi="Calibri" w:cs="Calibri"/>
              <w:sz w:val="14"/>
              <w:szCs w:val="14"/>
            </w:rPr>
          </w:pPr>
          <w:hyperlink w:anchor="Attachment1" w:tooltip="Anhang" w:history="1">
            <w:r w:rsidRPr="00F038DB">
              <w:rPr>
                <w:rStyle w:val="Hyperlink"/>
                <w:rFonts w:cs="Arial"/>
                <w:sz w:val="14"/>
                <w:szCs w:val="14"/>
              </w:rPr>
              <w:t>Anhang</w:t>
            </w:r>
          </w:hyperlink>
        </w:p>
      </w:tc>
    </w:tr>
  </w:tbl>
  <w:p w:rsidR="00B36E70" w:rsidRPr="00ED16D6" w:rsidRDefault="00B36E70" w:rsidP="00962582">
    <w:pPr>
      <w:pStyle w:val="Footer"/>
      <w:rPr>
        <w:rStyle w:val="LogoportDoNotTranslate"/>
        <w:rFonts w:ascii="Calibri" w:hAnsi="Calibri" w:cs="Calibr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633"/>
      <w:gridCol w:w="181"/>
      <w:gridCol w:w="1619"/>
      <w:gridCol w:w="182"/>
      <w:gridCol w:w="1618"/>
      <w:gridCol w:w="183"/>
      <w:gridCol w:w="1706"/>
      <w:gridCol w:w="185"/>
      <w:gridCol w:w="1885"/>
      <w:gridCol w:w="185"/>
      <w:gridCol w:w="1423"/>
    </w:tblGrid>
    <w:tr w:rsidR="00B36E70" w:rsidRPr="00D73341" w:rsidTr="00D73341">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7" w:right="-73"/>
            <w:jc w:val="center"/>
            <w:rPr>
              <w:rStyle w:val="LogoportDoNotTranslate"/>
              <w:rFonts w:ascii="Calibri" w:hAnsi="Calibri" w:cs="Calibri"/>
              <w:sz w:val="14"/>
              <w:szCs w:val="14"/>
            </w:rPr>
          </w:pPr>
          <w:hyperlink w:anchor="TableofContents" w:tooltip="Inhalt" w:history="1">
            <w:r w:rsidRPr="00F038DB">
              <w:rPr>
                <w:rStyle w:val="Hyperlink"/>
                <w:rFonts w:cs="Calibri"/>
                <w:sz w:val="14"/>
                <w:szCs w:val="14"/>
              </w:rPr>
              <w:t>Inhalt</w:t>
            </w:r>
          </w:hyperlink>
        </w:p>
      </w:tc>
      <w:tc>
        <w:tcPr>
          <w:tcW w:w="181"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1"/>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4"/>
            <w:jc w:val="center"/>
            <w:rPr>
              <w:rStyle w:val="LogoportDoNotTranslate"/>
              <w:rFonts w:ascii="Calibri" w:hAnsi="Calibri" w:cs="Calibri"/>
              <w:color w:val="0563C1"/>
              <w:sz w:val="14"/>
              <w:szCs w:val="14"/>
            </w:rPr>
          </w:pPr>
          <w:hyperlink w:anchor="Introduction" w:tooltip="Einleitung" w:history="1">
            <w:r w:rsidRPr="00F038DB">
              <w:rPr>
                <w:rStyle w:val="Hyperlink"/>
                <w:rFonts w:cs="Arial"/>
                <w:sz w:val="14"/>
                <w:szCs w:val="14"/>
              </w:rPr>
              <w:t>Einleitung</w:t>
            </w:r>
          </w:hyperlink>
        </w:p>
      </w:tc>
      <w:tc>
        <w:tcPr>
          <w:tcW w:w="182"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0"/>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36E70" w:rsidRPr="00F038DB" w:rsidRDefault="00B36E70" w:rsidP="00D73341">
          <w:pPr>
            <w:pStyle w:val="ProductList-OfferingBody"/>
            <w:ind w:left="-72" w:right="-75"/>
            <w:jc w:val="center"/>
            <w:rPr>
              <w:rStyle w:val="LogoportDoNotTranslate"/>
              <w:rFonts w:ascii="Calibri" w:hAnsi="Calibri" w:cs="Calibri"/>
              <w:color w:val="0563C1"/>
              <w:sz w:val="14"/>
              <w:szCs w:val="14"/>
              <w:u w:val="single"/>
            </w:rPr>
          </w:pPr>
          <w:hyperlink w:anchor="GeneralTerms" w:tooltip="Allgemeine Bestimmungen" w:history="1">
            <w:r w:rsidRPr="00F038DB">
              <w:rPr>
                <w:rStyle w:val="LogoportDoNotTranslate"/>
                <w:rFonts w:ascii="Calibri" w:hAnsi="Calibri" w:cs="Calibri"/>
                <w:color w:val="0563C1"/>
                <w:sz w:val="14"/>
                <w:szCs w:val="14"/>
                <w:u w:val="single"/>
              </w:rPr>
              <w:t xml:space="preserve">Allgemeine </w:t>
            </w:r>
            <w:r w:rsidRPr="00F038DB">
              <w:rPr>
                <w:rStyle w:val="LogoportDoNotTranslate"/>
                <w:rFonts w:ascii="Calibri" w:hAnsi="Calibri" w:cs="Calibri"/>
                <w:color w:val="0563C1"/>
                <w:sz w:val="14"/>
                <w:szCs w:val="14"/>
                <w:u w:val="single"/>
              </w:rPr>
              <w:br/>
              <w:t>Bestimmungen</w:t>
            </w:r>
          </w:hyperlink>
        </w:p>
      </w:tc>
      <w:tc>
        <w:tcPr>
          <w:tcW w:w="183"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9"/>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PrivacyandSecurityTerms" w:tooltip="Datenschutz- und Sicherheitsbestimmungen" w:history="1">
            <w:r w:rsidRPr="00F038DB">
              <w:rPr>
                <w:rStyle w:val="Hyperlink"/>
                <w:rFonts w:cs="Arial"/>
                <w:sz w:val="14"/>
                <w:szCs w:val="14"/>
              </w:rPr>
              <w:t>Datenschutz- und Sicherheitsbestimmungen</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OnlineServiceSpecificTerms" w:tooltip="Spezifische Bestimmungen für Onlinedienste" w:history="1">
            <w:r w:rsidRPr="00F038DB">
              <w:rPr>
                <w:rStyle w:val="Hyperlink"/>
                <w:rFonts w:cs="Arial"/>
                <w:sz w:val="14"/>
                <w:szCs w:val="14"/>
              </w:rPr>
              <w:t>Spezifische Bestimmungen für Onlinedienste</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6"/>
            <w:jc w:val="center"/>
            <w:rPr>
              <w:rStyle w:val="LogoportDoNotTranslate"/>
              <w:rFonts w:ascii="Calibri" w:hAnsi="Calibri" w:cs="Calibri"/>
              <w:sz w:val="14"/>
              <w:szCs w:val="14"/>
            </w:rPr>
          </w:pPr>
          <w:hyperlink w:anchor="Attachment1" w:tooltip="Anhang" w:history="1">
            <w:r w:rsidRPr="00F038DB">
              <w:rPr>
                <w:rStyle w:val="Hyperlink"/>
                <w:rFonts w:cs="Arial"/>
                <w:sz w:val="14"/>
                <w:szCs w:val="14"/>
              </w:rPr>
              <w:t>Anhang</w:t>
            </w:r>
          </w:hyperlink>
        </w:p>
      </w:tc>
    </w:tr>
  </w:tbl>
  <w:p w:rsidR="00B36E70" w:rsidRPr="00ED16D6" w:rsidRDefault="00B36E70" w:rsidP="000670D7">
    <w:pPr>
      <w:pStyle w:val="Footer"/>
      <w:rPr>
        <w:rStyle w:val="LogoportDoNotTranslate"/>
        <w:rFonts w:ascii="Calibri" w:hAnsi="Calibri" w:cs="Calibr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633"/>
      <w:gridCol w:w="181"/>
      <w:gridCol w:w="1619"/>
      <w:gridCol w:w="182"/>
      <w:gridCol w:w="1618"/>
      <w:gridCol w:w="183"/>
      <w:gridCol w:w="1706"/>
      <w:gridCol w:w="185"/>
      <w:gridCol w:w="1885"/>
      <w:gridCol w:w="185"/>
      <w:gridCol w:w="1423"/>
    </w:tblGrid>
    <w:tr w:rsidR="00B36E70" w:rsidRPr="00D73341" w:rsidTr="00D73341">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7" w:right="-73"/>
            <w:jc w:val="center"/>
            <w:rPr>
              <w:rStyle w:val="LogoportDoNotTranslate"/>
              <w:rFonts w:ascii="Calibri" w:hAnsi="Calibri" w:cs="Calibri"/>
              <w:sz w:val="14"/>
              <w:szCs w:val="14"/>
            </w:rPr>
          </w:pPr>
          <w:hyperlink w:anchor="TableofContents" w:tooltip="Inhalt" w:history="1">
            <w:r w:rsidRPr="00F038DB">
              <w:rPr>
                <w:rStyle w:val="Hyperlink"/>
                <w:rFonts w:cs="Calibri"/>
                <w:sz w:val="14"/>
                <w:szCs w:val="14"/>
              </w:rPr>
              <w:t>Inhalt</w:t>
            </w:r>
          </w:hyperlink>
        </w:p>
      </w:tc>
      <w:tc>
        <w:tcPr>
          <w:tcW w:w="181"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1"/>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4"/>
            <w:jc w:val="center"/>
            <w:rPr>
              <w:rStyle w:val="LogoportDoNotTranslate"/>
              <w:rFonts w:ascii="Calibri" w:hAnsi="Calibri" w:cs="Calibri"/>
              <w:color w:val="0563C1"/>
              <w:sz w:val="14"/>
              <w:szCs w:val="14"/>
            </w:rPr>
          </w:pPr>
          <w:hyperlink w:anchor="Introduction" w:tooltip="Einleitung" w:history="1">
            <w:r w:rsidRPr="00F038DB">
              <w:rPr>
                <w:rStyle w:val="Hyperlink"/>
                <w:rFonts w:cs="Arial"/>
                <w:sz w:val="14"/>
                <w:szCs w:val="14"/>
              </w:rPr>
              <w:t>Einleitung</w:t>
            </w:r>
          </w:hyperlink>
        </w:p>
      </w:tc>
      <w:tc>
        <w:tcPr>
          <w:tcW w:w="182"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0"/>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5"/>
            <w:jc w:val="center"/>
            <w:rPr>
              <w:rStyle w:val="LogoportDoNotTranslate"/>
              <w:rFonts w:ascii="Calibri" w:hAnsi="Calibri" w:cs="Calibri"/>
              <w:color w:val="0563C1"/>
              <w:sz w:val="14"/>
              <w:szCs w:val="14"/>
              <w:u w:val="single"/>
            </w:rPr>
          </w:pPr>
          <w:hyperlink w:anchor="GeneralTerms" w:tooltip="Allgemeine Bestimmungen" w:history="1">
            <w:r w:rsidRPr="00F038DB">
              <w:rPr>
                <w:rStyle w:val="LogoportDoNotTranslate"/>
                <w:rFonts w:ascii="Calibri" w:hAnsi="Calibri" w:cs="Calibri"/>
                <w:color w:val="0563C1"/>
                <w:sz w:val="14"/>
                <w:szCs w:val="14"/>
                <w:u w:val="single"/>
              </w:rPr>
              <w:t xml:space="preserve">Allgemeine </w:t>
            </w:r>
            <w:r w:rsidRPr="00F038DB">
              <w:rPr>
                <w:rStyle w:val="LogoportDoNotTranslate"/>
                <w:rFonts w:ascii="Calibri" w:hAnsi="Calibri" w:cs="Calibri"/>
                <w:color w:val="0563C1"/>
                <w:sz w:val="14"/>
                <w:szCs w:val="14"/>
                <w:u w:val="single"/>
              </w:rPr>
              <w:br/>
              <w:t>Bestimmungen</w:t>
            </w:r>
          </w:hyperlink>
        </w:p>
      </w:tc>
      <w:tc>
        <w:tcPr>
          <w:tcW w:w="183"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9"/>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PrivacyandSecurityTerms" w:tooltip="Datenschutz- und Sicherheitsbestimmungen" w:history="1">
            <w:r w:rsidRPr="00F038DB">
              <w:rPr>
                <w:rStyle w:val="Hyperlink"/>
                <w:rFonts w:cs="Arial"/>
                <w:sz w:val="14"/>
                <w:szCs w:val="14"/>
              </w:rPr>
              <w:t>Datenschutz- und Sicherheitsbestimmungen</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OnlineServiceSpecificTerms" w:tooltip="Spezifische Bestimmungen für Onlinedienste" w:history="1">
            <w:r w:rsidRPr="00F038DB">
              <w:rPr>
                <w:rStyle w:val="Hyperlink"/>
                <w:rFonts w:cs="Arial"/>
                <w:sz w:val="14"/>
                <w:szCs w:val="14"/>
              </w:rPr>
              <w:t>Spezifische Bestimmungen für Onlinedienste</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6"/>
            <w:jc w:val="center"/>
            <w:rPr>
              <w:rStyle w:val="LogoportDoNotTranslate"/>
              <w:rFonts w:ascii="Calibri" w:hAnsi="Calibri" w:cs="Calibri"/>
              <w:sz w:val="14"/>
              <w:szCs w:val="14"/>
            </w:rPr>
          </w:pPr>
          <w:hyperlink w:anchor="Attachment1" w:tooltip="Anhang" w:history="1">
            <w:r w:rsidRPr="00F038DB">
              <w:rPr>
                <w:rStyle w:val="Hyperlink"/>
                <w:rFonts w:cs="Arial"/>
                <w:sz w:val="14"/>
                <w:szCs w:val="14"/>
              </w:rPr>
              <w:t>Anhang</w:t>
            </w:r>
          </w:hyperlink>
        </w:p>
      </w:tc>
    </w:tr>
  </w:tbl>
  <w:p w:rsidR="00B36E70" w:rsidRPr="00ED16D6" w:rsidRDefault="00B36E70" w:rsidP="00421C93">
    <w:pPr>
      <w:pStyle w:val="Footer"/>
      <w:rPr>
        <w:rStyle w:val="LogoportDoNotTranslate"/>
        <w:rFonts w:ascii="Calibri" w:hAnsi="Calibri" w:cs="Calibr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633"/>
      <w:gridCol w:w="181"/>
      <w:gridCol w:w="1619"/>
      <w:gridCol w:w="182"/>
      <w:gridCol w:w="1618"/>
      <w:gridCol w:w="183"/>
      <w:gridCol w:w="1706"/>
      <w:gridCol w:w="185"/>
      <w:gridCol w:w="1885"/>
      <w:gridCol w:w="185"/>
      <w:gridCol w:w="1423"/>
    </w:tblGrid>
    <w:tr w:rsidR="00B36E70" w:rsidRPr="00D73341" w:rsidTr="00D73341">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7" w:right="-73"/>
            <w:jc w:val="center"/>
            <w:rPr>
              <w:rStyle w:val="LogoportDoNotTranslate"/>
              <w:rFonts w:ascii="Calibri" w:hAnsi="Calibri" w:cs="Calibri"/>
              <w:sz w:val="14"/>
              <w:szCs w:val="14"/>
            </w:rPr>
          </w:pPr>
          <w:hyperlink w:anchor="TableofContents" w:tooltip="Inhalt" w:history="1">
            <w:r w:rsidRPr="00F038DB">
              <w:rPr>
                <w:rStyle w:val="Hyperlink"/>
                <w:rFonts w:cs="Calibri"/>
                <w:sz w:val="14"/>
                <w:szCs w:val="14"/>
              </w:rPr>
              <w:t>Inhalt</w:t>
            </w:r>
          </w:hyperlink>
        </w:p>
      </w:tc>
      <w:tc>
        <w:tcPr>
          <w:tcW w:w="181"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1"/>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4"/>
            <w:jc w:val="center"/>
            <w:rPr>
              <w:rStyle w:val="LogoportDoNotTranslate"/>
              <w:rFonts w:ascii="Calibri" w:hAnsi="Calibri" w:cs="Calibri"/>
              <w:color w:val="0563C1"/>
              <w:sz w:val="14"/>
              <w:szCs w:val="14"/>
            </w:rPr>
          </w:pPr>
          <w:hyperlink w:anchor="Introduction" w:tooltip="Einleitung" w:history="1">
            <w:r w:rsidRPr="00F038DB">
              <w:rPr>
                <w:rStyle w:val="Hyperlink"/>
                <w:rFonts w:cs="Arial"/>
                <w:sz w:val="14"/>
                <w:szCs w:val="14"/>
              </w:rPr>
              <w:t>Einleitung</w:t>
            </w:r>
          </w:hyperlink>
        </w:p>
      </w:tc>
      <w:tc>
        <w:tcPr>
          <w:tcW w:w="182"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0"/>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5"/>
            <w:jc w:val="center"/>
            <w:rPr>
              <w:rStyle w:val="LogoportDoNotTranslate"/>
              <w:rFonts w:ascii="Calibri" w:hAnsi="Calibri" w:cs="Calibri"/>
              <w:color w:val="0563C1"/>
              <w:sz w:val="14"/>
              <w:szCs w:val="14"/>
              <w:u w:val="single"/>
            </w:rPr>
          </w:pPr>
          <w:hyperlink w:anchor="GeneralTerms" w:tooltip="Allgemeine Bestimmungen" w:history="1">
            <w:r w:rsidRPr="00F038DB">
              <w:rPr>
                <w:rStyle w:val="LogoportDoNotTranslate"/>
                <w:rFonts w:ascii="Calibri" w:hAnsi="Calibri" w:cs="Calibri"/>
                <w:color w:val="0563C1"/>
                <w:sz w:val="14"/>
                <w:szCs w:val="14"/>
                <w:u w:val="single"/>
              </w:rPr>
              <w:t xml:space="preserve">Allgemeine </w:t>
            </w:r>
            <w:r w:rsidRPr="00F038DB">
              <w:rPr>
                <w:rStyle w:val="LogoportDoNotTranslate"/>
                <w:rFonts w:ascii="Calibri" w:hAnsi="Calibri" w:cs="Calibri"/>
                <w:color w:val="0563C1"/>
                <w:sz w:val="14"/>
                <w:szCs w:val="14"/>
                <w:u w:val="single"/>
              </w:rPr>
              <w:br/>
              <w:t>Bestimmungen</w:t>
            </w:r>
          </w:hyperlink>
        </w:p>
      </w:tc>
      <w:tc>
        <w:tcPr>
          <w:tcW w:w="183"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9"/>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PrivacyandSecurityTerms" w:tooltip="Datenschutz- und Sicherheitsbestimmungen" w:history="1">
            <w:r w:rsidRPr="00F038DB">
              <w:rPr>
                <w:rStyle w:val="Hyperlink"/>
                <w:rFonts w:cs="Arial"/>
                <w:sz w:val="14"/>
                <w:szCs w:val="14"/>
              </w:rPr>
              <w:t>Datenschutz- und Sicherheitsbestimmungen</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OnlineServiceSpecificTerms" w:tooltip="Spezifische Bestimmungen für Onlinedienste" w:history="1">
            <w:r w:rsidRPr="00F038DB">
              <w:rPr>
                <w:rStyle w:val="Hyperlink"/>
                <w:rFonts w:cs="Arial"/>
                <w:sz w:val="14"/>
                <w:szCs w:val="14"/>
              </w:rPr>
              <w:t>Spezifische Bestimmungen für Onlinedienste</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6"/>
            <w:jc w:val="center"/>
            <w:rPr>
              <w:rStyle w:val="LogoportDoNotTranslate"/>
              <w:rFonts w:ascii="Calibri" w:hAnsi="Calibri" w:cs="Calibri"/>
              <w:sz w:val="14"/>
              <w:szCs w:val="14"/>
            </w:rPr>
          </w:pPr>
          <w:hyperlink w:anchor="Attachment1" w:tooltip="Anhang" w:history="1">
            <w:r w:rsidRPr="00F038DB">
              <w:rPr>
                <w:rStyle w:val="Hyperlink"/>
                <w:rFonts w:cs="Arial"/>
                <w:sz w:val="14"/>
                <w:szCs w:val="14"/>
              </w:rPr>
              <w:t>Anhang</w:t>
            </w:r>
          </w:hyperlink>
        </w:p>
      </w:tc>
    </w:tr>
  </w:tbl>
  <w:p w:rsidR="00B36E70" w:rsidRPr="00ED16D6" w:rsidRDefault="00B36E70" w:rsidP="004D7F20">
    <w:pPr>
      <w:pStyle w:val="Footer"/>
      <w:rPr>
        <w:rStyle w:val="LogoportDoNotTranslate"/>
        <w:rFonts w:ascii="Calibri" w:hAnsi="Calibri" w:cs="Calibr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633"/>
      <w:gridCol w:w="181"/>
      <w:gridCol w:w="1619"/>
      <w:gridCol w:w="182"/>
      <w:gridCol w:w="1618"/>
      <w:gridCol w:w="183"/>
      <w:gridCol w:w="1706"/>
      <w:gridCol w:w="185"/>
      <w:gridCol w:w="1885"/>
      <w:gridCol w:w="185"/>
      <w:gridCol w:w="1423"/>
    </w:tblGrid>
    <w:tr w:rsidR="00B36E70" w:rsidRPr="00D73341" w:rsidTr="00D73341">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7" w:right="-73"/>
            <w:jc w:val="center"/>
            <w:rPr>
              <w:rStyle w:val="LogoportDoNotTranslate"/>
              <w:rFonts w:ascii="Calibri" w:hAnsi="Calibri" w:cs="Calibri"/>
              <w:sz w:val="14"/>
              <w:szCs w:val="14"/>
            </w:rPr>
          </w:pPr>
          <w:hyperlink w:anchor="TableofContents" w:tooltip="Inhalt" w:history="1">
            <w:r w:rsidRPr="00F038DB">
              <w:rPr>
                <w:rStyle w:val="Hyperlink"/>
                <w:rFonts w:cs="Calibri"/>
                <w:sz w:val="14"/>
                <w:szCs w:val="14"/>
              </w:rPr>
              <w:t>Inhalt</w:t>
            </w:r>
          </w:hyperlink>
        </w:p>
      </w:tc>
      <w:tc>
        <w:tcPr>
          <w:tcW w:w="181"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1"/>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4"/>
            <w:jc w:val="center"/>
            <w:rPr>
              <w:rStyle w:val="LogoportDoNotTranslate"/>
              <w:rFonts w:ascii="Calibri" w:hAnsi="Calibri" w:cs="Calibri"/>
              <w:color w:val="0563C1"/>
              <w:sz w:val="14"/>
              <w:szCs w:val="14"/>
            </w:rPr>
          </w:pPr>
          <w:hyperlink w:anchor="Introduction" w:tooltip="Einleitung" w:history="1">
            <w:r w:rsidRPr="00F038DB">
              <w:rPr>
                <w:rStyle w:val="Hyperlink"/>
                <w:rFonts w:cs="Arial"/>
                <w:sz w:val="14"/>
                <w:szCs w:val="14"/>
              </w:rPr>
              <w:t>Einleitung</w:t>
            </w:r>
          </w:hyperlink>
        </w:p>
      </w:tc>
      <w:tc>
        <w:tcPr>
          <w:tcW w:w="182"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0"/>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5"/>
            <w:jc w:val="center"/>
            <w:rPr>
              <w:rStyle w:val="LogoportDoNotTranslate"/>
              <w:rFonts w:ascii="Calibri" w:hAnsi="Calibri" w:cs="Calibri"/>
              <w:color w:val="0563C1"/>
              <w:sz w:val="14"/>
              <w:szCs w:val="14"/>
              <w:u w:val="single"/>
            </w:rPr>
          </w:pPr>
          <w:hyperlink w:anchor="GeneralTerms" w:tooltip="Allgemeine Bestimmungen" w:history="1">
            <w:r w:rsidRPr="00F038DB">
              <w:rPr>
                <w:rStyle w:val="LogoportDoNotTranslate"/>
                <w:rFonts w:ascii="Calibri" w:hAnsi="Calibri" w:cs="Calibri"/>
                <w:color w:val="0563C1"/>
                <w:sz w:val="14"/>
                <w:szCs w:val="14"/>
                <w:u w:val="single"/>
              </w:rPr>
              <w:t xml:space="preserve">Allgemeine </w:t>
            </w:r>
            <w:r w:rsidRPr="00F038DB">
              <w:rPr>
                <w:rStyle w:val="LogoportDoNotTranslate"/>
                <w:rFonts w:ascii="Calibri" w:hAnsi="Calibri" w:cs="Calibri"/>
                <w:color w:val="0563C1"/>
                <w:sz w:val="14"/>
                <w:szCs w:val="14"/>
                <w:u w:val="single"/>
              </w:rPr>
              <w:br/>
              <w:t>Bestimmungen</w:t>
            </w:r>
          </w:hyperlink>
        </w:p>
      </w:tc>
      <w:tc>
        <w:tcPr>
          <w:tcW w:w="183"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9"/>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PrivacyandSecurityTerms" w:tooltip="Datenschutz- und Sicherheitsbestimmungen" w:history="1">
            <w:r w:rsidRPr="00F038DB">
              <w:rPr>
                <w:rStyle w:val="Hyperlink"/>
                <w:rFonts w:cs="Arial"/>
                <w:sz w:val="14"/>
                <w:szCs w:val="14"/>
              </w:rPr>
              <w:t>Datenschutz- und Sicherheitsbestimmungen</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OnlineServiceSpecificTerms" w:tooltip="Spezifische Bestimmungen für Onlinedienste" w:history="1">
            <w:r w:rsidRPr="00F038DB">
              <w:rPr>
                <w:rStyle w:val="Hyperlink"/>
                <w:rFonts w:cs="Arial"/>
                <w:sz w:val="14"/>
                <w:szCs w:val="14"/>
              </w:rPr>
              <w:t>Spezifische Bestimmungen für Onlinedienste</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6"/>
            <w:jc w:val="center"/>
            <w:rPr>
              <w:rStyle w:val="LogoportDoNotTranslate"/>
              <w:rFonts w:ascii="Calibri" w:hAnsi="Calibri" w:cs="Calibri"/>
              <w:sz w:val="14"/>
              <w:szCs w:val="14"/>
            </w:rPr>
          </w:pPr>
          <w:hyperlink w:anchor="Attachment1" w:tooltip="Anhang" w:history="1">
            <w:r w:rsidRPr="00F038DB">
              <w:rPr>
                <w:rStyle w:val="Hyperlink"/>
                <w:rFonts w:cs="Arial"/>
                <w:sz w:val="14"/>
                <w:szCs w:val="14"/>
              </w:rPr>
              <w:t>Anhang</w:t>
            </w:r>
          </w:hyperlink>
        </w:p>
      </w:tc>
    </w:tr>
  </w:tbl>
  <w:p w:rsidR="00B36E70" w:rsidRPr="00ED16D6" w:rsidRDefault="00B36E70" w:rsidP="004D7F20">
    <w:pPr>
      <w:pStyle w:val="Footer"/>
      <w:rPr>
        <w:rStyle w:val="LogoportDoNotTranslate"/>
        <w:rFonts w:ascii="Calibri" w:hAnsi="Calibri" w:cs="Calibri"/>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633"/>
      <w:gridCol w:w="181"/>
      <w:gridCol w:w="1619"/>
      <w:gridCol w:w="182"/>
      <w:gridCol w:w="1618"/>
      <w:gridCol w:w="183"/>
      <w:gridCol w:w="1706"/>
      <w:gridCol w:w="185"/>
      <w:gridCol w:w="1885"/>
      <w:gridCol w:w="185"/>
      <w:gridCol w:w="1423"/>
    </w:tblGrid>
    <w:tr w:rsidR="00B36E70" w:rsidRPr="00D73341" w:rsidTr="00D73341">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7" w:right="-73"/>
            <w:jc w:val="center"/>
            <w:rPr>
              <w:rStyle w:val="LogoportDoNotTranslate"/>
              <w:rFonts w:ascii="Calibri" w:hAnsi="Calibri" w:cs="Calibri"/>
              <w:sz w:val="14"/>
              <w:szCs w:val="14"/>
            </w:rPr>
          </w:pPr>
          <w:hyperlink w:anchor="TableofContents" w:tooltip="Inhalt" w:history="1">
            <w:r w:rsidRPr="00F038DB">
              <w:rPr>
                <w:rStyle w:val="Hyperlink"/>
                <w:rFonts w:cs="Calibri"/>
                <w:sz w:val="14"/>
                <w:szCs w:val="14"/>
              </w:rPr>
              <w:t>Inhalt</w:t>
            </w:r>
          </w:hyperlink>
        </w:p>
      </w:tc>
      <w:tc>
        <w:tcPr>
          <w:tcW w:w="181"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1"/>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4"/>
            <w:jc w:val="center"/>
            <w:rPr>
              <w:rStyle w:val="LogoportDoNotTranslate"/>
              <w:rFonts w:ascii="Calibri" w:hAnsi="Calibri" w:cs="Calibri"/>
              <w:color w:val="0563C1"/>
              <w:sz w:val="14"/>
              <w:szCs w:val="14"/>
            </w:rPr>
          </w:pPr>
          <w:hyperlink w:anchor="Introduction" w:tooltip="Einleitung" w:history="1">
            <w:r w:rsidRPr="00F038DB">
              <w:rPr>
                <w:rStyle w:val="Hyperlink"/>
                <w:rFonts w:cs="Arial"/>
                <w:sz w:val="14"/>
                <w:szCs w:val="14"/>
              </w:rPr>
              <w:t>Einleitung</w:t>
            </w:r>
          </w:hyperlink>
        </w:p>
      </w:tc>
      <w:tc>
        <w:tcPr>
          <w:tcW w:w="182"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0"/>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5"/>
            <w:jc w:val="center"/>
            <w:rPr>
              <w:rStyle w:val="LogoportDoNotTranslate"/>
              <w:rFonts w:ascii="Calibri" w:hAnsi="Calibri" w:cs="Calibri"/>
              <w:color w:val="0563C1"/>
              <w:sz w:val="14"/>
              <w:szCs w:val="14"/>
              <w:u w:val="single"/>
            </w:rPr>
          </w:pPr>
          <w:hyperlink w:anchor="GeneralTerms" w:tooltip="Allgemeine Bestimmungen" w:history="1">
            <w:r w:rsidRPr="00F038DB">
              <w:rPr>
                <w:rStyle w:val="LogoportDoNotTranslate"/>
                <w:rFonts w:ascii="Calibri" w:hAnsi="Calibri" w:cs="Calibri"/>
                <w:color w:val="0563C1"/>
                <w:sz w:val="14"/>
                <w:szCs w:val="14"/>
                <w:u w:val="single"/>
              </w:rPr>
              <w:t xml:space="preserve">Allgemeine </w:t>
            </w:r>
            <w:r w:rsidRPr="00F038DB">
              <w:rPr>
                <w:rStyle w:val="LogoportDoNotTranslate"/>
                <w:rFonts w:ascii="Calibri" w:hAnsi="Calibri" w:cs="Calibri"/>
                <w:color w:val="0563C1"/>
                <w:sz w:val="14"/>
                <w:szCs w:val="14"/>
                <w:u w:val="single"/>
              </w:rPr>
              <w:br/>
              <w:t>Bestimmungen</w:t>
            </w:r>
          </w:hyperlink>
        </w:p>
      </w:tc>
      <w:tc>
        <w:tcPr>
          <w:tcW w:w="183"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9"/>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PrivacyandSecurityTerms" w:tooltip="Datenschutz- und Sicherheitsbestimmungen" w:history="1">
            <w:r w:rsidRPr="00F038DB">
              <w:rPr>
                <w:rStyle w:val="Hyperlink"/>
                <w:rFonts w:cs="Arial"/>
                <w:sz w:val="14"/>
                <w:szCs w:val="14"/>
              </w:rPr>
              <w:t>Datenschutz- und Sicherheitsbestimmungen</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OnlineServiceSpecificTerms" w:tooltip="Spezifische Bestimmungen für Onlinedienste" w:history="1">
            <w:r w:rsidRPr="00F038DB">
              <w:rPr>
                <w:rStyle w:val="Hyperlink"/>
                <w:rFonts w:cs="Arial"/>
                <w:sz w:val="14"/>
                <w:szCs w:val="14"/>
              </w:rPr>
              <w:t>Spezifische Bestimmungen für Onlinedienste</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6"/>
            <w:jc w:val="center"/>
            <w:rPr>
              <w:rStyle w:val="LogoportDoNotTranslate"/>
              <w:rFonts w:ascii="Calibri" w:hAnsi="Calibri" w:cs="Calibri"/>
              <w:sz w:val="14"/>
              <w:szCs w:val="14"/>
            </w:rPr>
          </w:pPr>
          <w:hyperlink w:anchor="Attachment1" w:tooltip="Anhang" w:history="1">
            <w:r w:rsidRPr="00F038DB">
              <w:rPr>
                <w:rStyle w:val="Hyperlink"/>
                <w:rFonts w:cs="Arial"/>
                <w:sz w:val="14"/>
                <w:szCs w:val="14"/>
              </w:rPr>
              <w:t>Anhang</w:t>
            </w:r>
          </w:hyperlink>
        </w:p>
      </w:tc>
    </w:tr>
  </w:tbl>
  <w:p w:rsidR="00B36E70" w:rsidRPr="00ED16D6" w:rsidRDefault="00B36E70" w:rsidP="004D7F20">
    <w:pPr>
      <w:pStyle w:val="Footer"/>
      <w:rPr>
        <w:rStyle w:val="LogoportDoNotTranslate"/>
        <w:rFonts w:ascii="Calibri" w:hAnsi="Calibri" w:cs="Calibri"/>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633"/>
      <w:gridCol w:w="181"/>
      <w:gridCol w:w="1619"/>
      <w:gridCol w:w="182"/>
      <w:gridCol w:w="1618"/>
      <w:gridCol w:w="183"/>
      <w:gridCol w:w="1706"/>
      <w:gridCol w:w="185"/>
      <w:gridCol w:w="1885"/>
      <w:gridCol w:w="185"/>
      <w:gridCol w:w="1423"/>
    </w:tblGrid>
    <w:tr w:rsidR="00B36E70" w:rsidRPr="00D73341" w:rsidTr="00D73341">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7" w:right="-73"/>
            <w:jc w:val="center"/>
            <w:rPr>
              <w:rStyle w:val="LogoportDoNotTranslate"/>
              <w:rFonts w:ascii="Calibri" w:hAnsi="Calibri" w:cs="Calibri"/>
              <w:sz w:val="14"/>
              <w:szCs w:val="14"/>
            </w:rPr>
          </w:pPr>
          <w:hyperlink w:anchor="TableofContents" w:tooltip="Inhalt" w:history="1">
            <w:r w:rsidRPr="00F038DB">
              <w:rPr>
                <w:rStyle w:val="Hyperlink"/>
                <w:rFonts w:cs="Calibri"/>
                <w:sz w:val="14"/>
                <w:szCs w:val="14"/>
              </w:rPr>
              <w:t>Inhalt</w:t>
            </w:r>
          </w:hyperlink>
        </w:p>
      </w:tc>
      <w:tc>
        <w:tcPr>
          <w:tcW w:w="181"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1"/>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4"/>
            <w:jc w:val="center"/>
            <w:rPr>
              <w:rStyle w:val="LogoportDoNotTranslate"/>
              <w:rFonts w:ascii="Calibri" w:hAnsi="Calibri" w:cs="Calibri"/>
              <w:color w:val="0563C1"/>
              <w:sz w:val="14"/>
              <w:szCs w:val="14"/>
            </w:rPr>
          </w:pPr>
          <w:hyperlink w:anchor="Introduction" w:tooltip="Einleitung" w:history="1">
            <w:r w:rsidRPr="00F038DB">
              <w:rPr>
                <w:rStyle w:val="Hyperlink"/>
                <w:rFonts w:cs="Arial"/>
                <w:sz w:val="14"/>
                <w:szCs w:val="14"/>
              </w:rPr>
              <w:t>Einleitung</w:t>
            </w:r>
          </w:hyperlink>
        </w:p>
      </w:tc>
      <w:tc>
        <w:tcPr>
          <w:tcW w:w="182"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0"/>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5"/>
            <w:jc w:val="center"/>
            <w:rPr>
              <w:rStyle w:val="LogoportDoNotTranslate"/>
              <w:rFonts w:ascii="Calibri" w:hAnsi="Calibri" w:cs="Calibri"/>
              <w:color w:val="0563C1"/>
              <w:sz w:val="14"/>
              <w:szCs w:val="14"/>
              <w:u w:val="single"/>
            </w:rPr>
          </w:pPr>
          <w:hyperlink w:anchor="GeneralTerms" w:tooltip="Allgemeine Bestimmungen" w:history="1">
            <w:r w:rsidRPr="00F038DB">
              <w:rPr>
                <w:rStyle w:val="LogoportDoNotTranslate"/>
                <w:rFonts w:ascii="Calibri" w:hAnsi="Calibri" w:cs="Calibri"/>
                <w:color w:val="0563C1"/>
                <w:sz w:val="14"/>
                <w:szCs w:val="14"/>
                <w:u w:val="single"/>
              </w:rPr>
              <w:t xml:space="preserve">Allgemeine </w:t>
            </w:r>
            <w:r w:rsidRPr="00F038DB">
              <w:rPr>
                <w:rStyle w:val="LogoportDoNotTranslate"/>
                <w:rFonts w:ascii="Calibri" w:hAnsi="Calibri" w:cs="Calibri"/>
                <w:color w:val="0563C1"/>
                <w:sz w:val="14"/>
                <w:szCs w:val="14"/>
                <w:u w:val="single"/>
              </w:rPr>
              <w:br/>
              <w:t>Bestimmungen</w:t>
            </w:r>
          </w:hyperlink>
        </w:p>
      </w:tc>
      <w:tc>
        <w:tcPr>
          <w:tcW w:w="183"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9"/>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PrivacyandSecurityTerms" w:tooltip="Datenschutz- und Sicherheitsbestimmungen" w:history="1">
            <w:r w:rsidRPr="00F038DB">
              <w:rPr>
                <w:rStyle w:val="Hyperlink"/>
                <w:rFonts w:cs="Arial"/>
                <w:sz w:val="14"/>
                <w:szCs w:val="14"/>
              </w:rPr>
              <w:t>Datenschutz- und Sicherheitsbestimmungen</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OnlineServiceSpecificTerms" w:tooltip="Spezifische Bestimmungen für Onlinedienste" w:history="1">
            <w:r w:rsidRPr="00F038DB">
              <w:rPr>
                <w:rStyle w:val="Hyperlink"/>
                <w:rFonts w:cs="Arial"/>
                <w:sz w:val="14"/>
                <w:szCs w:val="14"/>
              </w:rPr>
              <w:t>Spezifische Bestimmungen für Onlinedienste</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36E70" w:rsidRPr="00F038DB" w:rsidRDefault="00B36E70" w:rsidP="00D73341">
          <w:pPr>
            <w:pStyle w:val="ProductList-OfferingBody"/>
            <w:ind w:left="-72" w:right="-76"/>
            <w:jc w:val="center"/>
            <w:rPr>
              <w:rStyle w:val="LogoportDoNotTranslate"/>
              <w:rFonts w:ascii="Calibri" w:hAnsi="Calibri" w:cs="Calibri"/>
              <w:sz w:val="14"/>
              <w:szCs w:val="14"/>
            </w:rPr>
          </w:pPr>
          <w:hyperlink w:anchor="Attachment1" w:tooltip="Anhang" w:history="1">
            <w:r w:rsidRPr="00F038DB">
              <w:rPr>
                <w:rStyle w:val="Hyperlink"/>
                <w:rFonts w:cs="Arial"/>
                <w:sz w:val="14"/>
                <w:szCs w:val="14"/>
              </w:rPr>
              <w:t>Anhang</w:t>
            </w:r>
          </w:hyperlink>
        </w:p>
      </w:tc>
    </w:tr>
  </w:tbl>
  <w:p w:rsidR="00B36E70" w:rsidRPr="00ED16D6" w:rsidRDefault="00B36E70" w:rsidP="004D7F20">
    <w:pPr>
      <w:pStyle w:val="Footer"/>
      <w:rPr>
        <w:rStyle w:val="LogoportDoNotTranslate"/>
        <w:rFonts w:ascii="Calibri" w:hAnsi="Calibri" w:cs="Calibri"/>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633"/>
      <w:gridCol w:w="181"/>
      <w:gridCol w:w="1619"/>
      <w:gridCol w:w="182"/>
      <w:gridCol w:w="1618"/>
      <w:gridCol w:w="183"/>
      <w:gridCol w:w="1706"/>
      <w:gridCol w:w="185"/>
      <w:gridCol w:w="1885"/>
      <w:gridCol w:w="185"/>
      <w:gridCol w:w="1423"/>
    </w:tblGrid>
    <w:tr w:rsidR="00B36E70" w:rsidRPr="00D73341" w:rsidTr="00D73341">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7" w:right="-73"/>
            <w:jc w:val="center"/>
            <w:rPr>
              <w:rStyle w:val="LogoportDoNotTranslate"/>
              <w:rFonts w:ascii="Calibri" w:hAnsi="Calibri" w:cs="Calibri"/>
              <w:sz w:val="14"/>
              <w:szCs w:val="14"/>
            </w:rPr>
          </w:pPr>
          <w:hyperlink w:anchor="TableofContents" w:tooltip="Inhalt" w:history="1">
            <w:r w:rsidRPr="00F038DB">
              <w:rPr>
                <w:rStyle w:val="Hyperlink"/>
                <w:rFonts w:cs="Calibri"/>
                <w:sz w:val="14"/>
                <w:szCs w:val="14"/>
              </w:rPr>
              <w:t>Inhalt</w:t>
            </w:r>
          </w:hyperlink>
        </w:p>
      </w:tc>
      <w:tc>
        <w:tcPr>
          <w:tcW w:w="181"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1"/>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4"/>
            <w:jc w:val="center"/>
            <w:rPr>
              <w:rStyle w:val="LogoportDoNotTranslate"/>
              <w:rFonts w:ascii="Calibri" w:hAnsi="Calibri" w:cs="Calibri"/>
              <w:color w:val="0563C1"/>
              <w:sz w:val="14"/>
              <w:szCs w:val="14"/>
            </w:rPr>
          </w:pPr>
          <w:hyperlink w:anchor="Introduction" w:tooltip="Einleitung" w:history="1">
            <w:r w:rsidRPr="00F038DB">
              <w:rPr>
                <w:rStyle w:val="Hyperlink"/>
                <w:rFonts w:cs="Arial"/>
                <w:sz w:val="14"/>
                <w:szCs w:val="14"/>
              </w:rPr>
              <w:t>Einleitung</w:t>
            </w:r>
          </w:hyperlink>
        </w:p>
      </w:tc>
      <w:tc>
        <w:tcPr>
          <w:tcW w:w="182"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70"/>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5"/>
            <w:jc w:val="center"/>
            <w:rPr>
              <w:rStyle w:val="LogoportDoNotTranslate"/>
              <w:rFonts w:ascii="Calibri" w:hAnsi="Calibri" w:cs="Calibri"/>
              <w:color w:val="0563C1"/>
              <w:sz w:val="14"/>
              <w:szCs w:val="14"/>
              <w:u w:val="single"/>
            </w:rPr>
          </w:pPr>
          <w:hyperlink w:anchor="GeneralTerms" w:tooltip="Allgemeine Bestimmungen" w:history="1">
            <w:r w:rsidRPr="00F038DB">
              <w:rPr>
                <w:rStyle w:val="LogoportDoNotTranslate"/>
                <w:rFonts w:ascii="Calibri" w:hAnsi="Calibri" w:cs="Calibri"/>
                <w:color w:val="0563C1"/>
                <w:sz w:val="14"/>
                <w:szCs w:val="14"/>
                <w:u w:val="single"/>
              </w:rPr>
              <w:t xml:space="preserve">Allgemeine </w:t>
            </w:r>
            <w:r w:rsidRPr="00F038DB">
              <w:rPr>
                <w:rStyle w:val="LogoportDoNotTranslate"/>
                <w:rFonts w:ascii="Calibri" w:hAnsi="Calibri" w:cs="Calibri"/>
                <w:color w:val="0563C1"/>
                <w:sz w:val="14"/>
                <w:szCs w:val="14"/>
                <w:u w:val="single"/>
              </w:rPr>
              <w:br/>
              <w:t>Bestimmungen</w:t>
            </w:r>
          </w:hyperlink>
        </w:p>
      </w:tc>
      <w:tc>
        <w:tcPr>
          <w:tcW w:w="183"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9"/>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PrivacyandSecurityTerms" w:tooltip="Datenschutz- und Sicherheitsbestimmungen" w:history="1">
            <w:r w:rsidRPr="00F038DB">
              <w:rPr>
                <w:rStyle w:val="Hyperlink"/>
                <w:rFonts w:cs="Arial"/>
                <w:sz w:val="14"/>
                <w:szCs w:val="14"/>
              </w:rPr>
              <w:t>Datenschutz- und Sicherheitsbestimmungen</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36E70" w:rsidRPr="00F038DB" w:rsidRDefault="00B36E70" w:rsidP="00D73341">
          <w:pPr>
            <w:pStyle w:val="ProductList-OfferingBody"/>
            <w:ind w:left="-72" w:right="-77"/>
            <w:jc w:val="center"/>
            <w:rPr>
              <w:rStyle w:val="LogoportDoNotTranslate"/>
              <w:rFonts w:ascii="Calibri" w:hAnsi="Calibri" w:cs="Calibri"/>
              <w:sz w:val="14"/>
              <w:szCs w:val="14"/>
            </w:rPr>
          </w:pPr>
          <w:hyperlink w:anchor="OnlineServiceSpecificTerms" w:tooltip="Spezifische Bestimmungen für Onlinedienste" w:history="1">
            <w:r w:rsidRPr="00F038DB">
              <w:rPr>
                <w:rStyle w:val="Hyperlink"/>
                <w:rFonts w:cs="Arial"/>
                <w:sz w:val="14"/>
                <w:szCs w:val="14"/>
              </w:rPr>
              <w:t>Spezifische Bestimmungen für Onlinedienste</w:t>
            </w:r>
          </w:hyperlink>
        </w:p>
      </w:tc>
      <w:tc>
        <w:tcPr>
          <w:tcW w:w="185" w:type="dxa"/>
          <w:tcBorders>
            <w:top w:val="nil"/>
            <w:left w:val="single" w:sz="4" w:space="0" w:color="BFBFBF"/>
            <w:bottom w:val="nil"/>
            <w:right w:val="single" w:sz="4" w:space="0" w:color="BFBFBF"/>
          </w:tcBorders>
          <w:vAlign w:val="center"/>
        </w:tcPr>
        <w:p w:rsidR="00B36E70" w:rsidRPr="00F038DB" w:rsidRDefault="00B36E70" w:rsidP="00D73341">
          <w:pPr>
            <w:pStyle w:val="ProductList-OfferingBody"/>
            <w:ind w:left="-67"/>
            <w:jc w:val="center"/>
            <w:rPr>
              <w:rStyle w:val="LogoportDoNotTranslate"/>
              <w:rFonts w:ascii="Calibri" w:hAnsi="Calibri" w:cs="Calibri"/>
              <w:sz w:val="14"/>
              <w:szCs w:val="14"/>
            </w:rPr>
          </w:pPr>
          <w:r w:rsidRPr="00F038DB">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36E70" w:rsidRPr="00F038DB" w:rsidRDefault="00B36E70" w:rsidP="00D73341">
          <w:pPr>
            <w:pStyle w:val="ProductList-OfferingBody"/>
            <w:ind w:left="-72" w:right="-76"/>
            <w:jc w:val="center"/>
            <w:rPr>
              <w:rStyle w:val="LogoportDoNotTranslate"/>
              <w:rFonts w:ascii="Calibri" w:hAnsi="Calibri" w:cs="Calibri"/>
              <w:sz w:val="14"/>
              <w:szCs w:val="14"/>
            </w:rPr>
          </w:pPr>
          <w:hyperlink w:anchor="Attachment1" w:tooltip="Anhang" w:history="1">
            <w:r w:rsidRPr="00F038DB">
              <w:rPr>
                <w:rStyle w:val="Hyperlink"/>
                <w:rFonts w:cs="Arial"/>
                <w:sz w:val="14"/>
                <w:szCs w:val="14"/>
              </w:rPr>
              <w:t>Anhang</w:t>
            </w:r>
          </w:hyperlink>
        </w:p>
      </w:tc>
    </w:tr>
  </w:tbl>
  <w:p w:rsidR="00B36E70" w:rsidRPr="00ED16D6" w:rsidRDefault="00B36E70" w:rsidP="004D7F20">
    <w:pPr>
      <w:pStyle w:val="Footer"/>
      <w:rPr>
        <w:rStyle w:val="LogoportDoNotTranslate"/>
        <w:rFonts w:ascii="Calibri" w:hAnsi="Calibri" w:cs="Calibr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302E" w:rsidRDefault="00D9302E" w:rsidP="009A573F">
      <w:pPr>
        <w:spacing w:after="0" w:line="240" w:lineRule="auto"/>
      </w:pPr>
      <w:r>
        <w:separator/>
      </w:r>
    </w:p>
  </w:footnote>
  <w:footnote w:type="continuationSeparator" w:id="0">
    <w:p w:rsidR="00D9302E" w:rsidRDefault="00D9302E" w:rsidP="009A573F">
      <w:pPr>
        <w:spacing w:after="0" w:line="240" w:lineRule="auto"/>
      </w:pPr>
      <w:r>
        <w:continuationSeparator/>
      </w:r>
    </w:p>
  </w:footnote>
  <w:footnote w:type="continuationNotice" w:id="1">
    <w:p w:rsidR="00D9302E" w:rsidRDefault="00D9302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72DB" w:rsidRDefault="00F472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72DB" w:rsidRDefault="00F472D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E70" w:rsidRPr="004D27A6" w:rsidRDefault="00B36E70" w:rsidP="004D27A6">
    <w:pPr>
      <w:pStyle w:val="ProductList-Body"/>
      <w:tabs>
        <w:tab w:val="right" w:pos="10800"/>
      </w:tabs>
      <w:rPr>
        <w:color w:val="404040"/>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E70" w:rsidRPr="002C0003" w:rsidRDefault="00B36E70" w:rsidP="00547269">
    <w:pPr>
      <w:pStyle w:val="ProductList-Body"/>
      <w:tabs>
        <w:tab w:val="right" w:pos="10800"/>
      </w:tabs>
      <w:spacing w:before="20" w:after="20"/>
      <w:rPr>
        <w:color w:val="404040"/>
        <w:sz w:val="16"/>
        <w:szCs w:val="16"/>
      </w:rPr>
    </w:pPr>
    <w:r w:rsidRPr="002C0003">
      <w:rPr>
        <w:color w:val="404040"/>
        <w:sz w:val="16"/>
        <w:szCs w:val="16"/>
      </w:rPr>
      <w:t>Microsoft-Volume</w:t>
    </w:r>
    <w:r>
      <w:rPr>
        <w:color w:val="404040"/>
        <w:sz w:val="16"/>
        <w:szCs w:val="16"/>
      </w:rPr>
      <w:t xml:space="preserve"> Licensing</w:t>
    </w:r>
    <w:r w:rsidRPr="002C0003">
      <w:rPr>
        <w:color w:val="404040"/>
        <w:sz w:val="16"/>
        <w:szCs w:val="16"/>
      </w:rPr>
      <w:t xml:space="preserve">– </w:t>
    </w:r>
    <w:r>
      <w:rPr>
        <w:color w:val="404040"/>
        <w:sz w:val="16"/>
        <w:szCs w:val="16"/>
      </w:rPr>
      <w:t>Bestimmungen</w:t>
    </w:r>
    <w:r w:rsidRPr="002C0003">
      <w:rPr>
        <w:color w:val="404040"/>
        <w:sz w:val="16"/>
        <w:szCs w:val="16"/>
      </w:rPr>
      <w:t xml:space="preserve"> für Onlinedienste (Deutsch, Oktober 2014)</w:t>
    </w:r>
    <w:r w:rsidRPr="002C0003">
      <w:rPr>
        <w:color w:val="404040"/>
        <w:sz w:val="16"/>
        <w:szCs w:val="16"/>
      </w:rPr>
      <w:tab/>
    </w:r>
    <w:r w:rsidRPr="002C0003">
      <w:rPr>
        <w:color w:val="404040"/>
        <w:sz w:val="16"/>
        <w:szCs w:val="16"/>
      </w:rPr>
      <w:fldChar w:fldCharType="begin"/>
    </w:r>
    <w:r w:rsidRPr="002C0003">
      <w:rPr>
        <w:color w:val="404040"/>
        <w:sz w:val="16"/>
        <w:szCs w:val="16"/>
      </w:rPr>
      <w:instrText xml:space="preserve"> PAGE   \* MERGEFORMAT </w:instrText>
    </w:r>
    <w:r w:rsidRPr="002C0003">
      <w:rPr>
        <w:color w:val="404040"/>
        <w:sz w:val="16"/>
        <w:szCs w:val="16"/>
      </w:rPr>
      <w:fldChar w:fldCharType="separate"/>
    </w:r>
    <w:r w:rsidR="003F0C42">
      <w:rPr>
        <w:noProof/>
        <w:color w:val="404040"/>
        <w:sz w:val="16"/>
        <w:szCs w:val="16"/>
      </w:rPr>
      <w:t>21</w:t>
    </w:r>
    <w:r w:rsidRPr="002C0003">
      <w:rPr>
        <w:color w:val="404040"/>
        <w:sz w:val="16"/>
        <w:szCs w:val="16"/>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E70" w:rsidRPr="002C0003" w:rsidRDefault="00B36E70" w:rsidP="00547269">
    <w:pPr>
      <w:pStyle w:val="ProductList-Body"/>
      <w:tabs>
        <w:tab w:val="right" w:pos="10800"/>
      </w:tabs>
      <w:spacing w:before="20" w:after="20"/>
      <w:rPr>
        <w:color w:val="404040"/>
        <w:sz w:val="16"/>
        <w:szCs w:val="16"/>
      </w:rPr>
    </w:pPr>
    <w:r w:rsidRPr="002C0003">
      <w:rPr>
        <w:color w:val="404040"/>
        <w:sz w:val="16"/>
        <w:szCs w:val="16"/>
      </w:rPr>
      <w:t>Microsoft-Volume</w:t>
    </w:r>
    <w:r>
      <w:rPr>
        <w:color w:val="404040"/>
        <w:sz w:val="16"/>
        <w:szCs w:val="16"/>
      </w:rPr>
      <w:t xml:space="preserve"> Licensing</w:t>
    </w:r>
    <w:r w:rsidRPr="002C0003">
      <w:rPr>
        <w:color w:val="404040"/>
        <w:sz w:val="16"/>
        <w:szCs w:val="16"/>
      </w:rPr>
      <w:t xml:space="preserve">– </w:t>
    </w:r>
    <w:r>
      <w:rPr>
        <w:color w:val="404040"/>
        <w:sz w:val="16"/>
        <w:szCs w:val="16"/>
      </w:rPr>
      <w:t>Bestimmungen</w:t>
    </w:r>
    <w:r w:rsidRPr="002C0003">
      <w:rPr>
        <w:color w:val="404040"/>
        <w:sz w:val="16"/>
        <w:szCs w:val="16"/>
      </w:rPr>
      <w:t xml:space="preserve"> für Onlinedienste (Deutsch, Oktober 2014)</w:t>
    </w:r>
    <w:r w:rsidRPr="002C0003">
      <w:rPr>
        <w:color w:val="404040"/>
        <w:sz w:val="16"/>
        <w:szCs w:val="16"/>
      </w:rPr>
      <w:tab/>
    </w:r>
    <w:r w:rsidRPr="002C0003">
      <w:rPr>
        <w:color w:val="404040"/>
        <w:sz w:val="16"/>
        <w:szCs w:val="16"/>
      </w:rPr>
      <w:fldChar w:fldCharType="begin"/>
    </w:r>
    <w:r w:rsidRPr="002C0003">
      <w:rPr>
        <w:color w:val="404040"/>
        <w:sz w:val="16"/>
        <w:szCs w:val="16"/>
      </w:rPr>
      <w:instrText xml:space="preserve"> PAGE   \* MERGEFORMAT </w:instrText>
    </w:r>
    <w:r w:rsidRPr="002C0003">
      <w:rPr>
        <w:color w:val="404040"/>
        <w:sz w:val="16"/>
        <w:szCs w:val="16"/>
      </w:rPr>
      <w:fldChar w:fldCharType="separate"/>
    </w:r>
    <w:r w:rsidR="003F0C42">
      <w:rPr>
        <w:noProof/>
        <w:color w:val="404040"/>
        <w:sz w:val="16"/>
        <w:szCs w:val="16"/>
      </w:rPr>
      <w:t>2</w:t>
    </w:r>
    <w:r w:rsidRPr="002C0003">
      <w:rPr>
        <w:color w:val="404040"/>
        <w:sz w:val="16"/>
        <w:szCs w:val="1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RXEfzTUM6Ux5RLYv+1xnhjJ1o8xuEG8AaUkP2gH18WXquMvqRjN/eZlvMcTlSMRvHt74OS672eCeqZ6w5ebY/A==" w:salt="6/QA2EmUR5aQgKaJKTIVOA=="/>
  <w:defaultTabStop w:val="720"/>
  <w:hyphenationZone w:val="425"/>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lastRevisionsView" w:val="0"/>
  </w:docVars>
  <w:rsids>
    <w:rsidRoot w:val="00F20AFE"/>
    <w:rsid w:val="00000AE0"/>
    <w:rsid w:val="00000C49"/>
    <w:rsid w:val="00003609"/>
    <w:rsid w:val="00004BE2"/>
    <w:rsid w:val="00005262"/>
    <w:rsid w:val="000056F6"/>
    <w:rsid w:val="00005A01"/>
    <w:rsid w:val="00006F1B"/>
    <w:rsid w:val="0000793E"/>
    <w:rsid w:val="00007D40"/>
    <w:rsid w:val="000106A8"/>
    <w:rsid w:val="00011AD1"/>
    <w:rsid w:val="0001202E"/>
    <w:rsid w:val="00012831"/>
    <w:rsid w:val="000143E9"/>
    <w:rsid w:val="00016345"/>
    <w:rsid w:val="00017A5A"/>
    <w:rsid w:val="000239F3"/>
    <w:rsid w:val="00024B72"/>
    <w:rsid w:val="0002605D"/>
    <w:rsid w:val="00026DDE"/>
    <w:rsid w:val="0002719C"/>
    <w:rsid w:val="00027CCB"/>
    <w:rsid w:val="00027CFF"/>
    <w:rsid w:val="00031223"/>
    <w:rsid w:val="00031D85"/>
    <w:rsid w:val="000346AC"/>
    <w:rsid w:val="00035F22"/>
    <w:rsid w:val="00036242"/>
    <w:rsid w:val="0003651D"/>
    <w:rsid w:val="0004286B"/>
    <w:rsid w:val="00043BAC"/>
    <w:rsid w:val="000443FB"/>
    <w:rsid w:val="000469DE"/>
    <w:rsid w:val="000472C9"/>
    <w:rsid w:val="000476AA"/>
    <w:rsid w:val="00047D1C"/>
    <w:rsid w:val="00050BC6"/>
    <w:rsid w:val="00055772"/>
    <w:rsid w:val="00055F19"/>
    <w:rsid w:val="00056138"/>
    <w:rsid w:val="00056522"/>
    <w:rsid w:val="00056FAF"/>
    <w:rsid w:val="00061AE6"/>
    <w:rsid w:val="00061F6E"/>
    <w:rsid w:val="000629E2"/>
    <w:rsid w:val="00065FF8"/>
    <w:rsid w:val="000670D7"/>
    <w:rsid w:val="00067B4B"/>
    <w:rsid w:val="00071142"/>
    <w:rsid w:val="00071A79"/>
    <w:rsid w:val="00071C2C"/>
    <w:rsid w:val="0007363B"/>
    <w:rsid w:val="00074726"/>
    <w:rsid w:val="0007491F"/>
    <w:rsid w:val="00075359"/>
    <w:rsid w:val="0007551D"/>
    <w:rsid w:val="000756A2"/>
    <w:rsid w:val="0007761C"/>
    <w:rsid w:val="00077A6B"/>
    <w:rsid w:val="00077B97"/>
    <w:rsid w:val="00081149"/>
    <w:rsid w:val="00081380"/>
    <w:rsid w:val="00081AFB"/>
    <w:rsid w:val="00081CA7"/>
    <w:rsid w:val="0008307A"/>
    <w:rsid w:val="00083FE8"/>
    <w:rsid w:val="000840B6"/>
    <w:rsid w:val="00085D21"/>
    <w:rsid w:val="000860A8"/>
    <w:rsid w:val="00086F17"/>
    <w:rsid w:val="000872EB"/>
    <w:rsid w:val="00087BC2"/>
    <w:rsid w:val="0009164C"/>
    <w:rsid w:val="00091B44"/>
    <w:rsid w:val="000953A4"/>
    <w:rsid w:val="0009588E"/>
    <w:rsid w:val="000A03D2"/>
    <w:rsid w:val="000A062D"/>
    <w:rsid w:val="000A0CD9"/>
    <w:rsid w:val="000A1035"/>
    <w:rsid w:val="000A2E8E"/>
    <w:rsid w:val="000A30D6"/>
    <w:rsid w:val="000A42FE"/>
    <w:rsid w:val="000A5DC6"/>
    <w:rsid w:val="000A5E8A"/>
    <w:rsid w:val="000A5FA1"/>
    <w:rsid w:val="000A6BE5"/>
    <w:rsid w:val="000B02C9"/>
    <w:rsid w:val="000B04C0"/>
    <w:rsid w:val="000B0627"/>
    <w:rsid w:val="000B07BF"/>
    <w:rsid w:val="000B1561"/>
    <w:rsid w:val="000B2305"/>
    <w:rsid w:val="000C0ACA"/>
    <w:rsid w:val="000C2DAF"/>
    <w:rsid w:val="000C2E6F"/>
    <w:rsid w:val="000C457F"/>
    <w:rsid w:val="000C4BD0"/>
    <w:rsid w:val="000C5490"/>
    <w:rsid w:val="000C59E5"/>
    <w:rsid w:val="000C6732"/>
    <w:rsid w:val="000D0D5F"/>
    <w:rsid w:val="000D118A"/>
    <w:rsid w:val="000D5752"/>
    <w:rsid w:val="000D6060"/>
    <w:rsid w:val="000E08C0"/>
    <w:rsid w:val="000E1DEC"/>
    <w:rsid w:val="000E3993"/>
    <w:rsid w:val="000E3B12"/>
    <w:rsid w:val="000E663B"/>
    <w:rsid w:val="000E6920"/>
    <w:rsid w:val="000E6ED8"/>
    <w:rsid w:val="000F0057"/>
    <w:rsid w:val="000F032B"/>
    <w:rsid w:val="000F0F36"/>
    <w:rsid w:val="000F265C"/>
    <w:rsid w:val="000F30AA"/>
    <w:rsid w:val="000F30F7"/>
    <w:rsid w:val="000F4166"/>
    <w:rsid w:val="000F530D"/>
    <w:rsid w:val="000F55AE"/>
    <w:rsid w:val="000F56C8"/>
    <w:rsid w:val="00100A57"/>
    <w:rsid w:val="0010172F"/>
    <w:rsid w:val="00103924"/>
    <w:rsid w:val="00103A59"/>
    <w:rsid w:val="0010435E"/>
    <w:rsid w:val="00104DBC"/>
    <w:rsid w:val="00104E6A"/>
    <w:rsid w:val="0010587C"/>
    <w:rsid w:val="00105B4C"/>
    <w:rsid w:val="00107F31"/>
    <w:rsid w:val="001111A7"/>
    <w:rsid w:val="001151DB"/>
    <w:rsid w:val="0011761C"/>
    <w:rsid w:val="00122096"/>
    <w:rsid w:val="001223BC"/>
    <w:rsid w:val="00122403"/>
    <w:rsid w:val="001226EF"/>
    <w:rsid w:val="00123E7D"/>
    <w:rsid w:val="001242BA"/>
    <w:rsid w:val="00125581"/>
    <w:rsid w:val="00125CBE"/>
    <w:rsid w:val="0012656F"/>
    <w:rsid w:val="00127198"/>
    <w:rsid w:val="00127C5F"/>
    <w:rsid w:val="001320C2"/>
    <w:rsid w:val="00132A99"/>
    <w:rsid w:val="00134219"/>
    <w:rsid w:val="00134B64"/>
    <w:rsid w:val="00134DA1"/>
    <w:rsid w:val="00134EF8"/>
    <w:rsid w:val="00135412"/>
    <w:rsid w:val="00135786"/>
    <w:rsid w:val="001363F4"/>
    <w:rsid w:val="00136452"/>
    <w:rsid w:val="00136E25"/>
    <w:rsid w:val="00137E59"/>
    <w:rsid w:val="00140900"/>
    <w:rsid w:val="00140DE1"/>
    <w:rsid w:val="00140EE1"/>
    <w:rsid w:val="0014192B"/>
    <w:rsid w:val="00141936"/>
    <w:rsid w:val="001472FC"/>
    <w:rsid w:val="00150F54"/>
    <w:rsid w:val="001517A6"/>
    <w:rsid w:val="001517E0"/>
    <w:rsid w:val="00152ADA"/>
    <w:rsid w:val="00154ACE"/>
    <w:rsid w:val="00154BA3"/>
    <w:rsid w:val="001565A5"/>
    <w:rsid w:val="00156B7F"/>
    <w:rsid w:val="00156C1C"/>
    <w:rsid w:val="001602AC"/>
    <w:rsid w:val="001602F8"/>
    <w:rsid w:val="00160CB8"/>
    <w:rsid w:val="00161A37"/>
    <w:rsid w:val="0016216A"/>
    <w:rsid w:val="00165F81"/>
    <w:rsid w:val="00166039"/>
    <w:rsid w:val="00167128"/>
    <w:rsid w:val="00167443"/>
    <w:rsid w:val="0017077B"/>
    <w:rsid w:val="00171148"/>
    <w:rsid w:val="00171B2E"/>
    <w:rsid w:val="00172A00"/>
    <w:rsid w:val="00174C82"/>
    <w:rsid w:val="00175B93"/>
    <w:rsid w:val="00176EFE"/>
    <w:rsid w:val="00177004"/>
    <w:rsid w:val="0017786C"/>
    <w:rsid w:val="00183408"/>
    <w:rsid w:val="001838D6"/>
    <w:rsid w:val="00183EBF"/>
    <w:rsid w:val="00185845"/>
    <w:rsid w:val="00185A8B"/>
    <w:rsid w:val="00186BF6"/>
    <w:rsid w:val="00191210"/>
    <w:rsid w:val="001922E6"/>
    <w:rsid w:val="00192660"/>
    <w:rsid w:val="001A0100"/>
    <w:rsid w:val="001A0977"/>
    <w:rsid w:val="001A0CFD"/>
    <w:rsid w:val="001A19E0"/>
    <w:rsid w:val="001A2A28"/>
    <w:rsid w:val="001B02CF"/>
    <w:rsid w:val="001B07B6"/>
    <w:rsid w:val="001B1C85"/>
    <w:rsid w:val="001B25E0"/>
    <w:rsid w:val="001B3454"/>
    <w:rsid w:val="001B351E"/>
    <w:rsid w:val="001B37A1"/>
    <w:rsid w:val="001B44F9"/>
    <w:rsid w:val="001B4887"/>
    <w:rsid w:val="001B497B"/>
    <w:rsid w:val="001B4F20"/>
    <w:rsid w:val="001B537D"/>
    <w:rsid w:val="001C09BD"/>
    <w:rsid w:val="001C3EDC"/>
    <w:rsid w:val="001C3F2C"/>
    <w:rsid w:val="001D0765"/>
    <w:rsid w:val="001D0B44"/>
    <w:rsid w:val="001D1AA6"/>
    <w:rsid w:val="001D2A76"/>
    <w:rsid w:val="001D494D"/>
    <w:rsid w:val="001D4F66"/>
    <w:rsid w:val="001D7B46"/>
    <w:rsid w:val="001D7C37"/>
    <w:rsid w:val="001E1D03"/>
    <w:rsid w:val="001E31EC"/>
    <w:rsid w:val="001E32A0"/>
    <w:rsid w:val="001E3855"/>
    <w:rsid w:val="001E5012"/>
    <w:rsid w:val="001E725E"/>
    <w:rsid w:val="001F243D"/>
    <w:rsid w:val="001F2DDF"/>
    <w:rsid w:val="001F3204"/>
    <w:rsid w:val="001F3F1F"/>
    <w:rsid w:val="001F4069"/>
    <w:rsid w:val="001F474F"/>
    <w:rsid w:val="001F47DC"/>
    <w:rsid w:val="001F4A2A"/>
    <w:rsid w:val="0020319C"/>
    <w:rsid w:val="00205A59"/>
    <w:rsid w:val="00206C82"/>
    <w:rsid w:val="00210530"/>
    <w:rsid w:val="00210D38"/>
    <w:rsid w:val="00212A48"/>
    <w:rsid w:val="002130D2"/>
    <w:rsid w:val="00215536"/>
    <w:rsid w:val="00215C45"/>
    <w:rsid w:val="002160E0"/>
    <w:rsid w:val="00216B4F"/>
    <w:rsid w:val="00217724"/>
    <w:rsid w:val="002203AF"/>
    <w:rsid w:val="00220A60"/>
    <w:rsid w:val="00221CBE"/>
    <w:rsid w:val="002234C5"/>
    <w:rsid w:val="00224DEB"/>
    <w:rsid w:val="00232755"/>
    <w:rsid w:val="002334B4"/>
    <w:rsid w:val="00233C87"/>
    <w:rsid w:val="00234095"/>
    <w:rsid w:val="002346B6"/>
    <w:rsid w:val="00235556"/>
    <w:rsid w:val="00236209"/>
    <w:rsid w:val="00236AEC"/>
    <w:rsid w:val="00237725"/>
    <w:rsid w:val="00237C71"/>
    <w:rsid w:val="002416BA"/>
    <w:rsid w:val="00241D62"/>
    <w:rsid w:val="00241F8F"/>
    <w:rsid w:val="00241FA0"/>
    <w:rsid w:val="002424DB"/>
    <w:rsid w:val="00242A7E"/>
    <w:rsid w:val="002449E9"/>
    <w:rsid w:val="00245C71"/>
    <w:rsid w:val="0024719F"/>
    <w:rsid w:val="0024796A"/>
    <w:rsid w:val="002502BF"/>
    <w:rsid w:val="0025267B"/>
    <w:rsid w:val="00253EAE"/>
    <w:rsid w:val="00254CA5"/>
    <w:rsid w:val="00255964"/>
    <w:rsid w:val="00255DAE"/>
    <w:rsid w:val="00256427"/>
    <w:rsid w:val="00256F64"/>
    <w:rsid w:val="002634DC"/>
    <w:rsid w:val="002647B9"/>
    <w:rsid w:val="00266EE8"/>
    <w:rsid w:val="00267734"/>
    <w:rsid w:val="002678A8"/>
    <w:rsid w:val="0026799F"/>
    <w:rsid w:val="002706DB"/>
    <w:rsid w:val="00270CD4"/>
    <w:rsid w:val="00271353"/>
    <w:rsid w:val="00272578"/>
    <w:rsid w:val="002731FA"/>
    <w:rsid w:val="00273364"/>
    <w:rsid w:val="002743C4"/>
    <w:rsid w:val="00274A9F"/>
    <w:rsid w:val="00280709"/>
    <w:rsid w:val="00282601"/>
    <w:rsid w:val="0028263A"/>
    <w:rsid w:val="00285240"/>
    <w:rsid w:val="00287117"/>
    <w:rsid w:val="00287213"/>
    <w:rsid w:val="002879FE"/>
    <w:rsid w:val="00291105"/>
    <w:rsid w:val="00292E35"/>
    <w:rsid w:val="002931C3"/>
    <w:rsid w:val="002940E2"/>
    <w:rsid w:val="002949FD"/>
    <w:rsid w:val="002961B4"/>
    <w:rsid w:val="002967A3"/>
    <w:rsid w:val="002967C1"/>
    <w:rsid w:val="00297098"/>
    <w:rsid w:val="0029712D"/>
    <w:rsid w:val="002A0DBA"/>
    <w:rsid w:val="002A1160"/>
    <w:rsid w:val="002A23FB"/>
    <w:rsid w:val="002A35C6"/>
    <w:rsid w:val="002A3B84"/>
    <w:rsid w:val="002A3FFE"/>
    <w:rsid w:val="002A6167"/>
    <w:rsid w:val="002A700D"/>
    <w:rsid w:val="002B123C"/>
    <w:rsid w:val="002B2BCB"/>
    <w:rsid w:val="002B3968"/>
    <w:rsid w:val="002B4B19"/>
    <w:rsid w:val="002B58E3"/>
    <w:rsid w:val="002B686B"/>
    <w:rsid w:val="002B6918"/>
    <w:rsid w:val="002B789A"/>
    <w:rsid w:val="002C0003"/>
    <w:rsid w:val="002C0221"/>
    <w:rsid w:val="002C06A7"/>
    <w:rsid w:val="002C0AB4"/>
    <w:rsid w:val="002C2D16"/>
    <w:rsid w:val="002C3399"/>
    <w:rsid w:val="002C4856"/>
    <w:rsid w:val="002C6705"/>
    <w:rsid w:val="002C7AA2"/>
    <w:rsid w:val="002D02E8"/>
    <w:rsid w:val="002D3658"/>
    <w:rsid w:val="002D77A2"/>
    <w:rsid w:val="002D7FDC"/>
    <w:rsid w:val="002E028F"/>
    <w:rsid w:val="002E06FF"/>
    <w:rsid w:val="002E0A31"/>
    <w:rsid w:val="002E134C"/>
    <w:rsid w:val="002E1622"/>
    <w:rsid w:val="002E1F83"/>
    <w:rsid w:val="002E202B"/>
    <w:rsid w:val="002E3A5E"/>
    <w:rsid w:val="002E402E"/>
    <w:rsid w:val="002E6A88"/>
    <w:rsid w:val="002E6E58"/>
    <w:rsid w:val="002E7154"/>
    <w:rsid w:val="002F06B0"/>
    <w:rsid w:val="002F0E74"/>
    <w:rsid w:val="002F275E"/>
    <w:rsid w:val="002F3019"/>
    <w:rsid w:val="002F3FF6"/>
    <w:rsid w:val="002F4A58"/>
    <w:rsid w:val="002F6407"/>
    <w:rsid w:val="002F675C"/>
    <w:rsid w:val="00301068"/>
    <w:rsid w:val="003035AD"/>
    <w:rsid w:val="00303A6C"/>
    <w:rsid w:val="00305488"/>
    <w:rsid w:val="00306B0E"/>
    <w:rsid w:val="00307930"/>
    <w:rsid w:val="00307E17"/>
    <w:rsid w:val="003118A7"/>
    <w:rsid w:val="0031244A"/>
    <w:rsid w:val="00312DB2"/>
    <w:rsid w:val="00312F3B"/>
    <w:rsid w:val="003134A1"/>
    <w:rsid w:val="0031516B"/>
    <w:rsid w:val="00315211"/>
    <w:rsid w:val="00316CEB"/>
    <w:rsid w:val="003215C9"/>
    <w:rsid w:val="00321BDB"/>
    <w:rsid w:val="003236C3"/>
    <w:rsid w:val="00323D37"/>
    <w:rsid w:val="0032406C"/>
    <w:rsid w:val="00326B65"/>
    <w:rsid w:val="00332075"/>
    <w:rsid w:val="00332DA2"/>
    <w:rsid w:val="00335E43"/>
    <w:rsid w:val="00337870"/>
    <w:rsid w:val="00337B8C"/>
    <w:rsid w:val="00340AF6"/>
    <w:rsid w:val="00343417"/>
    <w:rsid w:val="00353E4C"/>
    <w:rsid w:val="00354BB8"/>
    <w:rsid w:val="00354D09"/>
    <w:rsid w:val="00354FA8"/>
    <w:rsid w:val="00355F41"/>
    <w:rsid w:val="00356011"/>
    <w:rsid w:val="003563BD"/>
    <w:rsid w:val="00362758"/>
    <w:rsid w:val="003632D9"/>
    <w:rsid w:val="00366C8E"/>
    <w:rsid w:val="0036780D"/>
    <w:rsid w:val="003702A6"/>
    <w:rsid w:val="00371CE9"/>
    <w:rsid w:val="0037484F"/>
    <w:rsid w:val="003812FE"/>
    <w:rsid w:val="003835AC"/>
    <w:rsid w:val="003856AA"/>
    <w:rsid w:val="0038794D"/>
    <w:rsid w:val="003904F0"/>
    <w:rsid w:val="00392282"/>
    <w:rsid w:val="003943BE"/>
    <w:rsid w:val="003945F4"/>
    <w:rsid w:val="00395C00"/>
    <w:rsid w:val="00395CB2"/>
    <w:rsid w:val="00395D5F"/>
    <w:rsid w:val="0039784E"/>
    <w:rsid w:val="00397C1E"/>
    <w:rsid w:val="00397EB0"/>
    <w:rsid w:val="003A0DB6"/>
    <w:rsid w:val="003A3347"/>
    <w:rsid w:val="003A35A1"/>
    <w:rsid w:val="003A53F8"/>
    <w:rsid w:val="003A5EE9"/>
    <w:rsid w:val="003B0439"/>
    <w:rsid w:val="003B1885"/>
    <w:rsid w:val="003B3D92"/>
    <w:rsid w:val="003B3EBC"/>
    <w:rsid w:val="003B4047"/>
    <w:rsid w:val="003B4E91"/>
    <w:rsid w:val="003B7142"/>
    <w:rsid w:val="003B7A21"/>
    <w:rsid w:val="003C054B"/>
    <w:rsid w:val="003C13A0"/>
    <w:rsid w:val="003C2ECB"/>
    <w:rsid w:val="003C35CD"/>
    <w:rsid w:val="003C399B"/>
    <w:rsid w:val="003C3B94"/>
    <w:rsid w:val="003C4A12"/>
    <w:rsid w:val="003C6496"/>
    <w:rsid w:val="003C6E3E"/>
    <w:rsid w:val="003C75FF"/>
    <w:rsid w:val="003C7A47"/>
    <w:rsid w:val="003D0497"/>
    <w:rsid w:val="003D0D19"/>
    <w:rsid w:val="003D0FFA"/>
    <w:rsid w:val="003D1789"/>
    <w:rsid w:val="003D1E51"/>
    <w:rsid w:val="003D1FEB"/>
    <w:rsid w:val="003D22CB"/>
    <w:rsid w:val="003D396A"/>
    <w:rsid w:val="003D6401"/>
    <w:rsid w:val="003D6527"/>
    <w:rsid w:val="003D66C9"/>
    <w:rsid w:val="003D7A21"/>
    <w:rsid w:val="003E13EF"/>
    <w:rsid w:val="003E1568"/>
    <w:rsid w:val="003E21BC"/>
    <w:rsid w:val="003E3526"/>
    <w:rsid w:val="003F033D"/>
    <w:rsid w:val="003F06F1"/>
    <w:rsid w:val="003F0C42"/>
    <w:rsid w:val="003F1ACC"/>
    <w:rsid w:val="003F29FD"/>
    <w:rsid w:val="003F2F03"/>
    <w:rsid w:val="003F3078"/>
    <w:rsid w:val="003F3FAE"/>
    <w:rsid w:val="003F427E"/>
    <w:rsid w:val="003F494D"/>
    <w:rsid w:val="003F5B23"/>
    <w:rsid w:val="003F6A8B"/>
    <w:rsid w:val="003F6AB7"/>
    <w:rsid w:val="003F6BD4"/>
    <w:rsid w:val="003F6CEE"/>
    <w:rsid w:val="003F76F8"/>
    <w:rsid w:val="00401D8D"/>
    <w:rsid w:val="00401EF3"/>
    <w:rsid w:val="0040275F"/>
    <w:rsid w:val="00403D7F"/>
    <w:rsid w:val="00405189"/>
    <w:rsid w:val="00407104"/>
    <w:rsid w:val="0040715C"/>
    <w:rsid w:val="00407597"/>
    <w:rsid w:val="00407E60"/>
    <w:rsid w:val="00407EBA"/>
    <w:rsid w:val="004126E0"/>
    <w:rsid w:val="00412C48"/>
    <w:rsid w:val="00413DD7"/>
    <w:rsid w:val="00414009"/>
    <w:rsid w:val="004143B8"/>
    <w:rsid w:val="0041606A"/>
    <w:rsid w:val="004179E1"/>
    <w:rsid w:val="00421C93"/>
    <w:rsid w:val="00422587"/>
    <w:rsid w:val="0042658F"/>
    <w:rsid w:val="0043076B"/>
    <w:rsid w:val="00430C94"/>
    <w:rsid w:val="00432379"/>
    <w:rsid w:val="00434703"/>
    <w:rsid w:val="0043598B"/>
    <w:rsid w:val="0043602B"/>
    <w:rsid w:val="0043674F"/>
    <w:rsid w:val="004379D2"/>
    <w:rsid w:val="00440CC7"/>
    <w:rsid w:val="00442B9A"/>
    <w:rsid w:val="00443A42"/>
    <w:rsid w:val="00444266"/>
    <w:rsid w:val="00444B24"/>
    <w:rsid w:val="00445461"/>
    <w:rsid w:val="004456F3"/>
    <w:rsid w:val="00445F89"/>
    <w:rsid w:val="00447049"/>
    <w:rsid w:val="00447F7F"/>
    <w:rsid w:val="0045030D"/>
    <w:rsid w:val="00450B39"/>
    <w:rsid w:val="00450BEA"/>
    <w:rsid w:val="00450EF0"/>
    <w:rsid w:val="004513D1"/>
    <w:rsid w:val="00452717"/>
    <w:rsid w:val="004532C9"/>
    <w:rsid w:val="00454BE7"/>
    <w:rsid w:val="00455D2A"/>
    <w:rsid w:val="00456898"/>
    <w:rsid w:val="004605BC"/>
    <w:rsid w:val="00460BEB"/>
    <w:rsid w:val="00461541"/>
    <w:rsid w:val="00461F02"/>
    <w:rsid w:val="00461FE0"/>
    <w:rsid w:val="00462987"/>
    <w:rsid w:val="00462C59"/>
    <w:rsid w:val="00463CC3"/>
    <w:rsid w:val="00463E1A"/>
    <w:rsid w:val="0046457A"/>
    <w:rsid w:val="00466857"/>
    <w:rsid w:val="00466E72"/>
    <w:rsid w:val="00467C95"/>
    <w:rsid w:val="00470BED"/>
    <w:rsid w:val="00472FC6"/>
    <w:rsid w:val="00476830"/>
    <w:rsid w:val="00477258"/>
    <w:rsid w:val="00477621"/>
    <w:rsid w:val="004778B1"/>
    <w:rsid w:val="00481542"/>
    <w:rsid w:val="00483D43"/>
    <w:rsid w:val="00485BAA"/>
    <w:rsid w:val="004925A1"/>
    <w:rsid w:val="004929FA"/>
    <w:rsid w:val="0049363D"/>
    <w:rsid w:val="004947AF"/>
    <w:rsid w:val="004947FD"/>
    <w:rsid w:val="004949B3"/>
    <w:rsid w:val="00495DD9"/>
    <w:rsid w:val="004976F4"/>
    <w:rsid w:val="00497E15"/>
    <w:rsid w:val="004A0990"/>
    <w:rsid w:val="004A2882"/>
    <w:rsid w:val="004A2A95"/>
    <w:rsid w:val="004A3FA6"/>
    <w:rsid w:val="004A5441"/>
    <w:rsid w:val="004A6CAA"/>
    <w:rsid w:val="004B01C0"/>
    <w:rsid w:val="004B177A"/>
    <w:rsid w:val="004B3528"/>
    <w:rsid w:val="004B6DAB"/>
    <w:rsid w:val="004B79A4"/>
    <w:rsid w:val="004C1D7D"/>
    <w:rsid w:val="004C3350"/>
    <w:rsid w:val="004C49FB"/>
    <w:rsid w:val="004C4ED8"/>
    <w:rsid w:val="004C523B"/>
    <w:rsid w:val="004C7185"/>
    <w:rsid w:val="004D0ACF"/>
    <w:rsid w:val="004D27A6"/>
    <w:rsid w:val="004D4312"/>
    <w:rsid w:val="004D4DBB"/>
    <w:rsid w:val="004D7F20"/>
    <w:rsid w:val="004E11B8"/>
    <w:rsid w:val="004E3979"/>
    <w:rsid w:val="004E52BA"/>
    <w:rsid w:val="004E53FA"/>
    <w:rsid w:val="004F2172"/>
    <w:rsid w:val="004F36CE"/>
    <w:rsid w:val="004F3B66"/>
    <w:rsid w:val="004F3C6D"/>
    <w:rsid w:val="004F4A20"/>
    <w:rsid w:val="004F4F80"/>
    <w:rsid w:val="004F616C"/>
    <w:rsid w:val="004F681E"/>
    <w:rsid w:val="004F774C"/>
    <w:rsid w:val="004F788C"/>
    <w:rsid w:val="00500F1B"/>
    <w:rsid w:val="00501CBA"/>
    <w:rsid w:val="00502BC6"/>
    <w:rsid w:val="00502E27"/>
    <w:rsid w:val="00503C9D"/>
    <w:rsid w:val="00504547"/>
    <w:rsid w:val="005058FA"/>
    <w:rsid w:val="00506714"/>
    <w:rsid w:val="00507723"/>
    <w:rsid w:val="00507D7B"/>
    <w:rsid w:val="00510119"/>
    <w:rsid w:val="00510151"/>
    <w:rsid w:val="0051055C"/>
    <w:rsid w:val="00511BD4"/>
    <w:rsid w:val="00514A8B"/>
    <w:rsid w:val="00516146"/>
    <w:rsid w:val="00516278"/>
    <w:rsid w:val="005164D8"/>
    <w:rsid w:val="00521B08"/>
    <w:rsid w:val="00522BF1"/>
    <w:rsid w:val="00524673"/>
    <w:rsid w:val="00527DC0"/>
    <w:rsid w:val="00530493"/>
    <w:rsid w:val="0053069E"/>
    <w:rsid w:val="005328B4"/>
    <w:rsid w:val="00533DD5"/>
    <w:rsid w:val="0053420D"/>
    <w:rsid w:val="005351BE"/>
    <w:rsid w:val="0053726B"/>
    <w:rsid w:val="005403A3"/>
    <w:rsid w:val="00541963"/>
    <w:rsid w:val="00541C3A"/>
    <w:rsid w:val="00542269"/>
    <w:rsid w:val="0054282A"/>
    <w:rsid w:val="00543682"/>
    <w:rsid w:val="00544156"/>
    <w:rsid w:val="00544A38"/>
    <w:rsid w:val="00545638"/>
    <w:rsid w:val="00545B21"/>
    <w:rsid w:val="005470A9"/>
    <w:rsid w:val="00547269"/>
    <w:rsid w:val="00550011"/>
    <w:rsid w:val="005513D3"/>
    <w:rsid w:val="00553404"/>
    <w:rsid w:val="005535A4"/>
    <w:rsid w:val="00553757"/>
    <w:rsid w:val="005542A1"/>
    <w:rsid w:val="00554F9B"/>
    <w:rsid w:val="005558E4"/>
    <w:rsid w:val="005608E7"/>
    <w:rsid w:val="0056097D"/>
    <w:rsid w:val="00561361"/>
    <w:rsid w:val="005616CC"/>
    <w:rsid w:val="00561759"/>
    <w:rsid w:val="00562923"/>
    <w:rsid w:val="0056432C"/>
    <w:rsid w:val="00567AAC"/>
    <w:rsid w:val="005741AA"/>
    <w:rsid w:val="00576648"/>
    <w:rsid w:val="00576BDF"/>
    <w:rsid w:val="00577174"/>
    <w:rsid w:val="00577620"/>
    <w:rsid w:val="0058078B"/>
    <w:rsid w:val="00580B0B"/>
    <w:rsid w:val="00581CDB"/>
    <w:rsid w:val="0058500E"/>
    <w:rsid w:val="0058562D"/>
    <w:rsid w:val="00585686"/>
    <w:rsid w:val="00585A48"/>
    <w:rsid w:val="00585E19"/>
    <w:rsid w:val="0058628A"/>
    <w:rsid w:val="00586E9A"/>
    <w:rsid w:val="00587107"/>
    <w:rsid w:val="005876FF"/>
    <w:rsid w:val="00587F6F"/>
    <w:rsid w:val="00591643"/>
    <w:rsid w:val="00591A9C"/>
    <w:rsid w:val="00594255"/>
    <w:rsid w:val="00594501"/>
    <w:rsid w:val="0059704A"/>
    <w:rsid w:val="005972A6"/>
    <w:rsid w:val="0059775B"/>
    <w:rsid w:val="005A0966"/>
    <w:rsid w:val="005A25B9"/>
    <w:rsid w:val="005A27D3"/>
    <w:rsid w:val="005A483A"/>
    <w:rsid w:val="005B1206"/>
    <w:rsid w:val="005B2831"/>
    <w:rsid w:val="005B296D"/>
    <w:rsid w:val="005B3EB3"/>
    <w:rsid w:val="005B52EC"/>
    <w:rsid w:val="005B6FDF"/>
    <w:rsid w:val="005B7124"/>
    <w:rsid w:val="005B77E5"/>
    <w:rsid w:val="005C299D"/>
    <w:rsid w:val="005C40C4"/>
    <w:rsid w:val="005C45C6"/>
    <w:rsid w:val="005C51AC"/>
    <w:rsid w:val="005C7157"/>
    <w:rsid w:val="005C7ADC"/>
    <w:rsid w:val="005D0AC4"/>
    <w:rsid w:val="005D22F8"/>
    <w:rsid w:val="005D5E14"/>
    <w:rsid w:val="005D6244"/>
    <w:rsid w:val="005D74CC"/>
    <w:rsid w:val="005D76A2"/>
    <w:rsid w:val="005E0D08"/>
    <w:rsid w:val="005E2606"/>
    <w:rsid w:val="005E2B60"/>
    <w:rsid w:val="005E2EC0"/>
    <w:rsid w:val="005E345B"/>
    <w:rsid w:val="005E3CA2"/>
    <w:rsid w:val="005E69C9"/>
    <w:rsid w:val="005E717D"/>
    <w:rsid w:val="005E7F3E"/>
    <w:rsid w:val="005F068D"/>
    <w:rsid w:val="005F0BFB"/>
    <w:rsid w:val="005F17AF"/>
    <w:rsid w:val="005F1ED1"/>
    <w:rsid w:val="005F24E1"/>
    <w:rsid w:val="005F7C66"/>
    <w:rsid w:val="0060010C"/>
    <w:rsid w:val="00600926"/>
    <w:rsid w:val="00601776"/>
    <w:rsid w:val="0060485B"/>
    <w:rsid w:val="006056E0"/>
    <w:rsid w:val="00605D7F"/>
    <w:rsid w:val="00605E40"/>
    <w:rsid w:val="006065E6"/>
    <w:rsid w:val="00606601"/>
    <w:rsid w:val="00610F17"/>
    <w:rsid w:val="00611682"/>
    <w:rsid w:val="00611E56"/>
    <w:rsid w:val="0061424B"/>
    <w:rsid w:val="006146A3"/>
    <w:rsid w:val="0061507D"/>
    <w:rsid w:val="0061583D"/>
    <w:rsid w:val="006173DD"/>
    <w:rsid w:val="00617726"/>
    <w:rsid w:val="0062068A"/>
    <w:rsid w:val="0062132F"/>
    <w:rsid w:val="006216A5"/>
    <w:rsid w:val="00621E11"/>
    <w:rsid w:val="00624D19"/>
    <w:rsid w:val="00626814"/>
    <w:rsid w:val="00627FBC"/>
    <w:rsid w:val="00633463"/>
    <w:rsid w:val="0063398B"/>
    <w:rsid w:val="00633CC2"/>
    <w:rsid w:val="00634941"/>
    <w:rsid w:val="006379B5"/>
    <w:rsid w:val="0064152F"/>
    <w:rsid w:val="00641B8B"/>
    <w:rsid w:val="00642513"/>
    <w:rsid w:val="00642869"/>
    <w:rsid w:val="006434A0"/>
    <w:rsid w:val="00643FAC"/>
    <w:rsid w:val="0064469D"/>
    <w:rsid w:val="00646F18"/>
    <w:rsid w:val="006519F7"/>
    <w:rsid w:val="00651B74"/>
    <w:rsid w:val="006523C8"/>
    <w:rsid w:val="006524A3"/>
    <w:rsid w:val="00653E71"/>
    <w:rsid w:val="00654E3F"/>
    <w:rsid w:val="00655A3E"/>
    <w:rsid w:val="00660952"/>
    <w:rsid w:val="00661180"/>
    <w:rsid w:val="00662221"/>
    <w:rsid w:val="00664357"/>
    <w:rsid w:val="00667134"/>
    <w:rsid w:val="006702F9"/>
    <w:rsid w:val="006715C9"/>
    <w:rsid w:val="00671B8F"/>
    <w:rsid w:val="0067246B"/>
    <w:rsid w:val="00673475"/>
    <w:rsid w:val="00673D8E"/>
    <w:rsid w:val="00674764"/>
    <w:rsid w:val="00674BC9"/>
    <w:rsid w:val="00674C17"/>
    <w:rsid w:val="00674E65"/>
    <w:rsid w:val="00677274"/>
    <w:rsid w:val="00677C94"/>
    <w:rsid w:val="00680311"/>
    <w:rsid w:val="0068032F"/>
    <w:rsid w:val="00680B23"/>
    <w:rsid w:val="00680B4D"/>
    <w:rsid w:val="00682236"/>
    <w:rsid w:val="00684276"/>
    <w:rsid w:val="00684714"/>
    <w:rsid w:val="00684753"/>
    <w:rsid w:val="00684A60"/>
    <w:rsid w:val="00685ABF"/>
    <w:rsid w:val="00686EF8"/>
    <w:rsid w:val="00687B62"/>
    <w:rsid w:val="00691C26"/>
    <w:rsid w:val="00692458"/>
    <w:rsid w:val="006925AE"/>
    <w:rsid w:val="00693493"/>
    <w:rsid w:val="0069373A"/>
    <w:rsid w:val="00693AD1"/>
    <w:rsid w:val="00695BB1"/>
    <w:rsid w:val="006A07C3"/>
    <w:rsid w:val="006A0978"/>
    <w:rsid w:val="006A16BA"/>
    <w:rsid w:val="006A2AA6"/>
    <w:rsid w:val="006A351F"/>
    <w:rsid w:val="006A4715"/>
    <w:rsid w:val="006A4EAE"/>
    <w:rsid w:val="006B151D"/>
    <w:rsid w:val="006B1AEA"/>
    <w:rsid w:val="006B1C7F"/>
    <w:rsid w:val="006B2591"/>
    <w:rsid w:val="006B3CA5"/>
    <w:rsid w:val="006B44BB"/>
    <w:rsid w:val="006B467D"/>
    <w:rsid w:val="006B527D"/>
    <w:rsid w:val="006B5B83"/>
    <w:rsid w:val="006B662A"/>
    <w:rsid w:val="006C054D"/>
    <w:rsid w:val="006C0AD3"/>
    <w:rsid w:val="006C0B5E"/>
    <w:rsid w:val="006C2505"/>
    <w:rsid w:val="006C515F"/>
    <w:rsid w:val="006C53E5"/>
    <w:rsid w:val="006C56F7"/>
    <w:rsid w:val="006C5DAB"/>
    <w:rsid w:val="006C620E"/>
    <w:rsid w:val="006C6E4A"/>
    <w:rsid w:val="006C74C3"/>
    <w:rsid w:val="006C7569"/>
    <w:rsid w:val="006D010B"/>
    <w:rsid w:val="006D0A95"/>
    <w:rsid w:val="006D1141"/>
    <w:rsid w:val="006D2115"/>
    <w:rsid w:val="006D2C9C"/>
    <w:rsid w:val="006D4809"/>
    <w:rsid w:val="006D49E1"/>
    <w:rsid w:val="006D4A41"/>
    <w:rsid w:val="006D6310"/>
    <w:rsid w:val="006E3035"/>
    <w:rsid w:val="006E37C0"/>
    <w:rsid w:val="006E3B3F"/>
    <w:rsid w:val="006E441D"/>
    <w:rsid w:val="006E454E"/>
    <w:rsid w:val="006E47F9"/>
    <w:rsid w:val="006E65E2"/>
    <w:rsid w:val="006E6A2F"/>
    <w:rsid w:val="006E73AE"/>
    <w:rsid w:val="006F1126"/>
    <w:rsid w:val="006F17D1"/>
    <w:rsid w:val="006F1A82"/>
    <w:rsid w:val="006F2563"/>
    <w:rsid w:val="006F666A"/>
    <w:rsid w:val="006F6997"/>
    <w:rsid w:val="0070170D"/>
    <w:rsid w:val="0070371A"/>
    <w:rsid w:val="00704D9C"/>
    <w:rsid w:val="00704E5D"/>
    <w:rsid w:val="00705779"/>
    <w:rsid w:val="00706259"/>
    <w:rsid w:val="00706672"/>
    <w:rsid w:val="00711815"/>
    <w:rsid w:val="007121FA"/>
    <w:rsid w:val="0071347C"/>
    <w:rsid w:val="0071348D"/>
    <w:rsid w:val="007155B2"/>
    <w:rsid w:val="0071667C"/>
    <w:rsid w:val="00717319"/>
    <w:rsid w:val="007223E3"/>
    <w:rsid w:val="00722EB1"/>
    <w:rsid w:val="00723AC8"/>
    <w:rsid w:val="007246D4"/>
    <w:rsid w:val="00724C26"/>
    <w:rsid w:val="007257F9"/>
    <w:rsid w:val="0072631D"/>
    <w:rsid w:val="00726DE4"/>
    <w:rsid w:val="00727A2B"/>
    <w:rsid w:val="007303AE"/>
    <w:rsid w:val="007304A1"/>
    <w:rsid w:val="00730B3A"/>
    <w:rsid w:val="00731D8F"/>
    <w:rsid w:val="00733083"/>
    <w:rsid w:val="0073317D"/>
    <w:rsid w:val="007337E7"/>
    <w:rsid w:val="007347E5"/>
    <w:rsid w:val="00742414"/>
    <w:rsid w:val="00744382"/>
    <w:rsid w:val="0074447C"/>
    <w:rsid w:val="007476EE"/>
    <w:rsid w:val="00752091"/>
    <w:rsid w:val="00752424"/>
    <w:rsid w:val="007534FC"/>
    <w:rsid w:val="00753527"/>
    <w:rsid w:val="0075635C"/>
    <w:rsid w:val="00757FA8"/>
    <w:rsid w:val="00761047"/>
    <w:rsid w:val="007619B6"/>
    <w:rsid w:val="007625AC"/>
    <w:rsid w:val="0076350B"/>
    <w:rsid w:val="00764C0C"/>
    <w:rsid w:val="00765B66"/>
    <w:rsid w:val="00765EA8"/>
    <w:rsid w:val="00767845"/>
    <w:rsid w:val="007704C8"/>
    <w:rsid w:val="00775519"/>
    <w:rsid w:val="007755E6"/>
    <w:rsid w:val="00775FA0"/>
    <w:rsid w:val="00777FB4"/>
    <w:rsid w:val="007804C9"/>
    <w:rsid w:val="00780D45"/>
    <w:rsid w:val="00781084"/>
    <w:rsid w:val="007810C7"/>
    <w:rsid w:val="00782926"/>
    <w:rsid w:val="00782A0F"/>
    <w:rsid w:val="00782B48"/>
    <w:rsid w:val="00782C7B"/>
    <w:rsid w:val="00783294"/>
    <w:rsid w:val="007835FC"/>
    <w:rsid w:val="007838B8"/>
    <w:rsid w:val="00783931"/>
    <w:rsid w:val="00784263"/>
    <w:rsid w:val="00787D50"/>
    <w:rsid w:val="00791EE7"/>
    <w:rsid w:val="0079456A"/>
    <w:rsid w:val="0079567C"/>
    <w:rsid w:val="00795983"/>
    <w:rsid w:val="00795A49"/>
    <w:rsid w:val="00795B51"/>
    <w:rsid w:val="007A046B"/>
    <w:rsid w:val="007A08BF"/>
    <w:rsid w:val="007A1689"/>
    <w:rsid w:val="007A186E"/>
    <w:rsid w:val="007A1B71"/>
    <w:rsid w:val="007A3745"/>
    <w:rsid w:val="007A5CCA"/>
    <w:rsid w:val="007A5D4D"/>
    <w:rsid w:val="007A78D1"/>
    <w:rsid w:val="007B34ED"/>
    <w:rsid w:val="007B42AA"/>
    <w:rsid w:val="007B4DC2"/>
    <w:rsid w:val="007B5CDE"/>
    <w:rsid w:val="007B68D7"/>
    <w:rsid w:val="007B77A7"/>
    <w:rsid w:val="007B7A4E"/>
    <w:rsid w:val="007C0ADA"/>
    <w:rsid w:val="007C1CD5"/>
    <w:rsid w:val="007C4422"/>
    <w:rsid w:val="007C5B72"/>
    <w:rsid w:val="007C7733"/>
    <w:rsid w:val="007D0838"/>
    <w:rsid w:val="007D22FF"/>
    <w:rsid w:val="007D29D8"/>
    <w:rsid w:val="007D4221"/>
    <w:rsid w:val="007D4E8B"/>
    <w:rsid w:val="007D521E"/>
    <w:rsid w:val="007D6781"/>
    <w:rsid w:val="007D6915"/>
    <w:rsid w:val="007D6FFF"/>
    <w:rsid w:val="007E0105"/>
    <w:rsid w:val="007E0595"/>
    <w:rsid w:val="007E10E7"/>
    <w:rsid w:val="007E287E"/>
    <w:rsid w:val="007E3F14"/>
    <w:rsid w:val="007E551A"/>
    <w:rsid w:val="007E5736"/>
    <w:rsid w:val="007E7DB0"/>
    <w:rsid w:val="007F0FA7"/>
    <w:rsid w:val="007F351F"/>
    <w:rsid w:val="007F35EE"/>
    <w:rsid w:val="007F3FE6"/>
    <w:rsid w:val="007F41A2"/>
    <w:rsid w:val="007F49B0"/>
    <w:rsid w:val="007F4EE2"/>
    <w:rsid w:val="008006D3"/>
    <w:rsid w:val="0080135B"/>
    <w:rsid w:val="0080181B"/>
    <w:rsid w:val="00801986"/>
    <w:rsid w:val="008024E5"/>
    <w:rsid w:val="008041CD"/>
    <w:rsid w:val="008041F1"/>
    <w:rsid w:val="00804913"/>
    <w:rsid w:val="008070AF"/>
    <w:rsid w:val="00807286"/>
    <w:rsid w:val="008118BE"/>
    <w:rsid w:val="00813990"/>
    <w:rsid w:val="00813FC9"/>
    <w:rsid w:val="0081516F"/>
    <w:rsid w:val="00817926"/>
    <w:rsid w:val="00817E42"/>
    <w:rsid w:val="00822F15"/>
    <w:rsid w:val="00823227"/>
    <w:rsid w:val="00824090"/>
    <w:rsid w:val="0082411D"/>
    <w:rsid w:val="00826803"/>
    <w:rsid w:val="0082741B"/>
    <w:rsid w:val="00827B1F"/>
    <w:rsid w:val="00830432"/>
    <w:rsid w:val="008309B2"/>
    <w:rsid w:val="00830CA5"/>
    <w:rsid w:val="00831121"/>
    <w:rsid w:val="008336D2"/>
    <w:rsid w:val="0083500E"/>
    <w:rsid w:val="0083545F"/>
    <w:rsid w:val="0083582D"/>
    <w:rsid w:val="00840F96"/>
    <w:rsid w:val="0084136D"/>
    <w:rsid w:val="008414C4"/>
    <w:rsid w:val="00845B25"/>
    <w:rsid w:val="0084659C"/>
    <w:rsid w:val="00846616"/>
    <w:rsid w:val="008507CF"/>
    <w:rsid w:val="00852623"/>
    <w:rsid w:val="008526EC"/>
    <w:rsid w:val="00852890"/>
    <w:rsid w:val="00854C83"/>
    <w:rsid w:val="00855046"/>
    <w:rsid w:val="008560C3"/>
    <w:rsid w:val="0085720F"/>
    <w:rsid w:val="008573BE"/>
    <w:rsid w:val="0086005A"/>
    <w:rsid w:val="00860112"/>
    <w:rsid w:val="00861FEC"/>
    <w:rsid w:val="00862C50"/>
    <w:rsid w:val="00864C0F"/>
    <w:rsid w:val="00865765"/>
    <w:rsid w:val="00866323"/>
    <w:rsid w:val="00867B7D"/>
    <w:rsid w:val="00867D3C"/>
    <w:rsid w:val="008728B2"/>
    <w:rsid w:val="008729B5"/>
    <w:rsid w:val="00874919"/>
    <w:rsid w:val="00874A71"/>
    <w:rsid w:val="00874F7F"/>
    <w:rsid w:val="00874FA9"/>
    <w:rsid w:val="008761C7"/>
    <w:rsid w:val="008774E5"/>
    <w:rsid w:val="0087759B"/>
    <w:rsid w:val="0088076F"/>
    <w:rsid w:val="0088164F"/>
    <w:rsid w:val="00883457"/>
    <w:rsid w:val="008837BE"/>
    <w:rsid w:val="00884534"/>
    <w:rsid w:val="008848FC"/>
    <w:rsid w:val="00884AE8"/>
    <w:rsid w:val="00887E02"/>
    <w:rsid w:val="00891785"/>
    <w:rsid w:val="00893141"/>
    <w:rsid w:val="008940CA"/>
    <w:rsid w:val="0089477A"/>
    <w:rsid w:val="0089577B"/>
    <w:rsid w:val="00896A54"/>
    <w:rsid w:val="00897417"/>
    <w:rsid w:val="00897D19"/>
    <w:rsid w:val="008A0064"/>
    <w:rsid w:val="008A2709"/>
    <w:rsid w:val="008A2E96"/>
    <w:rsid w:val="008A45CC"/>
    <w:rsid w:val="008A56B4"/>
    <w:rsid w:val="008B02EF"/>
    <w:rsid w:val="008B08EC"/>
    <w:rsid w:val="008B2E04"/>
    <w:rsid w:val="008B3227"/>
    <w:rsid w:val="008B6ABD"/>
    <w:rsid w:val="008B6FA6"/>
    <w:rsid w:val="008C0120"/>
    <w:rsid w:val="008C042C"/>
    <w:rsid w:val="008C0FB9"/>
    <w:rsid w:val="008C1B76"/>
    <w:rsid w:val="008C298E"/>
    <w:rsid w:val="008C3E2C"/>
    <w:rsid w:val="008C58E7"/>
    <w:rsid w:val="008C6215"/>
    <w:rsid w:val="008C733D"/>
    <w:rsid w:val="008C73CE"/>
    <w:rsid w:val="008D1FF3"/>
    <w:rsid w:val="008D38E9"/>
    <w:rsid w:val="008D48C6"/>
    <w:rsid w:val="008D4E37"/>
    <w:rsid w:val="008D6DBF"/>
    <w:rsid w:val="008D6F21"/>
    <w:rsid w:val="008D7127"/>
    <w:rsid w:val="008D74AC"/>
    <w:rsid w:val="008D7654"/>
    <w:rsid w:val="008D7836"/>
    <w:rsid w:val="008D7AE7"/>
    <w:rsid w:val="008E02DA"/>
    <w:rsid w:val="008E1564"/>
    <w:rsid w:val="008E15EC"/>
    <w:rsid w:val="008E1EAF"/>
    <w:rsid w:val="008E36C0"/>
    <w:rsid w:val="008E36F2"/>
    <w:rsid w:val="008E42D1"/>
    <w:rsid w:val="008E450B"/>
    <w:rsid w:val="008E4C23"/>
    <w:rsid w:val="008E5332"/>
    <w:rsid w:val="008E667F"/>
    <w:rsid w:val="008E676F"/>
    <w:rsid w:val="008E7251"/>
    <w:rsid w:val="008E76EF"/>
    <w:rsid w:val="008E7D7C"/>
    <w:rsid w:val="008F0097"/>
    <w:rsid w:val="008F17B9"/>
    <w:rsid w:val="008F2449"/>
    <w:rsid w:val="008F4ABC"/>
    <w:rsid w:val="008F60D9"/>
    <w:rsid w:val="008F6430"/>
    <w:rsid w:val="008F6449"/>
    <w:rsid w:val="008F6D99"/>
    <w:rsid w:val="009007FB"/>
    <w:rsid w:val="00903003"/>
    <w:rsid w:val="00903D35"/>
    <w:rsid w:val="009041B8"/>
    <w:rsid w:val="009048D8"/>
    <w:rsid w:val="00906263"/>
    <w:rsid w:val="0090692C"/>
    <w:rsid w:val="00906A75"/>
    <w:rsid w:val="0091186E"/>
    <w:rsid w:val="009123E5"/>
    <w:rsid w:val="009130AF"/>
    <w:rsid w:val="009130F2"/>
    <w:rsid w:val="009141A9"/>
    <w:rsid w:val="009150F6"/>
    <w:rsid w:val="00917344"/>
    <w:rsid w:val="0091777F"/>
    <w:rsid w:val="00923DFD"/>
    <w:rsid w:val="00925750"/>
    <w:rsid w:val="00925F09"/>
    <w:rsid w:val="0092609C"/>
    <w:rsid w:val="009267F8"/>
    <w:rsid w:val="00926BE5"/>
    <w:rsid w:val="00927552"/>
    <w:rsid w:val="00927DFB"/>
    <w:rsid w:val="0093060C"/>
    <w:rsid w:val="00930A79"/>
    <w:rsid w:val="00930D5E"/>
    <w:rsid w:val="009329E7"/>
    <w:rsid w:val="00932E98"/>
    <w:rsid w:val="00934546"/>
    <w:rsid w:val="00934B9C"/>
    <w:rsid w:val="00934C82"/>
    <w:rsid w:val="00935B58"/>
    <w:rsid w:val="009377C8"/>
    <w:rsid w:val="009401CA"/>
    <w:rsid w:val="009427A1"/>
    <w:rsid w:val="00942888"/>
    <w:rsid w:val="00943761"/>
    <w:rsid w:val="009446CB"/>
    <w:rsid w:val="00944F89"/>
    <w:rsid w:val="00947C4C"/>
    <w:rsid w:val="00954A75"/>
    <w:rsid w:val="00954B7C"/>
    <w:rsid w:val="00956AFC"/>
    <w:rsid w:val="00956B8F"/>
    <w:rsid w:val="009615CB"/>
    <w:rsid w:val="009616E2"/>
    <w:rsid w:val="00962582"/>
    <w:rsid w:val="00962CA3"/>
    <w:rsid w:val="00965777"/>
    <w:rsid w:val="00967815"/>
    <w:rsid w:val="009708AE"/>
    <w:rsid w:val="00971373"/>
    <w:rsid w:val="00971DC1"/>
    <w:rsid w:val="00971F8B"/>
    <w:rsid w:val="00972488"/>
    <w:rsid w:val="00974D6F"/>
    <w:rsid w:val="00974EAE"/>
    <w:rsid w:val="00974F69"/>
    <w:rsid w:val="00976475"/>
    <w:rsid w:val="009767F4"/>
    <w:rsid w:val="00976EB6"/>
    <w:rsid w:val="009808BF"/>
    <w:rsid w:val="00980C61"/>
    <w:rsid w:val="0098126E"/>
    <w:rsid w:val="00981B7C"/>
    <w:rsid w:val="00983839"/>
    <w:rsid w:val="00985A92"/>
    <w:rsid w:val="00985C0E"/>
    <w:rsid w:val="009919D2"/>
    <w:rsid w:val="00992355"/>
    <w:rsid w:val="0099256C"/>
    <w:rsid w:val="00993957"/>
    <w:rsid w:val="00993D80"/>
    <w:rsid w:val="009946E6"/>
    <w:rsid w:val="0099471C"/>
    <w:rsid w:val="00994BDA"/>
    <w:rsid w:val="009A0311"/>
    <w:rsid w:val="009A0C93"/>
    <w:rsid w:val="009A0D46"/>
    <w:rsid w:val="009A167F"/>
    <w:rsid w:val="009A3668"/>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5F4D"/>
    <w:rsid w:val="009B62B0"/>
    <w:rsid w:val="009B7110"/>
    <w:rsid w:val="009C0036"/>
    <w:rsid w:val="009C1170"/>
    <w:rsid w:val="009C2439"/>
    <w:rsid w:val="009C2CEB"/>
    <w:rsid w:val="009C3946"/>
    <w:rsid w:val="009C45A3"/>
    <w:rsid w:val="009C5898"/>
    <w:rsid w:val="009C6951"/>
    <w:rsid w:val="009C6E3D"/>
    <w:rsid w:val="009D1D69"/>
    <w:rsid w:val="009D375D"/>
    <w:rsid w:val="009D47AA"/>
    <w:rsid w:val="009D48DC"/>
    <w:rsid w:val="009D55C7"/>
    <w:rsid w:val="009D7029"/>
    <w:rsid w:val="009D75E4"/>
    <w:rsid w:val="009D7B57"/>
    <w:rsid w:val="009E0370"/>
    <w:rsid w:val="009E1894"/>
    <w:rsid w:val="009E18DC"/>
    <w:rsid w:val="009E3BAD"/>
    <w:rsid w:val="009E41E8"/>
    <w:rsid w:val="009E720B"/>
    <w:rsid w:val="009E770E"/>
    <w:rsid w:val="009E7F8C"/>
    <w:rsid w:val="009F2065"/>
    <w:rsid w:val="009F282C"/>
    <w:rsid w:val="009F7D89"/>
    <w:rsid w:val="00A00443"/>
    <w:rsid w:val="00A0071A"/>
    <w:rsid w:val="00A02D44"/>
    <w:rsid w:val="00A03CD4"/>
    <w:rsid w:val="00A0485E"/>
    <w:rsid w:val="00A049E4"/>
    <w:rsid w:val="00A05175"/>
    <w:rsid w:val="00A07D2C"/>
    <w:rsid w:val="00A10714"/>
    <w:rsid w:val="00A11413"/>
    <w:rsid w:val="00A12A40"/>
    <w:rsid w:val="00A12C31"/>
    <w:rsid w:val="00A13C12"/>
    <w:rsid w:val="00A13FE5"/>
    <w:rsid w:val="00A1418D"/>
    <w:rsid w:val="00A157E7"/>
    <w:rsid w:val="00A172BE"/>
    <w:rsid w:val="00A212A6"/>
    <w:rsid w:val="00A214E5"/>
    <w:rsid w:val="00A21F1C"/>
    <w:rsid w:val="00A22AFB"/>
    <w:rsid w:val="00A22ECB"/>
    <w:rsid w:val="00A23FD9"/>
    <w:rsid w:val="00A243BC"/>
    <w:rsid w:val="00A24BDF"/>
    <w:rsid w:val="00A24D5C"/>
    <w:rsid w:val="00A25F80"/>
    <w:rsid w:val="00A269F9"/>
    <w:rsid w:val="00A27044"/>
    <w:rsid w:val="00A27C9A"/>
    <w:rsid w:val="00A27D70"/>
    <w:rsid w:val="00A30B11"/>
    <w:rsid w:val="00A31277"/>
    <w:rsid w:val="00A31815"/>
    <w:rsid w:val="00A319AE"/>
    <w:rsid w:val="00A35873"/>
    <w:rsid w:val="00A40375"/>
    <w:rsid w:val="00A405CB"/>
    <w:rsid w:val="00A41773"/>
    <w:rsid w:val="00A41808"/>
    <w:rsid w:val="00A426CD"/>
    <w:rsid w:val="00A42B90"/>
    <w:rsid w:val="00A430D3"/>
    <w:rsid w:val="00A43EDA"/>
    <w:rsid w:val="00A448CD"/>
    <w:rsid w:val="00A44A41"/>
    <w:rsid w:val="00A47415"/>
    <w:rsid w:val="00A47BC2"/>
    <w:rsid w:val="00A50201"/>
    <w:rsid w:val="00A50B0B"/>
    <w:rsid w:val="00A53066"/>
    <w:rsid w:val="00A568DD"/>
    <w:rsid w:val="00A60373"/>
    <w:rsid w:val="00A61912"/>
    <w:rsid w:val="00A61B2A"/>
    <w:rsid w:val="00A62183"/>
    <w:rsid w:val="00A62D6C"/>
    <w:rsid w:val="00A63A15"/>
    <w:rsid w:val="00A646CD"/>
    <w:rsid w:val="00A64ADC"/>
    <w:rsid w:val="00A66523"/>
    <w:rsid w:val="00A66B32"/>
    <w:rsid w:val="00A66E23"/>
    <w:rsid w:val="00A67496"/>
    <w:rsid w:val="00A723F7"/>
    <w:rsid w:val="00A72B12"/>
    <w:rsid w:val="00A765FA"/>
    <w:rsid w:val="00A769CE"/>
    <w:rsid w:val="00A80AAC"/>
    <w:rsid w:val="00A81606"/>
    <w:rsid w:val="00A81D37"/>
    <w:rsid w:val="00A8327A"/>
    <w:rsid w:val="00A83621"/>
    <w:rsid w:val="00A83782"/>
    <w:rsid w:val="00A84154"/>
    <w:rsid w:val="00A84F89"/>
    <w:rsid w:val="00A85766"/>
    <w:rsid w:val="00A86477"/>
    <w:rsid w:val="00A901A2"/>
    <w:rsid w:val="00A905BA"/>
    <w:rsid w:val="00A914BF"/>
    <w:rsid w:val="00A92414"/>
    <w:rsid w:val="00A938E0"/>
    <w:rsid w:val="00A93B06"/>
    <w:rsid w:val="00A94179"/>
    <w:rsid w:val="00A9432E"/>
    <w:rsid w:val="00A94738"/>
    <w:rsid w:val="00A947CA"/>
    <w:rsid w:val="00A94C02"/>
    <w:rsid w:val="00A94FDF"/>
    <w:rsid w:val="00A95D30"/>
    <w:rsid w:val="00A97CA1"/>
    <w:rsid w:val="00AA0B21"/>
    <w:rsid w:val="00AA0F4D"/>
    <w:rsid w:val="00AA1DEF"/>
    <w:rsid w:val="00AA2A25"/>
    <w:rsid w:val="00AA483D"/>
    <w:rsid w:val="00AA56FC"/>
    <w:rsid w:val="00AA6837"/>
    <w:rsid w:val="00AA69BE"/>
    <w:rsid w:val="00AA74B6"/>
    <w:rsid w:val="00AB1485"/>
    <w:rsid w:val="00AB1667"/>
    <w:rsid w:val="00AB223B"/>
    <w:rsid w:val="00AB48DD"/>
    <w:rsid w:val="00AB5117"/>
    <w:rsid w:val="00AB5628"/>
    <w:rsid w:val="00AB64F8"/>
    <w:rsid w:val="00AC1338"/>
    <w:rsid w:val="00AC2980"/>
    <w:rsid w:val="00AC2FD6"/>
    <w:rsid w:val="00AC31FE"/>
    <w:rsid w:val="00AC3BA6"/>
    <w:rsid w:val="00AC3EED"/>
    <w:rsid w:val="00AC4A23"/>
    <w:rsid w:val="00AC61DE"/>
    <w:rsid w:val="00AC6C4D"/>
    <w:rsid w:val="00AC72E6"/>
    <w:rsid w:val="00AC73FD"/>
    <w:rsid w:val="00AC7E59"/>
    <w:rsid w:val="00AD0933"/>
    <w:rsid w:val="00AD1A32"/>
    <w:rsid w:val="00AD224C"/>
    <w:rsid w:val="00AD31A5"/>
    <w:rsid w:val="00AD3CEC"/>
    <w:rsid w:val="00AD4DDC"/>
    <w:rsid w:val="00AD5F09"/>
    <w:rsid w:val="00AD6DB4"/>
    <w:rsid w:val="00AD6DE2"/>
    <w:rsid w:val="00AD7853"/>
    <w:rsid w:val="00AE12F3"/>
    <w:rsid w:val="00AE1CE5"/>
    <w:rsid w:val="00AE2FFA"/>
    <w:rsid w:val="00AE3D1A"/>
    <w:rsid w:val="00AE433F"/>
    <w:rsid w:val="00AE45FC"/>
    <w:rsid w:val="00AE55C3"/>
    <w:rsid w:val="00AE64A9"/>
    <w:rsid w:val="00AE69BA"/>
    <w:rsid w:val="00AE709D"/>
    <w:rsid w:val="00AF4639"/>
    <w:rsid w:val="00AF4915"/>
    <w:rsid w:val="00AF6251"/>
    <w:rsid w:val="00AF6659"/>
    <w:rsid w:val="00AF67A7"/>
    <w:rsid w:val="00B0042D"/>
    <w:rsid w:val="00B01933"/>
    <w:rsid w:val="00B03C1D"/>
    <w:rsid w:val="00B04444"/>
    <w:rsid w:val="00B073D1"/>
    <w:rsid w:val="00B074D2"/>
    <w:rsid w:val="00B0782A"/>
    <w:rsid w:val="00B10E42"/>
    <w:rsid w:val="00B12C95"/>
    <w:rsid w:val="00B17611"/>
    <w:rsid w:val="00B20876"/>
    <w:rsid w:val="00B21DA3"/>
    <w:rsid w:val="00B23E34"/>
    <w:rsid w:val="00B26020"/>
    <w:rsid w:val="00B26BEF"/>
    <w:rsid w:val="00B303AC"/>
    <w:rsid w:val="00B30846"/>
    <w:rsid w:val="00B31DFD"/>
    <w:rsid w:val="00B32CA1"/>
    <w:rsid w:val="00B34A83"/>
    <w:rsid w:val="00B34D3C"/>
    <w:rsid w:val="00B35314"/>
    <w:rsid w:val="00B36E70"/>
    <w:rsid w:val="00B3772C"/>
    <w:rsid w:val="00B44A54"/>
    <w:rsid w:val="00B45BE8"/>
    <w:rsid w:val="00B47AAA"/>
    <w:rsid w:val="00B47BC3"/>
    <w:rsid w:val="00B504F8"/>
    <w:rsid w:val="00B524FF"/>
    <w:rsid w:val="00B52B40"/>
    <w:rsid w:val="00B535D8"/>
    <w:rsid w:val="00B5449A"/>
    <w:rsid w:val="00B546B7"/>
    <w:rsid w:val="00B55284"/>
    <w:rsid w:val="00B5591E"/>
    <w:rsid w:val="00B5654E"/>
    <w:rsid w:val="00B608EC"/>
    <w:rsid w:val="00B60C4D"/>
    <w:rsid w:val="00B60ECF"/>
    <w:rsid w:val="00B627EE"/>
    <w:rsid w:val="00B63E1A"/>
    <w:rsid w:val="00B63F3E"/>
    <w:rsid w:val="00B6400D"/>
    <w:rsid w:val="00B64309"/>
    <w:rsid w:val="00B64912"/>
    <w:rsid w:val="00B64EAD"/>
    <w:rsid w:val="00B663F6"/>
    <w:rsid w:val="00B67218"/>
    <w:rsid w:val="00B674C3"/>
    <w:rsid w:val="00B67B2A"/>
    <w:rsid w:val="00B70E21"/>
    <w:rsid w:val="00B70E3A"/>
    <w:rsid w:val="00B710C4"/>
    <w:rsid w:val="00B717A8"/>
    <w:rsid w:val="00B7282C"/>
    <w:rsid w:val="00B75CB7"/>
    <w:rsid w:val="00B76149"/>
    <w:rsid w:val="00B7638F"/>
    <w:rsid w:val="00B76D83"/>
    <w:rsid w:val="00B80DB3"/>
    <w:rsid w:val="00B8103D"/>
    <w:rsid w:val="00B82BB4"/>
    <w:rsid w:val="00B902F4"/>
    <w:rsid w:val="00B92357"/>
    <w:rsid w:val="00B9266D"/>
    <w:rsid w:val="00B9378B"/>
    <w:rsid w:val="00B9403C"/>
    <w:rsid w:val="00B942D8"/>
    <w:rsid w:val="00B94358"/>
    <w:rsid w:val="00B96540"/>
    <w:rsid w:val="00B96E63"/>
    <w:rsid w:val="00BA09A6"/>
    <w:rsid w:val="00BA1848"/>
    <w:rsid w:val="00BA2ABF"/>
    <w:rsid w:val="00BA32DF"/>
    <w:rsid w:val="00BA3910"/>
    <w:rsid w:val="00BA49EA"/>
    <w:rsid w:val="00BA49F6"/>
    <w:rsid w:val="00BA54BA"/>
    <w:rsid w:val="00BA6C44"/>
    <w:rsid w:val="00BA7277"/>
    <w:rsid w:val="00BA7CE6"/>
    <w:rsid w:val="00BB0FCD"/>
    <w:rsid w:val="00BB1F35"/>
    <w:rsid w:val="00BB3B81"/>
    <w:rsid w:val="00BB4DF7"/>
    <w:rsid w:val="00BB57E3"/>
    <w:rsid w:val="00BB621F"/>
    <w:rsid w:val="00BB759D"/>
    <w:rsid w:val="00BB77DF"/>
    <w:rsid w:val="00BB78B9"/>
    <w:rsid w:val="00BB7D67"/>
    <w:rsid w:val="00BC0BD3"/>
    <w:rsid w:val="00BC0BEF"/>
    <w:rsid w:val="00BC0C31"/>
    <w:rsid w:val="00BC152A"/>
    <w:rsid w:val="00BC2BB4"/>
    <w:rsid w:val="00BC37C3"/>
    <w:rsid w:val="00BC45D7"/>
    <w:rsid w:val="00BC49EF"/>
    <w:rsid w:val="00BC4E64"/>
    <w:rsid w:val="00BC626C"/>
    <w:rsid w:val="00BC7AF7"/>
    <w:rsid w:val="00BD01CE"/>
    <w:rsid w:val="00BD1863"/>
    <w:rsid w:val="00BD3341"/>
    <w:rsid w:val="00BD3C4D"/>
    <w:rsid w:val="00BD4EF0"/>
    <w:rsid w:val="00BD50E5"/>
    <w:rsid w:val="00BE27AD"/>
    <w:rsid w:val="00BE34E2"/>
    <w:rsid w:val="00BE396A"/>
    <w:rsid w:val="00BE62B9"/>
    <w:rsid w:val="00BE646A"/>
    <w:rsid w:val="00BE6471"/>
    <w:rsid w:val="00BE6786"/>
    <w:rsid w:val="00BE719D"/>
    <w:rsid w:val="00BF408D"/>
    <w:rsid w:val="00BF69E2"/>
    <w:rsid w:val="00BF6A60"/>
    <w:rsid w:val="00C0319E"/>
    <w:rsid w:val="00C04B1E"/>
    <w:rsid w:val="00C05A53"/>
    <w:rsid w:val="00C06428"/>
    <w:rsid w:val="00C110F2"/>
    <w:rsid w:val="00C1188B"/>
    <w:rsid w:val="00C12361"/>
    <w:rsid w:val="00C13DF8"/>
    <w:rsid w:val="00C13F9F"/>
    <w:rsid w:val="00C1458C"/>
    <w:rsid w:val="00C1587D"/>
    <w:rsid w:val="00C15AEB"/>
    <w:rsid w:val="00C15E68"/>
    <w:rsid w:val="00C1601C"/>
    <w:rsid w:val="00C16CDA"/>
    <w:rsid w:val="00C20BA5"/>
    <w:rsid w:val="00C20C47"/>
    <w:rsid w:val="00C21E41"/>
    <w:rsid w:val="00C22F1E"/>
    <w:rsid w:val="00C241EC"/>
    <w:rsid w:val="00C244A2"/>
    <w:rsid w:val="00C2472D"/>
    <w:rsid w:val="00C24997"/>
    <w:rsid w:val="00C26E6F"/>
    <w:rsid w:val="00C3376B"/>
    <w:rsid w:val="00C345F1"/>
    <w:rsid w:val="00C347FF"/>
    <w:rsid w:val="00C34E45"/>
    <w:rsid w:val="00C351CD"/>
    <w:rsid w:val="00C35601"/>
    <w:rsid w:val="00C36DBB"/>
    <w:rsid w:val="00C37C7A"/>
    <w:rsid w:val="00C4012D"/>
    <w:rsid w:val="00C422FE"/>
    <w:rsid w:val="00C438E8"/>
    <w:rsid w:val="00C457FA"/>
    <w:rsid w:val="00C4636F"/>
    <w:rsid w:val="00C47698"/>
    <w:rsid w:val="00C47B65"/>
    <w:rsid w:val="00C507D4"/>
    <w:rsid w:val="00C50E02"/>
    <w:rsid w:val="00C524DB"/>
    <w:rsid w:val="00C537FA"/>
    <w:rsid w:val="00C54D1A"/>
    <w:rsid w:val="00C568E9"/>
    <w:rsid w:val="00C5710F"/>
    <w:rsid w:val="00C5719D"/>
    <w:rsid w:val="00C614E7"/>
    <w:rsid w:val="00C64C21"/>
    <w:rsid w:val="00C66C0B"/>
    <w:rsid w:val="00C73531"/>
    <w:rsid w:val="00C73D7E"/>
    <w:rsid w:val="00C744BD"/>
    <w:rsid w:val="00C745A4"/>
    <w:rsid w:val="00C76DF3"/>
    <w:rsid w:val="00C80F6F"/>
    <w:rsid w:val="00C81E30"/>
    <w:rsid w:val="00C83B8C"/>
    <w:rsid w:val="00C83E40"/>
    <w:rsid w:val="00C9052E"/>
    <w:rsid w:val="00C917D9"/>
    <w:rsid w:val="00C92DC7"/>
    <w:rsid w:val="00C9307D"/>
    <w:rsid w:val="00C9518F"/>
    <w:rsid w:val="00C95C41"/>
    <w:rsid w:val="00C9711E"/>
    <w:rsid w:val="00CA1445"/>
    <w:rsid w:val="00CA17F5"/>
    <w:rsid w:val="00CA3F83"/>
    <w:rsid w:val="00CA46F9"/>
    <w:rsid w:val="00CA509E"/>
    <w:rsid w:val="00CA7BE1"/>
    <w:rsid w:val="00CB138C"/>
    <w:rsid w:val="00CB1C65"/>
    <w:rsid w:val="00CB2A13"/>
    <w:rsid w:val="00CB3D69"/>
    <w:rsid w:val="00CB3F12"/>
    <w:rsid w:val="00CB4443"/>
    <w:rsid w:val="00CB78BE"/>
    <w:rsid w:val="00CC0B22"/>
    <w:rsid w:val="00CC258E"/>
    <w:rsid w:val="00CC2D6F"/>
    <w:rsid w:val="00CC338A"/>
    <w:rsid w:val="00CC34E7"/>
    <w:rsid w:val="00CC54F7"/>
    <w:rsid w:val="00CC5FD6"/>
    <w:rsid w:val="00CC615D"/>
    <w:rsid w:val="00CC687E"/>
    <w:rsid w:val="00CC6BFE"/>
    <w:rsid w:val="00CC7292"/>
    <w:rsid w:val="00CC7DCB"/>
    <w:rsid w:val="00CD12B3"/>
    <w:rsid w:val="00CD21FD"/>
    <w:rsid w:val="00CD3F90"/>
    <w:rsid w:val="00CD48BC"/>
    <w:rsid w:val="00CD4E09"/>
    <w:rsid w:val="00CD5187"/>
    <w:rsid w:val="00CD538A"/>
    <w:rsid w:val="00CD601A"/>
    <w:rsid w:val="00CD7001"/>
    <w:rsid w:val="00CD7782"/>
    <w:rsid w:val="00CE051D"/>
    <w:rsid w:val="00CE0C80"/>
    <w:rsid w:val="00CE0DB2"/>
    <w:rsid w:val="00CE1320"/>
    <w:rsid w:val="00CE1FBF"/>
    <w:rsid w:val="00CE2C91"/>
    <w:rsid w:val="00CE4450"/>
    <w:rsid w:val="00CE45F9"/>
    <w:rsid w:val="00CE5CD6"/>
    <w:rsid w:val="00CE5EEC"/>
    <w:rsid w:val="00CF012D"/>
    <w:rsid w:val="00CF18DD"/>
    <w:rsid w:val="00CF3598"/>
    <w:rsid w:val="00CF4D41"/>
    <w:rsid w:val="00CF560D"/>
    <w:rsid w:val="00CF6D21"/>
    <w:rsid w:val="00D012C3"/>
    <w:rsid w:val="00D020D8"/>
    <w:rsid w:val="00D0302B"/>
    <w:rsid w:val="00D042D8"/>
    <w:rsid w:val="00D1024F"/>
    <w:rsid w:val="00D103AF"/>
    <w:rsid w:val="00D106FB"/>
    <w:rsid w:val="00D11F4A"/>
    <w:rsid w:val="00D12009"/>
    <w:rsid w:val="00D12FE5"/>
    <w:rsid w:val="00D14649"/>
    <w:rsid w:val="00D14E32"/>
    <w:rsid w:val="00D159D1"/>
    <w:rsid w:val="00D15B9F"/>
    <w:rsid w:val="00D17D13"/>
    <w:rsid w:val="00D20643"/>
    <w:rsid w:val="00D20FC9"/>
    <w:rsid w:val="00D230CD"/>
    <w:rsid w:val="00D231FA"/>
    <w:rsid w:val="00D23C24"/>
    <w:rsid w:val="00D26825"/>
    <w:rsid w:val="00D27ABE"/>
    <w:rsid w:val="00D3001A"/>
    <w:rsid w:val="00D31E87"/>
    <w:rsid w:val="00D3292F"/>
    <w:rsid w:val="00D33C4C"/>
    <w:rsid w:val="00D3417F"/>
    <w:rsid w:val="00D3525A"/>
    <w:rsid w:val="00D3681D"/>
    <w:rsid w:val="00D37090"/>
    <w:rsid w:val="00D37F31"/>
    <w:rsid w:val="00D41AF5"/>
    <w:rsid w:val="00D4228D"/>
    <w:rsid w:val="00D4249D"/>
    <w:rsid w:val="00D43DD9"/>
    <w:rsid w:val="00D450D0"/>
    <w:rsid w:val="00D46589"/>
    <w:rsid w:val="00D46E2F"/>
    <w:rsid w:val="00D4756E"/>
    <w:rsid w:val="00D47CFB"/>
    <w:rsid w:val="00D510DA"/>
    <w:rsid w:val="00D51375"/>
    <w:rsid w:val="00D51A52"/>
    <w:rsid w:val="00D5365D"/>
    <w:rsid w:val="00D5434B"/>
    <w:rsid w:val="00D54654"/>
    <w:rsid w:val="00D5519A"/>
    <w:rsid w:val="00D55C79"/>
    <w:rsid w:val="00D5655F"/>
    <w:rsid w:val="00D56AD2"/>
    <w:rsid w:val="00D57D6E"/>
    <w:rsid w:val="00D60667"/>
    <w:rsid w:val="00D608A0"/>
    <w:rsid w:val="00D61048"/>
    <w:rsid w:val="00D61DDC"/>
    <w:rsid w:val="00D6359F"/>
    <w:rsid w:val="00D65DA3"/>
    <w:rsid w:val="00D67331"/>
    <w:rsid w:val="00D67524"/>
    <w:rsid w:val="00D67904"/>
    <w:rsid w:val="00D67A4B"/>
    <w:rsid w:val="00D70B5E"/>
    <w:rsid w:val="00D72285"/>
    <w:rsid w:val="00D73341"/>
    <w:rsid w:val="00D73EC5"/>
    <w:rsid w:val="00D7478E"/>
    <w:rsid w:val="00D74BFC"/>
    <w:rsid w:val="00D74D5F"/>
    <w:rsid w:val="00D7519A"/>
    <w:rsid w:val="00D75561"/>
    <w:rsid w:val="00D77D3C"/>
    <w:rsid w:val="00D80A12"/>
    <w:rsid w:val="00D8160E"/>
    <w:rsid w:val="00D81719"/>
    <w:rsid w:val="00D8182E"/>
    <w:rsid w:val="00D8251F"/>
    <w:rsid w:val="00D831E6"/>
    <w:rsid w:val="00D8374E"/>
    <w:rsid w:val="00D8533F"/>
    <w:rsid w:val="00D86163"/>
    <w:rsid w:val="00D8708E"/>
    <w:rsid w:val="00D8788C"/>
    <w:rsid w:val="00D87AF4"/>
    <w:rsid w:val="00D909A5"/>
    <w:rsid w:val="00D9302E"/>
    <w:rsid w:val="00DA224E"/>
    <w:rsid w:val="00DA2953"/>
    <w:rsid w:val="00DA5EB4"/>
    <w:rsid w:val="00DB0FA5"/>
    <w:rsid w:val="00DB398A"/>
    <w:rsid w:val="00DB4C09"/>
    <w:rsid w:val="00DB4E0E"/>
    <w:rsid w:val="00DB5001"/>
    <w:rsid w:val="00DB56BE"/>
    <w:rsid w:val="00DB5F71"/>
    <w:rsid w:val="00DB6414"/>
    <w:rsid w:val="00DC0083"/>
    <w:rsid w:val="00DC0385"/>
    <w:rsid w:val="00DC097C"/>
    <w:rsid w:val="00DC0A1F"/>
    <w:rsid w:val="00DC28E0"/>
    <w:rsid w:val="00DC38ED"/>
    <w:rsid w:val="00DC5F29"/>
    <w:rsid w:val="00DC66F8"/>
    <w:rsid w:val="00DC68DD"/>
    <w:rsid w:val="00DC7CDF"/>
    <w:rsid w:val="00DC7D20"/>
    <w:rsid w:val="00DD0137"/>
    <w:rsid w:val="00DD1A45"/>
    <w:rsid w:val="00DD2927"/>
    <w:rsid w:val="00DD5837"/>
    <w:rsid w:val="00DD5C60"/>
    <w:rsid w:val="00DE1B8D"/>
    <w:rsid w:val="00DE2198"/>
    <w:rsid w:val="00DE31C1"/>
    <w:rsid w:val="00DE3848"/>
    <w:rsid w:val="00DE44BF"/>
    <w:rsid w:val="00DE5F5E"/>
    <w:rsid w:val="00DE7535"/>
    <w:rsid w:val="00DF1449"/>
    <w:rsid w:val="00DF229E"/>
    <w:rsid w:val="00DF23F2"/>
    <w:rsid w:val="00DF2A90"/>
    <w:rsid w:val="00DF3BB8"/>
    <w:rsid w:val="00DF45EB"/>
    <w:rsid w:val="00DF470E"/>
    <w:rsid w:val="00DF4853"/>
    <w:rsid w:val="00DF52E3"/>
    <w:rsid w:val="00E04037"/>
    <w:rsid w:val="00E05458"/>
    <w:rsid w:val="00E05964"/>
    <w:rsid w:val="00E05F95"/>
    <w:rsid w:val="00E07F66"/>
    <w:rsid w:val="00E11A7F"/>
    <w:rsid w:val="00E11DA2"/>
    <w:rsid w:val="00E15840"/>
    <w:rsid w:val="00E15D39"/>
    <w:rsid w:val="00E22ED9"/>
    <w:rsid w:val="00E24565"/>
    <w:rsid w:val="00E24706"/>
    <w:rsid w:val="00E24C84"/>
    <w:rsid w:val="00E275D6"/>
    <w:rsid w:val="00E31CE3"/>
    <w:rsid w:val="00E33719"/>
    <w:rsid w:val="00E33C92"/>
    <w:rsid w:val="00E34402"/>
    <w:rsid w:val="00E34A83"/>
    <w:rsid w:val="00E35B74"/>
    <w:rsid w:val="00E36443"/>
    <w:rsid w:val="00E366FD"/>
    <w:rsid w:val="00E3770D"/>
    <w:rsid w:val="00E4075B"/>
    <w:rsid w:val="00E40A34"/>
    <w:rsid w:val="00E4293A"/>
    <w:rsid w:val="00E44439"/>
    <w:rsid w:val="00E44A07"/>
    <w:rsid w:val="00E46232"/>
    <w:rsid w:val="00E47D53"/>
    <w:rsid w:val="00E50DA2"/>
    <w:rsid w:val="00E51153"/>
    <w:rsid w:val="00E51F7B"/>
    <w:rsid w:val="00E526D8"/>
    <w:rsid w:val="00E53C1F"/>
    <w:rsid w:val="00E53F8E"/>
    <w:rsid w:val="00E553C4"/>
    <w:rsid w:val="00E57117"/>
    <w:rsid w:val="00E57154"/>
    <w:rsid w:val="00E6194F"/>
    <w:rsid w:val="00E61DFC"/>
    <w:rsid w:val="00E623B9"/>
    <w:rsid w:val="00E652A8"/>
    <w:rsid w:val="00E67F37"/>
    <w:rsid w:val="00E73697"/>
    <w:rsid w:val="00E74A85"/>
    <w:rsid w:val="00E74CED"/>
    <w:rsid w:val="00E75532"/>
    <w:rsid w:val="00E76C11"/>
    <w:rsid w:val="00E774C7"/>
    <w:rsid w:val="00E776C5"/>
    <w:rsid w:val="00E83157"/>
    <w:rsid w:val="00E83159"/>
    <w:rsid w:val="00E833C7"/>
    <w:rsid w:val="00E84A23"/>
    <w:rsid w:val="00E85897"/>
    <w:rsid w:val="00E865EB"/>
    <w:rsid w:val="00E87EC1"/>
    <w:rsid w:val="00E915FD"/>
    <w:rsid w:val="00E93FD0"/>
    <w:rsid w:val="00E957F0"/>
    <w:rsid w:val="00E95CB7"/>
    <w:rsid w:val="00E96D66"/>
    <w:rsid w:val="00EA044F"/>
    <w:rsid w:val="00EA0550"/>
    <w:rsid w:val="00EA116D"/>
    <w:rsid w:val="00EA1224"/>
    <w:rsid w:val="00EA150F"/>
    <w:rsid w:val="00EA28AF"/>
    <w:rsid w:val="00EA2D94"/>
    <w:rsid w:val="00EA4BEE"/>
    <w:rsid w:val="00EA5FCC"/>
    <w:rsid w:val="00EA73CF"/>
    <w:rsid w:val="00EA7404"/>
    <w:rsid w:val="00EB3E43"/>
    <w:rsid w:val="00EB42C1"/>
    <w:rsid w:val="00EB4400"/>
    <w:rsid w:val="00EB5996"/>
    <w:rsid w:val="00EC0156"/>
    <w:rsid w:val="00EC11DD"/>
    <w:rsid w:val="00EC1E28"/>
    <w:rsid w:val="00EC2151"/>
    <w:rsid w:val="00EC3D50"/>
    <w:rsid w:val="00EC3F08"/>
    <w:rsid w:val="00EC4F2C"/>
    <w:rsid w:val="00EC552C"/>
    <w:rsid w:val="00EC56EE"/>
    <w:rsid w:val="00EC6026"/>
    <w:rsid w:val="00EC6627"/>
    <w:rsid w:val="00ED080D"/>
    <w:rsid w:val="00ED0B1B"/>
    <w:rsid w:val="00ED15E4"/>
    <w:rsid w:val="00ED16D6"/>
    <w:rsid w:val="00ED3508"/>
    <w:rsid w:val="00ED3A2C"/>
    <w:rsid w:val="00ED4056"/>
    <w:rsid w:val="00ED50E6"/>
    <w:rsid w:val="00ED691B"/>
    <w:rsid w:val="00ED6B02"/>
    <w:rsid w:val="00EE04BA"/>
    <w:rsid w:val="00EE0836"/>
    <w:rsid w:val="00EE0874"/>
    <w:rsid w:val="00EE1207"/>
    <w:rsid w:val="00EE1332"/>
    <w:rsid w:val="00EE2557"/>
    <w:rsid w:val="00EE28C6"/>
    <w:rsid w:val="00EE2A6B"/>
    <w:rsid w:val="00EE3DA5"/>
    <w:rsid w:val="00EE40B5"/>
    <w:rsid w:val="00EE429C"/>
    <w:rsid w:val="00EF0970"/>
    <w:rsid w:val="00EF171D"/>
    <w:rsid w:val="00EF1CD8"/>
    <w:rsid w:val="00EF1E73"/>
    <w:rsid w:val="00EF23E8"/>
    <w:rsid w:val="00EF2FC2"/>
    <w:rsid w:val="00EF37C3"/>
    <w:rsid w:val="00EF3BE5"/>
    <w:rsid w:val="00EF4DE8"/>
    <w:rsid w:val="00EF5521"/>
    <w:rsid w:val="00EF5E58"/>
    <w:rsid w:val="00EF6AA8"/>
    <w:rsid w:val="00EF78B8"/>
    <w:rsid w:val="00F038DB"/>
    <w:rsid w:val="00F042C2"/>
    <w:rsid w:val="00F072E0"/>
    <w:rsid w:val="00F07542"/>
    <w:rsid w:val="00F10723"/>
    <w:rsid w:val="00F11336"/>
    <w:rsid w:val="00F11719"/>
    <w:rsid w:val="00F131AB"/>
    <w:rsid w:val="00F145AC"/>
    <w:rsid w:val="00F14D90"/>
    <w:rsid w:val="00F16256"/>
    <w:rsid w:val="00F17144"/>
    <w:rsid w:val="00F17C77"/>
    <w:rsid w:val="00F20AFE"/>
    <w:rsid w:val="00F2131D"/>
    <w:rsid w:val="00F2322F"/>
    <w:rsid w:val="00F2636E"/>
    <w:rsid w:val="00F26938"/>
    <w:rsid w:val="00F26BF1"/>
    <w:rsid w:val="00F30E8F"/>
    <w:rsid w:val="00F311BA"/>
    <w:rsid w:val="00F32697"/>
    <w:rsid w:val="00F32AEC"/>
    <w:rsid w:val="00F33DD2"/>
    <w:rsid w:val="00F359A7"/>
    <w:rsid w:val="00F3669D"/>
    <w:rsid w:val="00F37C34"/>
    <w:rsid w:val="00F37CAF"/>
    <w:rsid w:val="00F37D2E"/>
    <w:rsid w:val="00F42A3A"/>
    <w:rsid w:val="00F45A53"/>
    <w:rsid w:val="00F45E67"/>
    <w:rsid w:val="00F472DB"/>
    <w:rsid w:val="00F47E14"/>
    <w:rsid w:val="00F5268E"/>
    <w:rsid w:val="00F5404E"/>
    <w:rsid w:val="00F56E2C"/>
    <w:rsid w:val="00F578AB"/>
    <w:rsid w:val="00F579D4"/>
    <w:rsid w:val="00F6031E"/>
    <w:rsid w:val="00F617BB"/>
    <w:rsid w:val="00F632DD"/>
    <w:rsid w:val="00F64628"/>
    <w:rsid w:val="00F64BFC"/>
    <w:rsid w:val="00F65105"/>
    <w:rsid w:val="00F65AC1"/>
    <w:rsid w:val="00F66A13"/>
    <w:rsid w:val="00F67265"/>
    <w:rsid w:val="00F71797"/>
    <w:rsid w:val="00F72194"/>
    <w:rsid w:val="00F73276"/>
    <w:rsid w:val="00F734A8"/>
    <w:rsid w:val="00F73609"/>
    <w:rsid w:val="00F750CE"/>
    <w:rsid w:val="00F76E42"/>
    <w:rsid w:val="00F77036"/>
    <w:rsid w:val="00F8070D"/>
    <w:rsid w:val="00F80A49"/>
    <w:rsid w:val="00F81332"/>
    <w:rsid w:val="00F824AC"/>
    <w:rsid w:val="00F8261A"/>
    <w:rsid w:val="00F8294E"/>
    <w:rsid w:val="00F82E3A"/>
    <w:rsid w:val="00F830BE"/>
    <w:rsid w:val="00F84975"/>
    <w:rsid w:val="00F8533B"/>
    <w:rsid w:val="00F857E6"/>
    <w:rsid w:val="00F85BFE"/>
    <w:rsid w:val="00F86874"/>
    <w:rsid w:val="00F868C9"/>
    <w:rsid w:val="00F9064F"/>
    <w:rsid w:val="00F910AC"/>
    <w:rsid w:val="00F944EC"/>
    <w:rsid w:val="00F94EE1"/>
    <w:rsid w:val="00F97607"/>
    <w:rsid w:val="00FA00BF"/>
    <w:rsid w:val="00FA0B68"/>
    <w:rsid w:val="00FA18B4"/>
    <w:rsid w:val="00FA1F62"/>
    <w:rsid w:val="00FA2596"/>
    <w:rsid w:val="00FA691A"/>
    <w:rsid w:val="00FA6E9B"/>
    <w:rsid w:val="00FA7049"/>
    <w:rsid w:val="00FA74B2"/>
    <w:rsid w:val="00FB1558"/>
    <w:rsid w:val="00FB1ECC"/>
    <w:rsid w:val="00FB303D"/>
    <w:rsid w:val="00FB562C"/>
    <w:rsid w:val="00FB5E33"/>
    <w:rsid w:val="00FB6373"/>
    <w:rsid w:val="00FB719E"/>
    <w:rsid w:val="00FB7B75"/>
    <w:rsid w:val="00FC07DC"/>
    <w:rsid w:val="00FC298D"/>
    <w:rsid w:val="00FC2B19"/>
    <w:rsid w:val="00FC34A4"/>
    <w:rsid w:val="00FC3D99"/>
    <w:rsid w:val="00FC3DF4"/>
    <w:rsid w:val="00FC3FF1"/>
    <w:rsid w:val="00FC409E"/>
    <w:rsid w:val="00FC52CA"/>
    <w:rsid w:val="00FC5782"/>
    <w:rsid w:val="00FC5D90"/>
    <w:rsid w:val="00FC652B"/>
    <w:rsid w:val="00FC6E5B"/>
    <w:rsid w:val="00FC7F00"/>
    <w:rsid w:val="00FD17DB"/>
    <w:rsid w:val="00FD18F4"/>
    <w:rsid w:val="00FD2285"/>
    <w:rsid w:val="00FD3474"/>
    <w:rsid w:val="00FD384F"/>
    <w:rsid w:val="00FD463A"/>
    <w:rsid w:val="00FD4F22"/>
    <w:rsid w:val="00FD67D5"/>
    <w:rsid w:val="00FE07DD"/>
    <w:rsid w:val="00FE161B"/>
    <w:rsid w:val="00FE2401"/>
    <w:rsid w:val="00FE2524"/>
    <w:rsid w:val="00FE3285"/>
    <w:rsid w:val="00FE509C"/>
    <w:rsid w:val="00FE6D61"/>
    <w:rsid w:val="00FF08DB"/>
    <w:rsid w:val="00FF2556"/>
    <w:rsid w:val="00FF4050"/>
    <w:rsid w:val="00FF4139"/>
    <w:rsid w:val="00FF4210"/>
    <w:rsid w:val="00FF455E"/>
    <w:rsid w:val="00FF4652"/>
    <w:rsid w:val="00FF502E"/>
    <w:rsid w:val="00FF6B7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sz w:val="22"/>
        <w:szCs w:val="22"/>
        <w:lang w:val="de-DE" w:eastAsia="de-DE"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pPr>
      <w:spacing w:after="160" w:line="259" w:lineRule="auto"/>
    </w:pPr>
  </w:style>
  <w:style w:type="paragraph" w:styleId="Heading1">
    <w:name w:val="heading 1"/>
    <w:basedOn w:val="Normal"/>
    <w:next w:val="Normal"/>
    <w:link w:val="Heading1Char"/>
    <w:uiPriority w:val="99"/>
    <w:qFormat/>
    <w:rsid w:val="00930D5E"/>
    <w:pPr>
      <w:keepNext/>
      <w:keepLines/>
      <w:spacing w:before="240" w:after="0"/>
      <w:outlineLvl w:val="0"/>
    </w:pPr>
    <w:rPr>
      <w:rFonts w:ascii="Calibri Light" w:eastAsia="PMingLiU" w:hAnsi="Calibri Light" w:cs="Times New Roman"/>
      <w:color w:val="2E74B5"/>
      <w:sz w:val="32"/>
      <w:szCs w:val="32"/>
    </w:rPr>
  </w:style>
  <w:style w:type="paragraph" w:styleId="Heading2">
    <w:name w:val="heading 2"/>
    <w:basedOn w:val="Normal"/>
    <w:next w:val="Normal"/>
    <w:link w:val="Heading2Char"/>
    <w:uiPriority w:val="99"/>
    <w:qFormat/>
    <w:rsid w:val="00930D5E"/>
    <w:pPr>
      <w:keepNext/>
      <w:keepLines/>
      <w:spacing w:before="40" w:after="0"/>
      <w:outlineLvl w:val="1"/>
    </w:pPr>
    <w:rPr>
      <w:rFonts w:ascii="Calibri Light" w:eastAsia="PMingLiU" w:hAnsi="Calibri Light" w:cs="Times New Roman"/>
      <w:color w:val="2E74B5"/>
      <w:sz w:val="26"/>
      <w:szCs w:val="26"/>
    </w:rPr>
  </w:style>
  <w:style w:type="paragraph" w:styleId="Heading3">
    <w:name w:val="heading 3"/>
    <w:basedOn w:val="Normal"/>
    <w:next w:val="Normal"/>
    <w:link w:val="Heading3Char"/>
    <w:uiPriority w:val="99"/>
    <w:qFormat/>
    <w:rsid w:val="00930D5E"/>
    <w:pPr>
      <w:keepNext/>
      <w:keepLines/>
      <w:spacing w:before="40" w:after="0"/>
      <w:outlineLvl w:val="2"/>
    </w:pPr>
    <w:rPr>
      <w:rFonts w:ascii="Calibri Light" w:eastAsia="PMingLiU"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0D5E"/>
    <w:rPr>
      <w:rFonts w:ascii="Calibri Light" w:eastAsia="PMingLiU" w:hAnsi="Calibri Light"/>
      <w:color w:val="2E74B5"/>
      <w:sz w:val="32"/>
    </w:rPr>
  </w:style>
  <w:style w:type="character" w:customStyle="1" w:styleId="Heading2Char">
    <w:name w:val="Heading 2 Char"/>
    <w:basedOn w:val="DefaultParagraphFont"/>
    <w:link w:val="Heading2"/>
    <w:uiPriority w:val="99"/>
    <w:semiHidden/>
    <w:locked/>
    <w:rsid w:val="00930D5E"/>
    <w:rPr>
      <w:rFonts w:ascii="Calibri Light" w:eastAsia="PMingLiU" w:hAnsi="Calibri Light"/>
      <w:color w:val="2E74B5"/>
      <w:sz w:val="26"/>
    </w:rPr>
  </w:style>
  <w:style w:type="character" w:customStyle="1" w:styleId="Heading3Char">
    <w:name w:val="Heading 3 Char"/>
    <w:basedOn w:val="DefaultParagraphFont"/>
    <w:link w:val="Heading3"/>
    <w:uiPriority w:val="99"/>
    <w:semiHidden/>
    <w:locked/>
    <w:rsid w:val="00930D5E"/>
    <w:rPr>
      <w:rFonts w:ascii="Calibri Light" w:eastAsia="PMingLiU" w:hAnsi="Calibri Light"/>
      <w:color w:val="1F4D78"/>
      <w:sz w:val="24"/>
    </w:rPr>
  </w:style>
  <w:style w:type="paragraph" w:customStyle="1" w:styleId="ProductList-Body">
    <w:name w:val="Product List - Body"/>
    <w:basedOn w:val="Normal"/>
    <w:link w:val="ProductList-BodyChar"/>
    <w:uiPriority w:val="99"/>
    <w:rsid w:val="003F6BD4"/>
    <w:pPr>
      <w:tabs>
        <w:tab w:val="left" w:pos="158"/>
      </w:tabs>
      <w:spacing w:after="0" w:line="240" w:lineRule="auto"/>
    </w:pPr>
    <w:rPr>
      <w:rFonts w:cs="Times New Roman"/>
      <w:sz w:val="18"/>
      <w:szCs w:val="20"/>
    </w:rPr>
  </w:style>
  <w:style w:type="paragraph" w:customStyle="1" w:styleId="ProductList-SectionHeading">
    <w:name w:val="Product List - Section Heading"/>
    <w:basedOn w:val="ProductList-Body"/>
    <w:next w:val="ProductList-Body"/>
    <w:link w:val="ProductList-SectionHeadingChar"/>
    <w:uiPriority w:val="99"/>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uiPriority w:val="99"/>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uiPriority w:val="99"/>
    <w:locked/>
    <w:rsid w:val="003F6BD4"/>
    <w:rPr>
      <w:sz w:val="18"/>
    </w:rPr>
  </w:style>
  <w:style w:type="character" w:customStyle="1" w:styleId="ProductList-SectionHeadingChar">
    <w:name w:val="Product List - Section Heading Char"/>
    <w:link w:val="ProductList-SectionHeading"/>
    <w:uiPriority w:val="99"/>
    <w:locked/>
    <w:rsid w:val="00407E60"/>
    <w:rPr>
      <w:rFonts w:ascii="Calibri Light" w:hAnsi="Calibri Light"/>
      <w:b/>
      <w:sz w:val="40"/>
    </w:rPr>
  </w:style>
  <w:style w:type="paragraph" w:customStyle="1" w:styleId="ProductList-Offering1">
    <w:name w:val="Product List - Offering 1"/>
    <w:basedOn w:val="ProductList-Body"/>
    <w:link w:val="ProductList-Offering1Char"/>
    <w:uiPriority w:val="99"/>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uiPriority w:val="99"/>
    <w:locked/>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uiPriority w:val="99"/>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uiPriority w:val="99"/>
    <w:locked/>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uiPriority w:val="99"/>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uiPriority w:val="99"/>
    <w:locked/>
    <w:rsid w:val="00287117"/>
    <w:rPr>
      <w:sz w:val="16"/>
    </w:rPr>
  </w:style>
  <w:style w:type="paragraph" w:customStyle="1" w:styleId="ProductList-SubSection1Heading">
    <w:name w:val="Product List - SubSection 1 Heading"/>
    <w:basedOn w:val="ProductList-Body"/>
    <w:link w:val="ProductList-SubSection1HeadingChar"/>
    <w:uiPriority w:val="99"/>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uiPriority w:val="99"/>
    <w:locked/>
    <w:rsid w:val="00C13DF8"/>
    <w:rPr>
      <w:rFonts w:ascii="Calibri Light" w:hAnsi="Calibri Light"/>
      <w:b/>
      <w:sz w:val="28"/>
    </w:rPr>
  </w:style>
  <w:style w:type="paragraph" w:styleId="Header">
    <w:name w:val="header"/>
    <w:basedOn w:val="Normal"/>
    <w:link w:val="HeaderChar"/>
    <w:uiPriority w:val="99"/>
    <w:rsid w:val="009A573F"/>
    <w:pPr>
      <w:tabs>
        <w:tab w:val="center" w:pos="4680"/>
        <w:tab w:val="right" w:pos="9360"/>
      </w:tabs>
      <w:spacing w:after="0" w:line="240" w:lineRule="auto"/>
    </w:pPr>
    <w:rPr>
      <w:rFonts w:cs="Times New Roman"/>
      <w:sz w:val="20"/>
      <w:szCs w:val="20"/>
    </w:rPr>
  </w:style>
  <w:style w:type="character" w:customStyle="1" w:styleId="HeaderChar">
    <w:name w:val="Header Char"/>
    <w:basedOn w:val="DefaultParagraphFont"/>
    <w:link w:val="Header"/>
    <w:uiPriority w:val="99"/>
    <w:locked/>
    <w:rsid w:val="009A573F"/>
  </w:style>
  <w:style w:type="character" w:customStyle="1" w:styleId="ProductList-SubSection1HeadingChar">
    <w:name w:val="Product List - SubSection 1 Heading Char"/>
    <w:link w:val="ProductList-SubSection1Heading"/>
    <w:uiPriority w:val="99"/>
    <w:locked/>
    <w:rsid w:val="00EE40B5"/>
    <w:rPr>
      <w:rFonts w:ascii="Calibri Light" w:hAnsi="Calibri Light"/>
      <w:b/>
      <w:sz w:val="28"/>
    </w:rPr>
  </w:style>
  <w:style w:type="paragraph" w:styleId="Footer">
    <w:name w:val="footer"/>
    <w:basedOn w:val="Normal"/>
    <w:link w:val="FooterChar"/>
    <w:uiPriority w:val="99"/>
    <w:rsid w:val="009A573F"/>
    <w:pPr>
      <w:tabs>
        <w:tab w:val="center" w:pos="4680"/>
        <w:tab w:val="right" w:pos="9360"/>
      </w:tabs>
      <w:spacing w:after="0" w:line="240" w:lineRule="auto"/>
    </w:pPr>
    <w:rPr>
      <w:rFonts w:cs="Times New Roman"/>
      <w:sz w:val="20"/>
      <w:szCs w:val="20"/>
    </w:rPr>
  </w:style>
  <w:style w:type="character" w:customStyle="1" w:styleId="FooterChar">
    <w:name w:val="Footer Char"/>
    <w:basedOn w:val="DefaultParagraphFont"/>
    <w:link w:val="Footer"/>
    <w:uiPriority w:val="99"/>
    <w:locked/>
    <w:rsid w:val="009A573F"/>
  </w:style>
  <w:style w:type="table" w:styleId="TableGrid">
    <w:name w:val="Table Grid"/>
    <w:basedOn w:val="TableNormal"/>
    <w:uiPriority w:val="99"/>
    <w:rsid w:val="00C76DF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CB3D69"/>
    <w:rPr>
      <w:rFonts w:cs="Times New Roman"/>
      <w:color w:val="0563C1"/>
      <w:u w:val="single"/>
    </w:rPr>
  </w:style>
  <w:style w:type="paragraph" w:styleId="BalloonText">
    <w:name w:val="Balloon Text"/>
    <w:basedOn w:val="Normal"/>
    <w:link w:val="BalloonTextChar"/>
    <w:uiPriority w:val="99"/>
    <w:semiHidden/>
    <w:rsid w:val="00E3770D"/>
    <w:pPr>
      <w:spacing w:after="0" w:line="240" w:lineRule="auto"/>
    </w:pPr>
    <w:rPr>
      <w:rFonts w:ascii="Segoe UI" w:hAnsi="Segoe UI" w:cs="Times New Roman"/>
      <w:sz w:val="18"/>
      <w:szCs w:val="18"/>
    </w:rPr>
  </w:style>
  <w:style w:type="character" w:customStyle="1" w:styleId="BalloonTextChar">
    <w:name w:val="Balloon Text Char"/>
    <w:basedOn w:val="DefaultParagraphFont"/>
    <w:link w:val="BalloonText"/>
    <w:uiPriority w:val="99"/>
    <w:semiHidden/>
    <w:locked/>
    <w:rsid w:val="00E3770D"/>
    <w:rPr>
      <w:rFonts w:ascii="Segoe UI" w:hAnsi="Segoe UI"/>
      <w:sz w:val="18"/>
    </w:rPr>
  </w:style>
  <w:style w:type="paragraph" w:customStyle="1" w:styleId="ProductList-Offering2Heading">
    <w:name w:val="Product List - Offering 2 Heading"/>
    <w:basedOn w:val="ProductList-Offering1Heading"/>
    <w:next w:val="ProductList-Body"/>
    <w:link w:val="ProductList-Offering2HeadingChar"/>
    <w:uiPriority w:val="99"/>
    <w:rsid w:val="003F6BD4"/>
    <w:pPr>
      <w:tabs>
        <w:tab w:val="clear" w:pos="187"/>
      </w:tabs>
    </w:pPr>
  </w:style>
  <w:style w:type="character" w:customStyle="1" w:styleId="ProductList-Offering2HeadingChar">
    <w:name w:val="Product List - Offering 2 Heading Char"/>
    <w:link w:val="ProductList-Offering2Heading"/>
    <w:uiPriority w:val="99"/>
    <w:locked/>
    <w:rsid w:val="003F6BD4"/>
    <w:rPr>
      <w:rFonts w:ascii="Calibri Light" w:hAnsi="Calibri Light"/>
      <w:b/>
      <w:sz w:val="28"/>
    </w:rPr>
  </w:style>
  <w:style w:type="paragraph" w:customStyle="1" w:styleId="ProductList-Offering2">
    <w:name w:val="Product List - Offering 2"/>
    <w:basedOn w:val="ProductList-Offering1"/>
    <w:link w:val="ProductList-Offering2Char"/>
    <w:uiPriority w:val="99"/>
    <w:rsid w:val="003F6BD4"/>
  </w:style>
  <w:style w:type="paragraph" w:customStyle="1" w:styleId="ProductList-SubSubSectionHeading">
    <w:name w:val="Product List - SubSubSection Heading"/>
    <w:basedOn w:val="ProductList-Body"/>
    <w:link w:val="ProductList-SubSubSectionHeadingChar"/>
    <w:uiPriority w:val="99"/>
    <w:rsid w:val="00103924"/>
    <w:rPr>
      <w:b/>
      <w:color w:val="00188F"/>
    </w:rPr>
  </w:style>
  <w:style w:type="character" w:customStyle="1" w:styleId="ProductList-Offering2Char">
    <w:name w:val="Product List - Offering 2 Char"/>
    <w:link w:val="ProductList-Offering2"/>
    <w:uiPriority w:val="99"/>
    <w:locked/>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uiPriority w:val="99"/>
    <w:rsid w:val="00B0782A"/>
    <w:pPr>
      <w:tabs>
        <w:tab w:val="clear" w:pos="187"/>
      </w:tabs>
      <w:outlineLvl w:val="2"/>
    </w:pPr>
  </w:style>
  <w:style w:type="character" w:customStyle="1" w:styleId="ProductList-SubSubSectionHeadingChar">
    <w:name w:val="Product List - SubSubSection Heading Char"/>
    <w:link w:val="ProductList-SubSubSectionHeading"/>
    <w:uiPriority w:val="99"/>
    <w:locked/>
    <w:rsid w:val="00103924"/>
    <w:rPr>
      <w:b/>
      <w:color w:val="00188F"/>
      <w:sz w:val="18"/>
    </w:rPr>
  </w:style>
  <w:style w:type="paragraph" w:styleId="TOC1">
    <w:name w:val="toc 1"/>
    <w:basedOn w:val="Normal"/>
    <w:next w:val="Normal"/>
    <w:autoRedefine/>
    <w:uiPriority w:val="39"/>
    <w:rsid w:val="003C75FF"/>
    <w:pPr>
      <w:spacing w:before="120" w:after="120" w:line="252" w:lineRule="auto"/>
    </w:pPr>
    <w:rPr>
      <w:b/>
      <w:caps/>
      <w:sz w:val="18"/>
    </w:rPr>
  </w:style>
  <w:style w:type="paragraph" w:styleId="TOC2">
    <w:name w:val="toc 2"/>
    <w:basedOn w:val="Normal"/>
    <w:next w:val="Normal"/>
    <w:autoRedefine/>
    <w:uiPriority w:val="39"/>
    <w:rsid w:val="006E65E2"/>
    <w:pPr>
      <w:tabs>
        <w:tab w:val="right" w:leader="dot" w:pos="5030"/>
      </w:tabs>
      <w:spacing w:after="0" w:line="252" w:lineRule="auto"/>
      <w:ind w:left="158"/>
    </w:pPr>
    <w:rPr>
      <w:smallCaps/>
      <w:sz w:val="18"/>
    </w:rPr>
  </w:style>
  <w:style w:type="paragraph" w:styleId="TOC3">
    <w:name w:val="toc 3"/>
    <w:basedOn w:val="Normal"/>
    <w:next w:val="Normal"/>
    <w:autoRedefine/>
    <w:uiPriority w:val="39"/>
    <w:rsid w:val="00706259"/>
    <w:pPr>
      <w:tabs>
        <w:tab w:val="right" w:leader="dot" w:pos="5030"/>
      </w:tabs>
      <w:spacing w:after="0" w:line="252" w:lineRule="auto"/>
      <w:ind w:left="158"/>
    </w:pPr>
    <w:rPr>
      <w:smallCaps/>
      <w:sz w:val="18"/>
    </w:rPr>
  </w:style>
  <w:style w:type="paragraph" w:styleId="TOC4">
    <w:name w:val="toc 4"/>
    <w:basedOn w:val="Normal"/>
    <w:next w:val="Normal"/>
    <w:autoRedefine/>
    <w:uiPriority w:val="39"/>
    <w:rsid w:val="00706259"/>
    <w:pPr>
      <w:tabs>
        <w:tab w:val="right" w:leader="dot" w:pos="5030"/>
      </w:tabs>
      <w:spacing w:after="0" w:line="252" w:lineRule="auto"/>
      <w:ind w:left="158"/>
    </w:pPr>
    <w:rPr>
      <w:smallCaps/>
      <w:sz w:val="18"/>
    </w:rPr>
  </w:style>
  <w:style w:type="paragraph" w:styleId="TOC5">
    <w:name w:val="toc 5"/>
    <w:basedOn w:val="Normal"/>
    <w:next w:val="Normal"/>
    <w:autoRedefine/>
    <w:uiPriority w:val="39"/>
    <w:rsid w:val="006E65E2"/>
    <w:pPr>
      <w:tabs>
        <w:tab w:val="right" w:leader="dot" w:pos="5030"/>
      </w:tabs>
      <w:spacing w:after="0" w:line="252" w:lineRule="auto"/>
      <w:ind w:left="317"/>
    </w:pPr>
    <w:rPr>
      <w:sz w:val="16"/>
      <w:u w:val="single"/>
    </w:rPr>
  </w:style>
  <w:style w:type="paragraph" w:styleId="TOC6">
    <w:name w:val="toc 6"/>
    <w:basedOn w:val="Normal"/>
    <w:next w:val="Normal"/>
    <w:autoRedefine/>
    <w:uiPriority w:val="99"/>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uiPriority w:val="99"/>
    <w:locked/>
    <w:rsid w:val="00B0782A"/>
    <w:rPr>
      <w:rFonts w:ascii="Calibri Light" w:hAnsi="Calibri Light"/>
      <w:b/>
      <w:sz w:val="28"/>
    </w:rPr>
  </w:style>
  <w:style w:type="character" w:styleId="FollowedHyperlink">
    <w:name w:val="FollowedHyperlink"/>
    <w:basedOn w:val="DefaultParagraphFont"/>
    <w:uiPriority w:val="99"/>
    <w:semiHidden/>
    <w:rsid w:val="001602AC"/>
    <w:rPr>
      <w:rFonts w:cs="Times New Roman"/>
      <w:color w:val="954F72"/>
      <w:u w:val="single"/>
    </w:rPr>
  </w:style>
  <w:style w:type="paragraph" w:styleId="CommentText">
    <w:name w:val="annotation text"/>
    <w:basedOn w:val="Normal"/>
    <w:link w:val="CommentTextChar"/>
    <w:uiPriority w:val="99"/>
    <w:rsid w:val="00ED3A2C"/>
    <w:pPr>
      <w:spacing w:line="240" w:lineRule="auto"/>
    </w:pPr>
    <w:rPr>
      <w:rFonts w:cs="Times New Roman"/>
      <w:sz w:val="20"/>
      <w:szCs w:val="20"/>
    </w:rPr>
  </w:style>
  <w:style w:type="character" w:customStyle="1" w:styleId="CommentTextChar">
    <w:name w:val="Comment Text Char"/>
    <w:basedOn w:val="DefaultParagraphFont"/>
    <w:link w:val="CommentText"/>
    <w:uiPriority w:val="99"/>
    <w:locked/>
    <w:rsid w:val="00ED3A2C"/>
    <w:rPr>
      <w:sz w:val="20"/>
    </w:rPr>
  </w:style>
  <w:style w:type="character" w:styleId="CommentReference">
    <w:name w:val="annotation reference"/>
    <w:basedOn w:val="DefaultParagraphFont"/>
    <w:uiPriority w:val="99"/>
    <w:rsid w:val="00A41808"/>
    <w:rPr>
      <w:rFonts w:cs="Times New Roman"/>
      <w:sz w:val="16"/>
    </w:rPr>
  </w:style>
  <w:style w:type="paragraph" w:styleId="CommentSubject">
    <w:name w:val="annotation subject"/>
    <w:basedOn w:val="CommentText"/>
    <w:next w:val="CommentText"/>
    <w:link w:val="CommentSubjectChar"/>
    <w:uiPriority w:val="99"/>
    <w:semiHidden/>
    <w:rsid w:val="00ED3A2C"/>
    <w:rPr>
      <w:b/>
      <w:bCs/>
    </w:rPr>
  </w:style>
  <w:style w:type="character" w:customStyle="1" w:styleId="CommentSubjectChar">
    <w:name w:val="Comment Subject Char"/>
    <w:basedOn w:val="CommentTextChar"/>
    <w:link w:val="CommentSubject"/>
    <w:uiPriority w:val="99"/>
    <w:semiHidden/>
    <w:locked/>
    <w:rsid w:val="00ED3A2C"/>
    <w:rPr>
      <w:b/>
      <w:sz w:val="20"/>
    </w:rPr>
  </w:style>
  <w:style w:type="paragraph" w:styleId="TOC7">
    <w:name w:val="toc 7"/>
    <w:basedOn w:val="Normal"/>
    <w:next w:val="Normal"/>
    <w:autoRedefine/>
    <w:uiPriority w:val="99"/>
    <w:rsid w:val="00CE0C80"/>
    <w:pPr>
      <w:spacing w:after="100"/>
      <w:ind w:left="1320"/>
    </w:pPr>
    <w:rPr>
      <w:rFonts w:eastAsia="PMingLiU"/>
    </w:rPr>
  </w:style>
  <w:style w:type="paragraph" w:styleId="TOC8">
    <w:name w:val="toc 8"/>
    <w:basedOn w:val="Normal"/>
    <w:next w:val="Normal"/>
    <w:autoRedefine/>
    <w:uiPriority w:val="99"/>
    <w:rsid w:val="00CE0C80"/>
    <w:pPr>
      <w:spacing w:after="100"/>
      <w:ind w:left="1540"/>
    </w:pPr>
    <w:rPr>
      <w:rFonts w:eastAsia="PMingLiU"/>
    </w:rPr>
  </w:style>
  <w:style w:type="paragraph" w:styleId="TOC9">
    <w:name w:val="toc 9"/>
    <w:basedOn w:val="Normal"/>
    <w:next w:val="Normal"/>
    <w:autoRedefine/>
    <w:uiPriority w:val="99"/>
    <w:rsid w:val="00CE0C80"/>
    <w:pPr>
      <w:spacing w:after="100"/>
      <w:ind w:left="1760"/>
    </w:pPr>
    <w:rPr>
      <w:rFonts w:eastAsia="PMingLiU"/>
    </w:rPr>
  </w:style>
  <w:style w:type="paragraph" w:styleId="Revision">
    <w:name w:val="Revision"/>
    <w:hidden/>
    <w:uiPriority w:val="99"/>
    <w:semiHidden/>
    <w:rsid w:val="00780D45"/>
  </w:style>
  <w:style w:type="paragraph" w:styleId="Index1">
    <w:name w:val="index 1"/>
    <w:basedOn w:val="Normal"/>
    <w:next w:val="Normal"/>
    <w:autoRedefine/>
    <w:uiPriority w:val="99"/>
    <w:semiHidden/>
    <w:rsid w:val="00F72194"/>
    <w:pPr>
      <w:spacing w:after="0" w:line="240" w:lineRule="auto"/>
      <w:ind w:left="220" w:hanging="220"/>
    </w:pPr>
    <w:rPr>
      <w:sz w:val="16"/>
    </w:rPr>
  </w:style>
  <w:style w:type="paragraph" w:styleId="ListParagraph">
    <w:name w:val="List Paragraph"/>
    <w:basedOn w:val="Normal"/>
    <w:uiPriority w:val="99"/>
    <w:qFormat/>
    <w:rsid w:val="00677274"/>
    <w:pPr>
      <w:ind w:left="720"/>
      <w:contextualSpacing/>
    </w:pPr>
  </w:style>
  <w:style w:type="table" w:customStyle="1" w:styleId="TableGrid1">
    <w:name w:val="Table Grid1"/>
    <w:uiPriority w:val="99"/>
    <w:rsid w:val="00B942D8"/>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uiPriority w:val="99"/>
    <w:rsid w:val="00C95C41"/>
    <w:rPr>
      <w:rFonts w:ascii="Courier New" w:hAnsi="Courier New"/>
      <w:color w:val="FF0000"/>
      <w:sz w:val="6"/>
    </w:rPr>
  </w:style>
  <w:style w:type="character" w:customStyle="1" w:styleId="LogoportDoNotTranslate">
    <w:name w:val="LogoportDoNotTranslate"/>
    <w:uiPriority w:val="99"/>
    <w:rsid w:val="00C95C41"/>
    <w:rPr>
      <w:rFonts w:ascii="Courier New" w:hAnsi="Courier New"/>
      <w:color w:val="808080"/>
      <w:sz w:val="6"/>
    </w:rPr>
  </w:style>
  <w:style w:type="paragraph" w:customStyle="1" w:styleId="Style1">
    <w:name w:val="Style1"/>
    <w:basedOn w:val="ProductList-Body"/>
    <w:uiPriority w:val="99"/>
    <w:rsid w:val="00461541"/>
    <w:pPr>
      <w:shd w:val="clear" w:color="auto" w:fill="00188F"/>
      <w:ind w:right="8640"/>
    </w:pPr>
    <w:rPr>
      <w:sz w:val="6"/>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487334">
      <w:marLeft w:val="0"/>
      <w:marRight w:val="0"/>
      <w:marTop w:val="0"/>
      <w:marBottom w:val="0"/>
      <w:divBdr>
        <w:top w:val="none" w:sz="0" w:space="0" w:color="auto"/>
        <w:left w:val="none" w:sz="0" w:space="0" w:color="auto"/>
        <w:bottom w:val="none" w:sz="0" w:space="0" w:color="auto"/>
        <w:right w:val="none" w:sz="0" w:space="0" w:color="auto"/>
      </w:divBdr>
    </w:div>
    <w:div w:id="756487335">
      <w:marLeft w:val="0"/>
      <w:marRight w:val="0"/>
      <w:marTop w:val="0"/>
      <w:marBottom w:val="0"/>
      <w:divBdr>
        <w:top w:val="none" w:sz="0" w:space="0" w:color="auto"/>
        <w:left w:val="none" w:sz="0" w:space="0" w:color="auto"/>
        <w:bottom w:val="none" w:sz="0" w:space="0" w:color="auto"/>
        <w:right w:val="none" w:sz="0" w:space="0" w:color="auto"/>
      </w:divBdr>
    </w:div>
    <w:div w:id="756487336">
      <w:marLeft w:val="0"/>
      <w:marRight w:val="0"/>
      <w:marTop w:val="0"/>
      <w:marBottom w:val="0"/>
      <w:divBdr>
        <w:top w:val="none" w:sz="0" w:space="0" w:color="auto"/>
        <w:left w:val="none" w:sz="0" w:space="0" w:color="auto"/>
        <w:bottom w:val="none" w:sz="0" w:space="0" w:color="auto"/>
        <w:right w:val="none" w:sz="0" w:space="0" w:color="auto"/>
      </w:divBdr>
    </w:div>
    <w:div w:id="75648733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10.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tou" TargetMode="Externa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hyperlink" Target="http://azure.microsoft.com/en-us/services"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6" TargetMode="External"/><Relationship Id="rId53" Type="http://schemas.openxmlformats.org/officeDocument/2006/relationships/footer" Target="footer15.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www.go.microsoft.com/fwlink/?linkid=301900&amp;CLCID=0X409"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1.xml"/><Relationship Id="rId30" Type="http://schemas.openxmlformats.org/officeDocument/2006/relationships/hyperlink" Target="http://go.microsoft.com/?linkid=9839206" TargetMode="External"/><Relationship Id="rId35" Type="http://schemas.openxmlformats.org/officeDocument/2006/relationships/footer" Target="footer13.xml"/><Relationship Id="rId43" Type="http://schemas.openxmlformats.org/officeDocument/2006/relationships/hyperlink" Target="http://go.microsoft.com/fwlink/?LinkID=248686" TargetMode="External"/><Relationship Id="rId48" Type="http://schemas.openxmlformats.org/officeDocument/2006/relationships/hyperlink" Target="http://www.yammer.com/about/privacy" TargetMode="External"/><Relationship Id="rId56" Type="http://schemas.openxmlformats.org/officeDocument/2006/relationships/theme" Target="theme/theme1.xml"/><Relationship Id="rId8" Type="http://schemas.openxmlformats.org/officeDocument/2006/relationships/header" Target="header2.xml"/><Relationship Id="rId51" Type="http://schemas.openxmlformats.org/officeDocument/2006/relationships/hyperlink" Target="http://www.mpegla.com" TargetMode="External"/><Relationship Id="rId3" Type="http://schemas.openxmlformats.org/officeDocument/2006/relationships/settings" Target="setting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21286</Words>
  <Characters>121334</Characters>
  <Application>Microsoft Office Word</Application>
  <DocSecurity>8</DocSecurity>
  <Lines>1011</Lines>
  <Paragraphs>284</Paragraphs>
  <ScaleCrop>false</ScaleCrop>
  <Company/>
  <LinksUpToDate>false</LinksUpToDate>
  <CharactersWithSpaces>142336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2014-10-21T15:07:00Z</dcterms:created>
  <dcterms:modified xsi:type="dcterms:W3CDTF">2014-10-21T15:08:00Z</dcterms:modified>
</cp:coreProperties>
</file>