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396E17">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396E17" w:rsidRDefault="00AB6BFF" w:rsidP="00AB6BFF">
      <w:pPr>
        <w:pStyle w:val="ProductList-Body"/>
        <w:shd w:val="clear" w:color="auto" w:fill="00BCF2"/>
        <w:ind w:right="8640"/>
        <w:rPr>
          <w:sz w:val="30"/>
        </w:rPr>
      </w:pPr>
    </w:p>
    <w:p w14:paraId="694F146A" w14:textId="77777777" w:rsidR="00AB6BFF" w:rsidRPr="009A6C8D" w:rsidRDefault="00AB6BFF" w:rsidP="00AB6BFF">
      <w:pPr>
        <w:pStyle w:val="ProductList-Body"/>
        <w:shd w:val="clear" w:color="auto" w:fill="00BCF2"/>
        <w:ind w:right="8640"/>
      </w:pPr>
    </w:p>
    <w:p w14:paraId="19CF030C" w14:textId="77777777" w:rsidR="00AB6BFF" w:rsidRPr="00396E17" w:rsidRDefault="00AB6BFF" w:rsidP="00AB6BFF">
      <w:pPr>
        <w:pStyle w:val="ProductList-Body"/>
        <w:shd w:val="clear" w:color="auto" w:fill="0072C6"/>
        <w:tabs>
          <w:tab w:val="clear" w:pos="158"/>
          <w:tab w:val="left" w:pos="180"/>
        </w:tabs>
        <w:ind w:right="1800"/>
        <w:rPr>
          <w:sz w:val="42"/>
        </w:rPr>
      </w:pPr>
    </w:p>
    <w:p w14:paraId="35B4A359" w14:textId="462CCE3A" w:rsidR="00AB6BFF" w:rsidRPr="009A6C8D" w:rsidRDefault="00396E17" w:rsidP="00396E17">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Serviços Profissionais da Microsoft</w:t>
      </w:r>
    </w:p>
    <w:p w14:paraId="6DEB6BD0" w14:textId="5BA15253" w:rsidR="00AB6BFF" w:rsidRPr="009A6C8D" w:rsidRDefault="00396E17" w:rsidP="00396E17">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Adendo de Proteção de Dados</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Fevereiro de 2020</w:t>
      </w:r>
    </w:p>
    <w:p w14:paraId="79B5AFA3" w14:textId="77777777" w:rsidR="00AB6BFF" w:rsidRPr="00396E17" w:rsidRDefault="00AB6BFF" w:rsidP="00AB6BFF">
      <w:pPr>
        <w:pStyle w:val="ProductList-Body"/>
        <w:shd w:val="clear" w:color="auto" w:fill="0072C6"/>
        <w:tabs>
          <w:tab w:val="clear" w:pos="158"/>
          <w:tab w:val="left" w:pos="360"/>
        </w:tabs>
        <w:ind w:right="1800"/>
        <w:rPr>
          <w:sz w:val="40"/>
        </w:rPr>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Sumário"/>
      <w:bookmarkEnd w:id="2"/>
      <w:r>
        <w:rPr>
          <w:rFonts w:asciiTheme="majorHAnsi" w:hAnsiTheme="majorHAnsi"/>
          <w:b/>
          <w:sz w:val="40"/>
          <w:szCs w:val="40"/>
        </w:rPr>
        <w:lastRenderedPageBreak/>
        <w:t>Índice</w:t>
      </w:r>
    </w:p>
    <w:p w14:paraId="468DF363" w14:textId="77777777" w:rsidR="00F25A11"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30077" w:history="1">
        <w:r w:rsidR="00F25A11" w:rsidRPr="004530B8">
          <w:rPr>
            <w:rStyle w:val="Hyperlink"/>
            <w:noProof/>
          </w:rPr>
          <w:t>Introdução</w:t>
        </w:r>
        <w:r w:rsidR="00F25A11">
          <w:rPr>
            <w:noProof/>
            <w:webHidden/>
          </w:rPr>
          <w:tab/>
        </w:r>
        <w:r w:rsidR="00F25A11">
          <w:rPr>
            <w:noProof/>
            <w:webHidden/>
          </w:rPr>
          <w:fldChar w:fldCharType="begin"/>
        </w:r>
        <w:r w:rsidR="00F25A11">
          <w:rPr>
            <w:noProof/>
            <w:webHidden/>
          </w:rPr>
          <w:instrText xml:space="preserve"> PAGEREF _Toc31830077 \h </w:instrText>
        </w:r>
        <w:r w:rsidR="00F25A11">
          <w:rPr>
            <w:noProof/>
            <w:webHidden/>
          </w:rPr>
        </w:r>
        <w:r w:rsidR="00F25A11">
          <w:rPr>
            <w:noProof/>
            <w:webHidden/>
          </w:rPr>
          <w:fldChar w:fldCharType="separate"/>
        </w:r>
        <w:r w:rsidR="000D6A2F">
          <w:rPr>
            <w:noProof/>
            <w:webHidden/>
          </w:rPr>
          <w:t>3</w:t>
        </w:r>
        <w:r w:rsidR="00F25A11">
          <w:rPr>
            <w:noProof/>
            <w:webHidden/>
          </w:rPr>
          <w:fldChar w:fldCharType="end"/>
        </w:r>
      </w:hyperlink>
    </w:p>
    <w:p w14:paraId="4EBEFCB9" w14:textId="77777777" w:rsidR="00F25A11" w:rsidRDefault="00D45CB2">
      <w:pPr>
        <w:pStyle w:val="TOC5"/>
        <w:tabs>
          <w:tab w:val="right" w:leader="dot" w:pos="5030"/>
        </w:tabs>
        <w:rPr>
          <w:rFonts w:eastAsiaTheme="minorEastAsia"/>
          <w:noProof/>
          <w:sz w:val="22"/>
          <w:lang w:val="en-US" w:eastAsia="en-US" w:bidi="ar-SA"/>
        </w:rPr>
      </w:pPr>
      <w:hyperlink w:anchor="_Toc31830078" w:history="1">
        <w:r w:rsidR="00F25A11" w:rsidRPr="004530B8">
          <w:rPr>
            <w:rStyle w:val="Hyperlink"/>
            <w:noProof/>
          </w:rPr>
          <w:t>DPA Aplicável e Atualizações</w:t>
        </w:r>
        <w:r w:rsidR="00F25A11">
          <w:rPr>
            <w:noProof/>
            <w:webHidden/>
          </w:rPr>
          <w:tab/>
        </w:r>
        <w:r w:rsidR="00F25A11">
          <w:rPr>
            <w:noProof/>
            <w:webHidden/>
          </w:rPr>
          <w:fldChar w:fldCharType="begin"/>
        </w:r>
        <w:r w:rsidR="00F25A11">
          <w:rPr>
            <w:noProof/>
            <w:webHidden/>
          </w:rPr>
          <w:instrText xml:space="preserve"> PAGEREF _Toc31830078 \h </w:instrText>
        </w:r>
        <w:r w:rsidR="00F25A11">
          <w:rPr>
            <w:noProof/>
            <w:webHidden/>
          </w:rPr>
        </w:r>
        <w:r w:rsidR="00F25A11">
          <w:rPr>
            <w:noProof/>
            <w:webHidden/>
          </w:rPr>
          <w:fldChar w:fldCharType="separate"/>
        </w:r>
        <w:r w:rsidR="000D6A2F">
          <w:rPr>
            <w:noProof/>
            <w:webHidden/>
          </w:rPr>
          <w:t>3</w:t>
        </w:r>
        <w:r w:rsidR="00F25A11">
          <w:rPr>
            <w:noProof/>
            <w:webHidden/>
          </w:rPr>
          <w:fldChar w:fldCharType="end"/>
        </w:r>
      </w:hyperlink>
    </w:p>
    <w:p w14:paraId="0FF2244B" w14:textId="77777777" w:rsidR="00F25A11" w:rsidRDefault="00D45CB2">
      <w:pPr>
        <w:pStyle w:val="TOC5"/>
        <w:tabs>
          <w:tab w:val="right" w:leader="dot" w:pos="5030"/>
        </w:tabs>
        <w:rPr>
          <w:rFonts w:eastAsiaTheme="minorEastAsia"/>
          <w:noProof/>
          <w:sz w:val="22"/>
          <w:lang w:val="en-US" w:eastAsia="en-US" w:bidi="ar-SA"/>
        </w:rPr>
      </w:pPr>
      <w:hyperlink w:anchor="_Toc31830079" w:history="1">
        <w:r w:rsidR="00F25A11" w:rsidRPr="004530B8">
          <w:rPr>
            <w:rStyle w:val="Hyperlink"/>
            <w:noProof/>
          </w:rPr>
          <w:t>Versões Anteriores</w:t>
        </w:r>
        <w:r w:rsidR="00F25A11">
          <w:rPr>
            <w:noProof/>
            <w:webHidden/>
          </w:rPr>
          <w:tab/>
        </w:r>
        <w:r w:rsidR="00F25A11">
          <w:rPr>
            <w:noProof/>
            <w:webHidden/>
          </w:rPr>
          <w:fldChar w:fldCharType="begin"/>
        </w:r>
        <w:r w:rsidR="00F25A11">
          <w:rPr>
            <w:noProof/>
            <w:webHidden/>
          </w:rPr>
          <w:instrText xml:space="preserve"> PAGEREF _Toc31830079 \h </w:instrText>
        </w:r>
        <w:r w:rsidR="00F25A11">
          <w:rPr>
            <w:noProof/>
            <w:webHidden/>
          </w:rPr>
        </w:r>
        <w:r w:rsidR="00F25A11">
          <w:rPr>
            <w:noProof/>
            <w:webHidden/>
          </w:rPr>
          <w:fldChar w:fldCharType="separate"/>
        </w:r>
        <w:r w:rsidR="000D6A2F">
          <w:rPr>
            <w:noProof/>
            <w:webHidden/>
          </w:rPr>
          <w:t>3</w:t>
        </w:r>
        <w:r w:rsidR="00F25A11">
          <w:rPr>
            <w:noProof/>
            <w:webHidden/>
          </w:rPr>
          <w:fldChar w:fldCharType="end"/>
        </w:r>
      </w:hyperlink>
    </w:p>
    <w:p w14:paraId="576717FA" w14:textId="77777777" w:rsidR="00F25A11" w:rsidRDefault="00D45CB2">
      <w:pPr>
        <w:pStyle w:val="TOC3"/>
        <w:rPr>
          <w:rFonts w:eastAsiaTheme="minorEastAsia"/>
          <w:b w:val="0"/>
          <w:smallCaps w:val="0"/>
          <w:sz w:val="22"/>
          <w:lang w:val="en-US" w:eastAsia="en-US" w:bidi="ar-SA"/>
        </w:rPr>
      </w:pPr>
      <w:hyperlink w:anchor="_Toc31830080" w:history="1">
        <w:r w:rsidR="00F25A11" w:rsidRPr="004530B8">
          <w:rPr>
            <w:rStyle w:val="Hyperlink"/>
          </w:rPr>
          <w:t>Esclarecimentos e Resumo das Alterações</w:t>
        </w:r>
        <w:r w:rsidR="00F25A11">
          <w:rPr>
            <w:webHidden/>
          </w:rPr>
          <w:tab/>
        </w:r>
        <w:r w:rsidR="00F25A11">
          <w:rPr>
            <w:webHidden/>
          </w:rPr>
          <w:fldChar w:fldCharType="begin"/>
        </w:r>
        <w:r w:rsidR="00F25A11">
          <w:rPr>
            <w:webHidden/>
          </w:rPr>
          <w:instrText xml:space="preserve"> PAGEREF _Toc31830080 \h </w:instrText>
        </w:r>
        <w:r w:rsidR="00F25A11">
          <w:rPr>
            <w:webHidden/>
          </w:rPr>
        </w:r>
        <w:r w:rsidR="00F25A11">
          <w:rPr>
            <w:webHidden/>
          </w:rPr>
          <w:fldChar w:fldCharType="separate"/>
        </w:r>
        <w:r w:rsidR="000D6A2F">
          <w:rPr>
            <w:webHidden/>
          </w:rPr>
          <w:t>3</w:t>
        </w:r>
        <w:r w:rsidR="00F25A11">
          <w:rPr>
            <w:webHidden/>
          </w:rPr>
          <w:fldChar w:fldCharType="end"/>
        </w:r>
      </w:hyperlink>
    </w:p>
    <w:p w14:paraId="290FBDA5" w14:textId="77777777" w:rsidR="00F25A11" w:rsidRDefault="00D45CB2">
      <w:pPr>
        <w:pStyle w:val="TOC1"/>
        <w:tabs>
          <w:tab w:val="right" w:leader="dot" w:pos="5030"/>
        </w:tabs>
        <w:rPr>
          <w:rFonts w:eastAsiaTheme="minorEastAsia"/>
          <w:b w:val="0"/>
          <w:caps w:val="0"/>
          <w:noProof/>
          <w:sz w:val="22"/>
          <w:lang w:val="en-US" w:eastAsia="en-US" w:bidi="ar-SA"/>
        </w:rPr>
      </w:pPr>
      <w:hyperlink w:anchor="_Toc31830081" w:history="1">
        <w:r w:rsidR="00F25A11" w:rsidRPr="004530B8">
          <w:rPr>
            <w:rStyle w:val="Hyperlink"/>
            <w:noProof/>
          </w:rPr>
          <w:t>Definições</w:t>
        </w:r>
        <w:r w:rsidR="00F25A11">
          <w:rPr>
            <w:noProof/>
            <w:webHidden/>
          </w:rPr>
          <w:tab/>
        </w:r>
        <w:r w:rsidR="00F25A11">
          <w:rPr>
            <w:noProof/>
            <w:webHidden/>
          </w:rPr>
          <w:fldChar w:fldCharType="begin"/>
        </w:r>
        <w:r w:rsidR="00F25A11">
          <w:rPr>
            <w:noProof/>
            <w:webHidden/>
          </w:rPr>
          <w:instrText xml:space="preserve"> PAGEREF _Toc31830081 \h </w:instrText>
        </w:r>
        <w:r w:rsidR="00F25A11">
          <w:rPr>
            <w:noProof/>
            <w:webHidden/>
          </w:rPr>
        </w:r>
        <w:r w:rsidR="00F25A11">
          <w:rPr>
            <w:noProof/>
            <w:webHidden/>
          </w:rPr>
          <w:fldChar w:fldCharType="separate"/>
        </w:r>
        <w:r w:rsidR="000D6A2F">
          <w:rPr>
            <w:noProof/>
            <w:webHidden/>
          </w:rPr>
          <w:t>4</w:t>
        </w:r>
        <w:r w:rsidR="00F25A11">
          <w:rPr>
            <w:noProof/>
            <w:webHidden/>
          </w:rPr>
          <w:fldChar w:fldCharType="end"/>
        </w:r>
      </w:hyperlink>
    </w:p>
    <w:p w14:paraId="5BEB2507" w14:textId="77777777" w:rsidR="00F25A11" w:rsidRDefault="00D45CB2">
      <w:pPr>
        <w:pStyle w:val="TOC1"/>
        <w:tabs>
          <w:tab w:val="right" w:leader="dot" w:pos="5030"/>
        </w:tabs>
        <w:rPr>
          <w:rFonts w:eastAsiaTheme="minorEastAsia"/>
          <w:b w:val="0"/>
          <w:caps w:val="0"/>
          <w:noProof/>
          <w:sz w:val="22"/>
          <w:lang w:val="en-US" w:eastAsia="en-US" w:bidi="ar-SA"/>
        </w:rPr>
      </w:pPr>
      <w:hyperlink w:anchor="_Toc31830082" w:history="1">
        <w:r w:rsidR="00F25A11" w:rsidRPr="004530B8">
          <w:rPr>
            <w:rStyle w:val="Hyperlink"/>
            <w:noProof/>
          </w:rPr>
          <w:t>Termos Gerais</w:t>
        </w:r>
        <w:r w:rsidR="00F25A11">
          <w:rPr>
            <w:noProof/>
            <w:webHidden/>
          </w:rPr>
          <w:tab/>
        </w:r>
        <w:r w:rsidR="00F25A11">
          <w:rPr>
            <w:noProof/>
            <w:webHidden/>
          </w:rPr>
          <w:fldChar w:fldCharType="begin"/>
        </w:r>
        <w:r w:rsidR="00F25A11">
          <w:rPr>
            <w:noProof/>
            <w:webHidden/>
          </w:rPr>
          <w:instrText xml:space="preserve"> PAGEREF _Toc31830082 \h </w:instrText>
        </w:r>
        <w:r w:rsidR="00F25A11">
          <w:rPr>
            <w:noProof/>
            <w:webHidden/>
          </w:rPr>
        </w:r>
        <w:r w:rsidR="00F25A11">
          <w:rPr>
            <w:noProof/>
            <w:webHidden/>
          </w:rPr>
          <w:fldChar w:fldCharType="separate"/>
        </w:r>
        <w:r w:rsidR="000D6A2F">
          <w:rPr>
            <w:noProof/>
            <w:webHidden/>
          </w:rPr>
          <w:t>5</w:t>
        </w:r>
        <w:r w:rsidR="00F25A11">
          <w:rPr>
            <w:noProof/>
            <w:webHidden/>
          </w:rPr>
          <w:fldChar w:fldCharType="end"/>
        </w:r>
      </w:hyperlink>
    </w:p>
    <w:p w14:paraId="66F85F53" w14:textId="77777777" w:rsidR="00F25A11" w:rsidRDefault="00D45CB2">
      <w:pPr>
        <w:pStyle w:val="TOC5"/>
        <w:tabs>
          <w:tab w:val="right" w:leader="dot" w:pos="5030"/>
        </w:tabs>
        <w:rPr>
          <w:rFonts w:eastAsiaTheme="minorEastAsia"/>
          <w:noProof/>
          <w:sz w:val="22"/>
          <w:lang w:val="en-US" w:eastAsia="en-US" w:bidi="ar-SA"/>
        </w:rPr>
      </w:pPr>
      <w:hyperlink w:anchor="_Toc31830083" w:history="1">
        <w:r w:rsidR="00F25A11" w:rsidRPr="004530B8">
          <w:rPr>
            <w:rStyle w:val="Hyperlink"/>
            <w:noProof/>
          </w:rPr>
          <w:t>Cumprimento das Leis</w:t>
        </w:r>
        <w:r w:rsidR="00F25A11">
          <w:rPr>
            <w:noProof/>
            <w:webHidden/>
          </w:rPr>
          <w:tab/>
        </w:r>
        <w:r w:rsidR="00F25A11">
          <w:rPr>
            <w:noProof/>
            <w:webHidden/>
          </w:rPr>
          <w:fldChar w:fldCharType="begin"/>
        </w:r>
        <w:r w:rsidR="00F25A11">
          <w:rPr>
            <w:noProof/>
            <w:webHidden/>
          </w:rPr>
          <w:instrText xml:space="preserve"> PAGEREF _Toc31830083 \h </w:instrText>
        </w:r>
        <w:r w:rsidR="00F25A11">
          <w:rPr>
            <w:noProof/>
            <w:webHidden/>
          </w:rPr>
        </w:r>
        <w:r w:rsidR="00F25A11">
          <w:rPr>
            <w:noProof/>
            <w:webHidden/>
          </w:rPr>
          <w:fldChar w:fldCharType="separate"/>
        </w:r>
        <w:r w:rsidR="000D6A2F">
          <w:rPr>
            <w:noProof/>
            <w:webHidden/>
          </w:rPr>
          <w:t>5</w:t>
        </w:r>
        <w:r w:rsidR="00F25A11">
          <w:rPr>
            <w:noProof/>
            <w:webHidden/>
          </w:rPr>
          <w:fldChar w:fldCharType="end"/>
        </w:r>
      </w:hyperlink>
    </w:p>
    <w:p w14:paraId="616DCE90" w14:textId="77777777" w:rsidR="00F25A11" w:rsidRDefault="00D45CB2">
      <w:pPr>
        <w:pStyle w:val="TOC5"/>
        <w:tabs>
          <w:tab w:val="right" w:leader="dot" w:pos="5030"/>
        </w:tabs>
        <w:rPr>
          <w:rFonts w:eastAsiaTheme="minorEastAsia"/>
          <w:noProof/>
          <w:sz w:val="22"/>
          <w:lang w:val="en-US" w:eastAsia="en-US" w:bidi="ar-SA"/>
        </w:rPr>
      </w:pPr>
      <w:hyperlink w:anchor="_Toc31830084" w:history="1">
        <w:r w:rsidR="00F25A11" w:rsidRPr="004530B8">
          <w:rPr>
            <w:rStyle w:val="Hyperlink"/>
            <w:noProof/>
          </w:rPr>
          <w:t>Política de Uso Aceitável</w:t>
        </w:r>
        <w:r w:rsidR="00F25A11">
          <w:rPr>
            <w:noProof/>
            <w:webHidden/>
          </w:rPr>
          <w:tab/>
        </w:r>
        <w:r w:rsidR="00F25A11">
          <w:rPr>
            <w:noProof/>
            <w:webHidden/>
          </w:rPr>
          <w:fldChar w:fldCharType="begin"/>
        </w:r>
        <w:r w:rsidR="00F25A11">
          <w:rPr>
            <w:noProof/>
            <w:webHidden/>
          </w:rPr>
          <w:instrText xml:space="preserve"> PAGEREF _Toc31830084 \h </w:instrText>
        </w:r>
        <w:r w:rsidR="00F25A11">
          <w:rPr>
            <w:noProof/>
            <w:webHidden/>
          </w:rPr>
        </w:r>
        <w:r w:rsidR="00F25A11">
          <w:rPr>
            <w:noProof/>
            <w:webHidden/>
          </w:rPr>
          <w:fldChar w:fldCharType="separate"/>
        </w:r>
        <w:r w:rsidR="000D6A2F">
          <w:rPr>
            <w:noProof/>
            <w:webHidden/>
          </w:rPr>
          <w:t>5</w:t>
        </w:r>
        <w:r w:rsidR="00F25A11">
          <w:rPr>
            <w:noProof/>
            <w:webHidden/>
          </w:rPr>
          <w:fldChar w:fldCharType="end"/>
        </w:r>
      </w:hyperlink>
    </w:p>
    <w:p w14:paraId="4C9A5B3B" w14:textId="77777777" w:rsidR="00F25A11" w:rsidRDefault="00D45CB2">
      <w:pPr>
        <w:pStyle w:val="TOC5"/>
        <w:tabs>
          <w:tab w:val="right" w:leader="dot" w:pos="5030"/>
        </w:tabs>
        <w:rPr>
          <w:rFonts w:eastAsiaTheme="minorEastAsia"/>
          <w:noProof/>
          <w:sz w:val="22"/>
          <w:lang w:val="en-US" w:eastAsia="en-US" w:bidi="ar-SA"/>
        </w:rPr>
      </w:pPr>
      <w:hyperlink w:anchor="_Toc31830085" w:history="1">
        <w:r w:rsidR="00F25A11" w:rsidRPr="004530B8">
          <w:rPr>
            <w:rStyle w:val="Hyperlink"/>
            <w:noProof/>
          </w:rPr>
          <w:t>Serviços Online</w:t>
        </w:r>
        <w:r w:rsidR="00F25A11">
          <w:rPr>
            <w:noProof/>
            <w:webHidden/>
          </w:rPr>
          <w:tab/>
        </w:r>
        <w:r w:rsidR="00F25A11">
          <w:rPr>
            <w:noProof/>
            <w:webHidden/>
          </w:rPr>
          <w:fldChar w:fldCharType="begin"/>
        </w:r>
        <w:r w:rsidR="00F25A11">
          <w:rPr>
            <w:noProof/>
            <w:webHidden/>
          </w:rPr>
          <w:instrText xml:space="preserve"> PAGEREF _Toc31830085 \h </w:instrText>
        </w:r>
        <w:r w:rsidR="00F25A11">
          <w:rPr>
            <w:noProof/>
            <w:webHidden/>
          </w:rPr>
        </w:r>
        <w:r w:rsidR="00F25A11">
          <w:rPr>
            <w:noProof/>
            <w:webHidden/>
          </w:rPr>
          <w:fldChar w:fldCharType="separate"/>
        </w:r>
        <w:r w:rsidR="000D6A2F">
          <w:rPr>
            <w:noProof/>
            <w:webHidden/>
          </w:rPr>
          <w:t>5</w:t>
        </w:r>
        <w:r w:rsidR="00F25A11">
          <w:rPr>
            <w:noProof/>
            <w:webHidden/>
          </w:rPr>
          <w:fldChar w:fldCharType="end"/>
        </w:r>
      </w:hyperlink>
    </w:p>
    <w:p w14:paraId="58AAB602" w14:textId="77777777" w:rsidR="00F25A11" w:rsidRDefault="00D45CB2">
      <w:pPr>
        <w:pStyle w:val="TOC1"/>
        <w:tabs>
          <w:tab w:val="right" w:leader="dot" w:pos="5030"/>
        </w:tabs>
        <w:rPr>
          <w:rFonts w:eastAsiaTheme="minorEastAsia"/>
          <w:b w:val="0"/>
          <w:caps w:val="0"/>
          <w:noProof/>
          <w:sz w:val="22"/>
          <w:lang w:val="en-US" w:eastAsia="en-US" w:bidi="ar-SA"/>
        </w:rPr>
      </w:pPr>
      <w:hyperlink w:anchor="_Toc31830086" w:history="1">
        <w:r w:rsidR="00F25A11" w:rsidRPr="004530B8">
          <w:rPr>
            <w:rStyle w:val="Hyperlink"/>
            <w:noProof/>
          </w:rPr>
          <w:t>Termos de Proteção de Dados</w:t>
        </w:r>
        <w:r w:rsidR="00F25A11">
          <w:rPr>
            <w:noProof/>
            <w:webHidden/>
          </w:rPr>
          <w:tab/>
        </w:r>
        <w:r w:rsidR="00F25A11">
          <w:rPr>
            <w:noProof/>
            <w:webHidden/>
          </w:rPr>
          <w:fldChar w:fldCharType="begin"/>
        </w:r>
        <w:r w:rsidR="00F25A11">
          <w:rPr>
            <w:noProof/>
            <w:webHidden/>
          </w:rPr>
          <w:instrText xml:space="preserve"> PAGEREF _Toc31830086 \h </w:instrText>
        </w:r>
        <w:r w:rsidR="00F25A11">
          <w:rPr>
            <w:noProof/>
            <w:webHidden/>
          </w:rPr>
        </w:r>
        <w:r w:rsidR="00F25A11">
          <w:rPr>
            <w:noProof/>
            <w:webHidden/>
          </w:rPr>
          <w:fldChar w:fldCharType="separate"/>
        </w:r>
        <w:r w:rsidR="000D6A2F">
          <w:rPr>
            <w:noProof/>
            <w:webHidden/>
          </w:rPr>
          <w:t>6</w:t>
        </w:r>
        <w:r w:rsidR="00F25A11">
          <w:rPr>
            <w:noProof/>
            <w:webHidden/>
          </w:rPr>
          <w:fldChar w:fldCharType="end"/>
        </w:r>
      </w:hyperlink>
    </w:p>
    <w:p w14:paraId="281540D2" w14:textId="77777777" w:rsidR="00F25A11" w:rsidRDefault="00D45CB2">
      <w:pPr>
        <w:pStyle w:val="TOC5"/>
        <w:tabs>
          <w:tab w:val="right" w:leader="dot" w:pos="5030"/>
        </w:tabs>
        <w:rPr>
          <w:rFonts w:eastAsiaTheme="minorEastAsia"/>
          <w:noProof/>
          <w:sz w:val="22"/>
          <w:lang w:val="en-US" w:eastAsia="en-US" w:bidi="ar-SA"/>
        </w:rPr>
      </w:pPr>
      <w:hyperlink w:anchor="_Toc31830087" w:history="1">
        <w:r w:rsidR="00F25A11" w:rsidRPr="004530B8">
          <w:rPr>
            <w:rStyle w:val="Hyperlink"/>
            <w:noProof/>
          </w:rPr>
          <w:t>Escopo</w:t>
        </w:r>
        <w:r w:rsidR="00F25A11">
          <w:rPr>
            <w:noProof/>
            <w:webHidden/>
          </w:rPr>
          <w:tab/>
        </w:r>
        <w:r w:rsidR="00F25A11">
          <w:rPr>
            <w:noProof/>
            <w:webHidden/>
          </w:rPr>
          <w:fldChar w:fldCharType="begin"/>
        </w:r>
        <w:r w:rsidR="00F25A11">
          <w:rPr>
            <w:noProof/>
            <w:webHidden/>
          </w:rPr>
          <w:instrText xml:space="preserve"> PAGEREF _Toc31830087 \h </w:instrText>
        </w:r>
        <w:r w:rsidR="00F25A11">
          <w:rPr>
            <w:noProof/>
            <w:webHidden/>
          </w:rPr>
        </w:r>
        <w:r w:rsidR="00F25A11">
          <w:rPr>
            <w:noProof/>
            <w:webHidden/>
          </w:rPr>
          <w:fldChar w:fldCharType="separate"/>
        </w:r>
        <w:r w:rsidR="000D6A2F">
          <w:rPr>
            <w:noProof/>
            <w:webHidden/>
          </w:rPr>
          <w:t>6</w:t>
        </w:r>
        <w:r w:rsidR="00F25A11">
          <w:rPr>
            <w:noProof/>
            <w:webHidden/>
          </w:rPr>
          <w:fldChar w:fldCharType="end"/>
        </w:r>
      </w:hyperlink>
    </w:p>
    <w:p w14:paraId="526486D0" w14:textId="77777777" w:rsidR="00F25A11" w:rsidRDefault="00D45CB2">
      <w:pPr>
        <w:pStyle w:val="TOC5"/>
        <w:tabs>
          <w:tab w:val="right" w:leader="dot" w:pos="5030"/>
        </w:tabs>
        <w:rPr>
          <w:rFonts w:eastAsiaTheme="minorEastAsia"/>
          <w:noProof/>
          <w:sz w:val="22"/>
          <w:lang w:val="en-US" w:eastAsia="en-US" w:bidi="ar-SA"/>
        </w:rPr>
      </w:pPr>
      <w:hyperlink w:anchor="_Toc31830088" w:history="1">
        <w:r w:rsidR="00F25A11" w:rsidRPr="004530B8">
          <w:rPr>
            <w:rStyle w:val="Hyperlink"/>
            <w:noProof/>
          </w:rPr>
          <w:t>Natureza do Processamento; Propriedade</w:t>
        </w:r>
        <w:r w:rsidR="00F25A11">
          <w:rPr>
            <w:noProof/>
            <w:webHidden/>
          </w:rPr>
          <w:tab/>
        </w:r>
        <w:r w:rsidR="00F25A11">
          <w:rPr>
            <w:noProof/>
            <w:webHidden/>
          </w:rPr>
          <w:fldChar w:fldCharType="begin"/>
        </w:r>
        <w:r w:rsidR="00F25A11">
          <w:rPr>
            <w:noProof/>
            <w:webHidden/>
          </w:rPr>
          <w:instrText xml:space="preserve"> PAGEREF _Toc31830088 \h </w:instrText>
        </w:r>
        <w:r w:rsidR="00F25A11">
          <w:rPr>
            <w:noProof/>
            <w:webHidden/>
          </w:rPr>
        </w:r>
        <w:r w:rsidR="00F25A11">
          <w:rPr>
            <w:noProof/>
            <w:webHidden/>
          </w:rPr>
          <w:fldChar w:fldCharType="separate"/>
        </w:r>
        <w:r w:rsidR="000D6A2F">
          <w:rPr>
            <w:noProof/>
            <w:webHidden/>
          </w:rPr>
          <w:t>6</w:t>
        </w:r>
        <w:r w:rsidR="00F25A11">
          <w:rPr>
            <w:noProof/>
            <w:webHidden/>
          </w:rPr>
          <w:fldChar w:fldCharType="end"/>
        </w:r>
      </w:hyperlink>
    </w:p>
    <w:p w14:paraId="7594C12F" w14:textId="77777777" w:rsidR="00F25A11" w:rsidRDefault="00D45CB2">
      <w:pPr>
        <w:pStyle w:val="TOC5"/>
        <w:tabs>
          <w:tab w:val="right" w:leader="dot" w:pos="5030"/>
        </w:tabs>
        <w:rPr>
          <w:rFonts w:eastAsiaTheme="minorEastAsia"/>
          <w:noProof/>
          <w:sz w:val="22"/>
          <w:lang w:val="en-US" w:eastAsia="en-US" w:bidi="ar-SA"/>
        </w:rPr>
      </w:pPr>
      <w:hyperlink w:anchor="_Toc31830089" w:history="1">
        <w:r w:rsidR="00F25A11" w:rsidRPr="004530B8">
          <w:rPr>
            <w:rStyle w:val="Hyperlink"/>
            <w:noProof/>
          </w:rPr>
          <w:t>Divulgação de Dados de Serviços Profissionais</w:t>
        </w:r>
        <w:r w:rsidR="00F25A11">
          <w:rPr>
            <w:noProof/>
            <w:webHidden/>
          </w:rPr>
          <w:tab/>
        </w:r>
        <w:r w:rsidR="00F25A11">
          <w:rPr>
            <w:noProof/>
            <w:webHidden/>
          </w:rPr>
          <w:fldChar w:fldCharType="begin"/>
        </w:r>
        <w:r w:rsidR="00F25A11">
          <w:rPr>
            <w:noProof/>
            <w:webHidden/>
          </w:rPr>
          <w:instrText xml:space="preserve"> PAGEREF _Toc31830089 \h </w:instrText>
        </w:r>
        <w:r w:rsidR="00F25A11">
          <w:rPr>
            <w:noProof/>
            <w:webHidden/>
          </w:rPr>
        </w:r>
        <w:r w:rsidR="00F25A11">
          <w:rPr>
            <w:noProof/>
            <w:webHidden/>
          </w:rPr>
          <w:fldChar w:fldCharType="separate"/>
        </w:r>
        <w:r w:rsidR="000D6A2F">
          <w:rPr>
            <w:noProof/>
            <w:webHidden/>
          </w:rPr>
          <w:t>7</w:t>
        </w:r>
        <w:r w:rsidR="00F25A11">
          <w:rPr>
            <w:noProof/>
            <w:webHidden/>
          </w:rPr>
          <w:fldChar w:fldCharType="end"/>
        </w:r>
      </w:hyperlink>
    </w:p>
    <w:p w14:paraId="66C4304B" w14:textId="77777777" w:rsidR="00F25A11" w:rsidRDefault="00D45CB2">
      <w:pPr>
        <w:pStyle w:val="TOC5"/>
        <w:tabs>
          <w:tab w:val="right" w:leader="dot" w:pos="5030"/>
        </w:tabs>
        <w:rPr>
          <w:rFonts w:eastAsiaTheme="minorEastAsia"/>
          <w:noProof/>
          <w:sz w:val="22"/>
          <w:lang w:val="en-US" w:eastAsia="en-US" w:bidi="ar-SA"/>
        </w:rPr>
      </w:pPr>
      <w:hyperlink w:anchor="_Toc31830090" w:history="1">
        <w:r w:rsidR="00F25A11" w:rsidRPr="004530B8">
          <w:rPr>
            <w:rStyle w:val="Hyperlink"/>
            <w:noProof/>
          </w:rPr>
          <w:t>Processamento de Dados Pessoais; GDPR</w:t>
        </w:r>
        <w:r w:rsidR="00F25A11">
          <w:rPr>
            <w:noProof/>
            <w:webHidden/>
          </w:rPr>
          <w:tab/>
        </w:r>
        <w:r w:rsidR="00F25A11">
          <w:rPr>
            <w:noProof/>
            <w:webHidden/>
          </w:rPr>
          <w:fldChar w:fldCharType="begin"/>
        </w:r>
        <w:r w:rsidR="00F25A11">
          <w:rPr>
            <w:noProof/>
            <w:webHidden/>
          </w:rPr>
          <w:instrText xml:space="preserve"> PAGEREF _Toc31830090 \h </w:instrText>
        </w:r>
        <w:r w:rsidR="00F25A11">
          <w:rPr>
            <w:noProof/>
            <w:webHidden/>
          </w:rPr>
        </w:r>
        <w:r w:rsidR="00F25A11">
          <w:rPr>
            <w:noProof/>
            <w:webHidden/>
          </w:rPr>
          <w:fldChar w:fldCharType="separate"/>
        </w:r>
        <w:r w:rsidR="000D6A2F">
          <w:rPr>
            <w:noProof/>
            <w:webHidden/>
          </w:rPr>
          <w:t>7</w:t>
        </w:r>
        <w:r w:rsidR="00F25A11">
          <w:rPr>
            <w:noProof/>
            <w:webHidden/>
          </w:rPr>
          <w:fldChar w:fldCharType="end"/>
        </w:r>
      </w:hyperlink>
    </w:p>
    <w:p w14:paraId="0F7D8FA1" w14:textId="77777777" w:rsidR="00F25A11" w:rsidRDefault="00D45CB2">
      <w:pPr>
        <w:pStyle w:val="TOC5"/>
        <w:tabs>
          <w:tab w:val="right" w:leader="dot" w:pos="5030"/>
        </w:tabs>
        <w:rPr>
          <w:rFonts w:eastAsiaTheme="minorEastAsia"/>
          <w:noProof/>
          <w:sz w:val="22"/>
          <w:lang w:val="en-US" w:eastAsia="en-US" w:bidi="ar-SA"/>
        </w:rPr>
      </w:pPr>
      <w:hyperlink w:anchor="_Toc31830091" w:history="1">
        <w:r w:rsidR="00F25A11" w:rsidRPr="004530B8">
          <w:rPr>
            <w:rStyle w:val="Hyperlink"/>
            <w:noProof/>
          </w:rPr>
          <w:t>Segurança de Dados</w:t>
        </w:r>
        <w:r w:rsidR="00F25A11">
          <w:rPr>
            <w:noProof/>
            <w:webHidden/>
          </w:rPr>
          <w:tab/>
        </w:r>
        <w:r w:rsidR="00F25A11">
          <w:rPr>
            <w:noProof/>
            <w:webHidden/>
          </w:rPr>
          <w:fldChar w:fldCharType="begin"/>
        </w:r>
        <w:r w:rsidR="00F25A11">
          <w:rPr>
            <w:noProof/>
            <w:webHidden/>
          </w:rPr>
          <w:instrText xml:space="preserve"> PAGEREF _Toc31830091 \h </w:instrText>
        </w:r>
        <w:r w:rsidR="00F25A11">
          <w:rPr>
            <w:noProof/>
            <w:webHidden/>
          </w:rPr>
        </w:r>
        <w:r w:rsidR="00F25A11">
          <w:rPr>
            <w:noProof/>
            <w:webHidden/>
          </w:rPr>
          <w:fldChar w:fldCharType="separate"/>
        </w:r>
        <w:r w:rsidR="000D6A2F">
          <w:rPr>
            <w:noProof/>
            <w:webHidden/>
          </w:rPr>
          <w:t>8</w:t>
        </w:r>
        <w:r w:rsidR="00F25A11">
          <w:rPr>
            <w:noProof/>
            <w:webHidden/>
          </w:rPr>
          <w:fldChar w:fldCharType="end"/>
        </w:r>
      </w:hyperlink>
    </w:p>
    <w:p w14:paraId="5EFBD9EB" w14:textId="77777777" w:rsidR="00F25A11" w:rsidRDefault="00D45CB2">
      <w:pPr>
        <w:pStyle w:val="TOC5"/>
        <w:tabs>
          <w:tab w:val="right" w:leader="dot" w:pos="5030"/>
        </w:tabs>
        <w:rPr>
          <w:rFonts w:eastAsiaTheme="minorEastAsia"/>
          <w:noProof/>
          <w:sz w:val="22"/>
          <w:lang w:val="en-US" w:eastAsia="en-US" w:bidi="ar-SA"/>
        </w:rPr>
      </w:pPr>
      <w:hyperlink w:anchor="_Toc31830092" w:history="1">
        <w:r w:rsidR="00F25A11" w:rsidRPr="004530B8">
          <w:rPr>
            <w:rStyle w:val="Hyperlink"/>
            <w:noProof/>
          </w:rPr>
          <w:t>Notificação de Incidentes de Segurança</w:t>
        </w:r>
        <w:r w:rsidR="00F25A11">
          <w:rPr>
            <w:noProof/>
            <w:webHidden/>
          </w:rPr>
          <w:tab/>
        </w:r>
        <w:r w:rsidR="00F25A11">
          <w:rPr>
            <w:noProof/>
            <w:webHidden/>
          </w:rPr>
          <w:fldChar w:fldCharType="begin"/>
        </w:r>
        <w:r w:rsidR="00F25A11">
          <w:rPr>
            <w:noProof/>
            <w:webHidden/>
          </w:rPr>
          <w:instrText xml:space="preserve"> PAGEREF _Toc31830092 \h </w:instrText>
        </w:r>
        <w:r w:rsidR="00F25A11">
          <w:rPr>
            <w:noProof/>
            <w:webHidden/>
          </w:rPr>
        </w:r>
        <w:r w:rsidR="00F25A11">
          <w:rPr>
            <w:noProof/>
            <w:webHidden/>
          </w:rPr>
          <w:fldChar w:fldCharType="separate"/>
        </w:r>
        <w:r w:rsidR="000D6A2F">
          <w:rPr>
            <w:noProof/>
            <w:webHidden/>
          </w:rPr>
          <w:t>9</w:t>
        </w:r>
        <w:r w:rsidR="00F25A11">
          <w:rPr>
            <w:noProof/>
            <w:webHidden/>
          </w:rPr>
          <w:fldChar w:fldCharType="end"/>
        </w:r>
      </w:hyperlink>
    </w:p>
    <w:p w14:paraId="7EE402AE" w14:textId="77777777" w:rsidR="00F25A11" w:rsidRDefault="00D45CB2">
      <w:pPr>
        <w:pStyle w:val="TOC5"/>
        <w:tabs>
          <w:tab w:val="right" w:leader="dot" w:pos="5030"/>
        </w:tabs>
        <w:rPr>
          <w:rFonts w:eastAsiaTheme="minorEastAsia"/>
          <w:noProof/>
          <w:sz w:val="22"/>
          <w:lang w:val="en-US" w:eastAsia="en-US" w:bidi="ar-SA"/>
        </w:rPr>
      </w:pPr>
      <w:hyperlink w:anchor="_Toc31830093" w:history="1">
        <w:r w:rsidR="00F25A11" w:rsidRPr="004530B8">
          <w:rPr>
            <w:rStyle w:val="Hyperlink"/>
            <w:noProof/>
          </w:rPr>
          <w:t>Transferências de Dados</w:t>
        </w:r>
        <w:r w:rsidR="00F25A11">
          <w:rPr>
            <w:noProof/>
            <w:webHidden/>
          </w:rPr>
          <w:tab/>
        </w:r>
        <w:r w:rsidR="00F25A11">
          <w:rPr>
            <w:noProof/>
            <w:webHidden/>
          </w:rPr>
          <w:fldChar w:fldCharType="begin"/>
        </w:r>
        <w:r w:rsidR="00F25A11">
          <w:rPr>
            <w:noProof/>
            <w:webHidden/>
          </w:rPr>
          <w:instrText xml:space="preserve"> PAGEREF _Toc31830093 \h </w:instrText>
        </w:r>
        <w:r w:rsidR="00F25A11">
          <w:rPr>
            <w:noProof/>
            <w:webHidden/>
          </w:rPr>
        </w:r>
        <w:r w:rsidR="00F25A11">
          <w:rPr>
            <w:noProof/>
            <w:webHidden/>
          </w:rPr>
          <w:fldChar w:fldCharType="separate"/>
        </w:r>
        <w:r w:rsidR="000D6A2F">
          <w:rPr>
            <w:noProof/>
            <w:webHidden/>
          </w:rPr>
          <w:t>9</w:t>
        </w:r>
        <w:r w:rsidR="00F25A11">
          <w:rPr>
            <w:noProof/>
            <w:webHidden/>
          </w:rPr>
          <w:fldChar w:fldCharType="end"/>
        </w:r>
      </w:hyperlink>
    </w:p>
    <w:p w14:paraId="0C47C626" w14:textId="77777777" w:rsidR="00F25A11" w:rsidRDefault="00D45CB2">
      <w:pPr>
        <w:pStyle w:val="TOC5"/>
        <w:tabs>
          <w:tab w:val="right" w:leader="dot" w:pos="5030"/>
        </w:tabs>
        <w:rPr>
          <w:rFonts w:eastAsiaTheme="minorEastAsia"/>
          <w:noProof/>
          <w:sz w:val="22"/>
          <w:lang w:val="en-US" w:eastAsia="en-US" w:bidi="ar-SA"/>
        </w:rPr>
      </w:pPr>
      <w:hyperlink w:anchor="_Toc31830094" w:history="1">
        <w:r w:rsidR="00F25A11" w:rsidRPr="004530B8">
          <w:rPr>
            <w:rStyle w:val="Hyperlink"/>
            <w:noProof/>
          </w:rPr>
          <w:t>Exclusão de Dados de Serviços Profissionais</w:t>
        </w:r>
        <w:r w:rsidR="00F25A11">
          <w:rPr>
            <w:noProof/>
            <w:webHidden/>
          </w:rPr>
          <w:tab/>
        </w:r>
        <w:r w:rsidR="00F25A11">
          <w:rPr>
            <w:noProof/>
            <w:webHidden/>
          </w:rPr>
          <w:fldChar w:fldCharType="begin"/>
        </w:r>
        <w:r w:rsidR="00F25A11">
          <w:rPr>
            <w:noProof/>
            <w:webHidden/>
          </w:rPr>
          <w:instrText xml:space="preserve"> PAGEREF _Toc31830094 \h </w:instrText>
        </w:r>
        <w:r w:rsidR="00F25A11">
          <w:rPr>
            <w:noProof/>
            <w:webHidden/>
          </w:rPr>
        </w:r>
        <w:r w:rsidR="00F25A11">
          <w:rPr>
            <w:noProof/>
            <w:webHidden/>
          </w:rPr>
          <w:fldChar w:fldCharType="separate"/>
        </w:r>
        <w:r w:rsidR="000D6A2F">
          <w:rPr>
            <w:noProof/>
            <w:webHidden/>
          </w:rPr>
          <w:t>10</w:t>
        </w:r>
        <w:r w:rsidR="00F25A11">
          <w:rPr>
            <w:noProof/>
            <w:webHidden/>
          </w:rPr>
          <w:fldChar w:fldCharType="end"/>
        </w:r>
      </w:hyperlink>
    </w:p>
    <w:p w14:paraId="388959BA" w14:textId="77777777" w:rsidR="00F25A11" w:rsidRDefault="00D45CB2">
      <w:pPr>
        <w:pStyle w:val="TOC5"/>
        <w:tabs>
          <w:tab w:val="right" w:leader="dot" w:pos="5030"/>
        </w:tabs>
        <w:rPr>
          <w:rFonts w:eastAsiaTheme="minorEastAsia"/>
          <w:noProof/>
          <w:sz w:val="22"/>
          <w:lang w:val="en-US" w:eastAsia="en-US" w:bidi="ar-SA"/>
        </w:rPr>
      </w:pPr>
      <w:hyperlink w:anchor="_Toc31830095" w:history="1">
        <w:r w:rsidR="00F25A11" w:rsidRPr="004530B8">
          <w:rPr>
            <w:rStyle w:val="Hyperlink"/>
            <w:noProof/>
          </w:rPr>
          <w:t>Compromisso de Confidencialidade do Processador</w:t>
        </w:r>
        <w:r w:rsidR="00F25A11">
          <w:rPr>
            <w:noProof/>
            <w:webHidden/>
          </w:rPr>
          <w:tab/>
        </w:r>
        <w:r w:rsidR="00F25A11">
          <w:rPr>
            <w:noProof/>
            <w:webHidden/>
          </w:rPr>
          <w:fldChar w:fldCharType="begin"/>
        </w:r>
        <w:r w:rsidR="00F25A11">
          <w:rPr>
            <w:noProof/>
            <w:webHidden/>
          </w:rPr>
          <w:instrText xml:space="preserve"> PAGEREF _Toc31830095 \h </w:instrText>
        </w:r>
        <w:r w:rsidR="00F25A11">
          <w:rPr>
            <w:noProof/>
            <w:webHidden/>
          </w:rPr>
        </w:r>
        <w:r w:rsidR="00F25A11">
          <w:rPr>
            <w:noProof/>
            <w:webHidden/>
          </w:rPr>
          <w:fldChar w:fldCharType="separate"/>
        </w:r>
        <w:r w:rsidR="000D6A2F">
          <w:rPr>
            <w:noProof/>
            <w:webHidden/>
          </w:rPr>
          <w:t>10</w:t>
        </w:r>
        <w:r w:rsidR="00F25A11">
          <w:rPr>
            <w:noProof/>
            <w:webHidden/>
          </w:rPr>
          <w:fldChar w:fldCharType="end"/>
        </w:r>
      </w:hyperlink>
    </w:p>
    <w:p w14:paraId="0843F7B6" w14:textId="77777777" w:rsidR="00F25A11" w:rsidRDefault="00D45CB2">
      <w:pPr>
        <w:pStyle w:val="TOC5"/>
        <w:tabs>
          <w:tab w:val="right" w:leader="dot" w:pos="5030"/>
        </w:tabs>
        <w:rPr>
          <w:rFonts w:eastAsiaTheme="minorEastAsia"/>
          <w:noProof/>
          <w:sz w:val="22"/>
          <w:lang w:val="en-US" w:eastAsia="en-US" w:bidi="ar-SA"/>
        </w:rPr>
      </w:pPr>
      <w:hyperlink w:anchor="_Toc31830096" w:history="1">
        <w:r w:rsidR="00F25A11" w:rsidRPr="004530B8">
          <w:rPr>
            <w:rStyle w:val="Hyperlink"/>
            <w:noProof/>
          </w:rPr>
          <w:t>Notificações e Controles sobre o uso de Subprocessadores</w:t>
        </w:r>
        <w:r w:rsidR="00F25A11">
          <w:rPr>
            <w:noProof/>
            <w:webHidden/>
          </w:rPr>
          <w:tab/>
        </w:r>
        <w:r w:rsidR="00F25A11">
          <w:rPr>
            <w:noProof/>
            <w:webHidden/>
          </w:rPr>
          <w:fldChar w:fldCharType="begin"/>
        </w:r>
        <w:r w:rsidR="00F25A11">
          <w:rPr>
            <w:noProof/>
            <w:webHidden/>
          </w:rPr>
          <w:instrText xml:space="preserve"> PAGEREF _Toc31830096 \h </w:instrText>
        </w:r>
        <w:r w:rsidR="00F25A11">
          <w:rPr>
            <w:noProof/>
            <w:webHidden/>
          </w:rPr>
        </w:r>
        <w:r w:rsidR="00F25A11">
          <w:rPr>
            <w:noProof/>
            <w:webHidden/>
          </w:rPr>
          <w:fldChar w:fldCharType="separate"/>
        </w:r>
        <w:r w:rsidR="000D6A2F">
          <w:rPr>
            <w:noProof/>
            <w:webHidden/>
          </w:rPr>
          <w:t>10</w:t>
        </w:r>
        <w:r w:rsidR="00F25A11">
          <w:rPr>
            <w:noProof/>
            <w:webHidden/>
          </w:rPr>
          <w:fldChar w:fldCharType="end"/>
        </w:r>
      </w:hyperlink>
    </w:p>
    <w:p w14:paraId="3282AB01" w14:textId="77777777" w:rsidR="00F25A11" w:rsidRDefault="00D45CB2">
      <w:pPr>
        <w:pStyle w:val="TOC5"/>
        <w:tabs>
          <w:tab w:val="right" w:leader="dot" w:pos="5030"/>
        </w:tabs>
        <w:rPr>
          <w:rFonts w:eastAsiaTheme="minorEastAsia"/>
          <w:noProof/>
          <w:sz w:val="22"/>
          <w:lang w:val="en-US" w:eastAsia="en-US" w:bidi="ar-SA"/>
        </w:rPr>
      </w:pPr>
      <w:hyperlink w:anchor="_Toc31830097" w:history="1">
        <w:r w:rsidR="00F25A11" w:rsidRPr="004530B8">
          <w:rPr>
            <w:rStyle w:val="Hyperlink"/>
            <w:noProof/>
          </w:rPr>
          <w:t>Termos da California Consumer Privacy Act (Lei de Privacidade do Consumidor da Califórnia, CCPA)</w:t>
        </w:r>
        <w:r w:rsidR="00F25A11">
          <w:rPr>
            <w:noProof/>
            <w:webHidden/>
          </w:rPr>
          <w:tab/>
        </w:r>
        <w:r w:rsidR="00F25A11">
          <w:rPr>
            <w:noProof/>
            <w:webHidden/>
          </w:rPr>
          <w:fldChar w:fldCharType="begin"/>
        </w:r>
        <w:r w:rsidR="00F25A11">
          <w:rPr>
            <w:noProof/>
            <w:webHidden/>
          </w:rPr>
          <w:instrText xml:space="preserve"> PAGEREF _Toc31830097 \h </w:instrText>
        </w:r>
        <w:r w:rsidR="00F25A11">
          <w:rPr>
            <w:noProof/>
            <w:webHidden/>
          </w:rPr>
        </w:r>
        <w:r w:rsidR="00F25A11">
          <w:rPr>
            <w:noProof/>
            <w:webHidden/>
          </w:rPr>
          <w:fldChar w:fldCharType="separate"/>
        </w:r>
        <w:r w:rsidR="000D6A2F">
          <w:rPr>
            <w:noProof/>
            <w:webHidden/>
          </w:rPr>
          <w:t>10</w:t>
        </w:r>
        <w:r w:rsidR="00F25A11">
          <w:rPr>
            <w:noProof/>
            <w:webHidden/>
          </w:rPr>
          <w:fldChar w:fldCharType="end"/>
        </w:r>
      </w:hyperlink>
    </w:p>
    <w:p w14:paraId="59E70D71" w14:textId="77777777" w:rsidR="00F25A11" w:rsidRDefault="00D45CB2">
      <w:pPr>
        <w:pStyle w:val="TOC5"/>
        <w:tabs>
          <w:tab w:val="right" w:leader="dot" w:pos="5030"/>
        </w:tabs>
        <w:rPr>
          <w:rFonts w:eastAsiaTheme="minorEastAsia"/>
          <w:noProof/>
          <w:sz w:val="22"/>
          <w:lang w:val="en-US" w:eastAsia="en-US" w:bidi="ar-SA"/>
        </w:rPr>
      </w:pPr>
      <w:hyperlink w:anchor="_Toc31830098" w:history="1">
        <w:r w:rsidR="00F25A11" w:rsidRPr="004530B8">
          <w:rPr>
            <w:rStyle w:val="Hyperlink"/>
            <w:noProof/>
          </w:rPr>
          <w:t>Como Entrar em Contato com a Microsoft</w:t>
        </w:r>
        <w:r w:rsidR="00F25A11">
          <w:rPr>
            <w:noProof/>
            <w:webHidden/>
          </w:rPr>
          <w:tab/>
        </w:r>
        <w:r w:rsidR="00F25A11">
          <w:rPr>
            <w:noProof/>
            <w:webHidden/>
          </w:rPr>
          <w:fldChar w:fldCharType="begin"/>
        </w:r>
        <w:r w:rsidR="00F25A11">
          <w:rPr>
            <w:noProof/>
            <w:webHidden/>
          </w:rPr>
          <w:instrText xml:space="preserve"> PAGEREF _Toc31830098 \h </w:instrText>
        </w:r>
        <w:r w:rsidR="00F25A11">
          <w:rPr>
            <w:noProof/>
            <w:webHidden/>
          </w:rPr>
        </w:r>
        <w:r w:rsidR="00F25A11">
          <w:rPr>
            <w:noProof/>
            <w:webHidden/>
          </w:rPr>
          <w:fldChar w:fldCharType="separate"/>
        </w:r>
        <w:r w:rsidR="000D6A2F">
          <w:rPr>
            <w:noProof/>
            <w:webHidden/>
          </w:rPr>
          <w:t>11</w:t>
        </w:r>
        <w:r w:rsidR="00F25A11">
          <w:rPr>
            <w:noProof/>
            <w:webHidden/>
          </w:rPr>
          <w:fldChar w:fldCharType="end"/>
        </w:r>
      </w:hyperlink>
    </w:p>
    <w:p w14:paraId="0FFB9E37" w14:textId="77777777" w:rsidR="00F25A11" w:rsidRDefault="00D45CB2">
      <w:pPr>
        <w:pStyle w:val="TOC1"/>
        <w:tabs>
          <w:tab w:val="right" w:leader="dot" w:pos="5030"/>
        </w:tabs>
        <w:rPr>
          <w:rFonts w:eastAsiaTheme="minorEastAsia"/>
          <w:b w:val="0"/>
          <w:caps w:val="0"/>
          <w:noProof/>
          <w:sz w:val="22"/>
          <w:lang w:val="en-US" w:eastAsia="en-US" w:bidi="ar-SA"/>
        </w:rPr>
      </w:pPr>
      <w:hyperlink w:anchor="_Toc31830099" w:history="1">
        <w:r w:rsidR="00F25A11" w:rsidRPr="004530B8">
          <w:rPr>
            <w:rStyle w:val="Hyperlink"/>
            <w:noProof/>
          </w:rPr>
          <w:t>Anexo 1 – Medidas de Segurança</w:t>
        </w:r>
        <w:r w:rsidR="00F25A11">
          <w:rPr>
            <w:noProof/>
            <w:webHidden/>
          </w:rPr>
          <w:tab/>
        </w:r>
        <w:r w:rsidR="00F25A11">
          <w:rPr>
            <w:noProof/>
            <w:webHidden/>
          </w:rPr>
          <w:fldChar w:fldCharType="begin"/>
        </w:r>
        <w:r w:rsidR="00F25A11">
          <w:rPr>
            <w:noProof/>
            <w:webHidden/>
          </w:rPr>
          <w:instrText xml:space="preserve"> PAGEREF _Toc31830099 \h </w:instrText>
        </w:r>
        <w:r w:rsidR="00F25A11">
          <w:rPr>
            <w:noProof/>
            <w:webHidden/>
          </w:rPr>
        </w:r>
        <w:r w:rsidR="00F25A11">
          <w:rPr>
            <w:noProof/>
            <w:webHidden/>
          </w:rPr>
          <w:fldChar w:fldCharType="separate"/>
        </w:r>
        <w:r w:rsidR="000D6A2F">
          <w:rPr>
            <w:noProof/>
            <w:webHidden/>
          </w:rPr>
          <w:t>12</w:t>
        </w:r>
        <w:r w:rsidR="00F25A11">
          <w:rPr>
            <w:noProof/>
            <w:webHidden/>
          </w:rPr>
          <w:fldChar w:fldCharType="end"/>
        </w:r>
      </w:hyperlink>
    </w:p>
    <w:p w14:paraId="42F1689D" w14:textId="77777777" w:rsidR="00F25A11" w:rsidRDefault="00D45CB2">
      <w:pPr>
        <w:pStyle w:val="TOC1"/>
        <w:tabs>
          <w:tab w:val="right" w:leader="dot" w:pos="5030"/>
        </w:tabs>
        <w:rPr>
          <w:rFonts w:eastAsiaTheme="minorEastAsia"/>
          <w:b w:val="0"/>
          <w:caps w:val="0"/>
          <w:noProof/>
          <w:sz w:val="22"/>
          <w:lang w:val="en-US" w:eastAsia="en-US" w:bidi="ar-SA"/>
        </w:rPr>
      </w:pPr>
      <w:hyperlink w:anchor="_Toc31830100" w:history="1">
        <w:r w:rsidR="00F25A11" w:rsidRPr="004530B8">
          <w:rPr>
            <w:rStyle w:val="Hyperlink"/>
            <w:noProof/>
          </w:rPr>
          <w:t>Anexo 1 – As Cláusulas Contratuais Padrão (Processadores) para os Serviços de Suporte e Consultoria</w:t>
        </w:r>
        <w:r w:rsidR="00F25A11">
          <w:rPr>
            <w:noProof/>
            <w:webHidden/>
          </w:rPr>
          <w:tab/>
        </w:r>
        <w:r w:rsidR="00F25A11">
          <w:rPr>
            <w:noProof/>
            <w:webHidden/>
          </w:rPr>
          <w:fldChar w:fldCharType="begin"/>
        </w:r>
        <w:r w:rsidR="00F25A11">
          <w:rPr>
            <w:noProof/>
            <w:webHidden/>
          </w:rPr>
          <w:instrText xml:space="preserve"> PAGEREF _Toc31830100 \h </w:instrText>
        </w:r>
        <w:r w:rsidR="00F25A11">
          <w:rPr>
            <w:noProof/>
            <w:webHidden/>
          </w:rPr>
        </w:r>
        <w:r w:rsidR="00F25A11">
          <w:rPr>
            <w:noProof/>
            <w:webHidden/>
          </w:rPr>
          <w:fldChar w:fldCharType="separate"/>
        </w:r>
        <w:r w:rsidR="000D6A2F">
          <w:rPr>
            <w:noProof/>
            <w:webHidden/>
          </w:rPr>
          <w:t>15</w:t>
        </w:r>
        <w:r w:rsidR="00F25A11">
          <w:rPr>
            <w:noProof/>
            <w:webHidden/>
          </w:rPr>
          <w:fldChar w:fldCharType="end"/>
        </w:r>
      </w:hyperlink>
    </w:p>
    <w:p w14:paraId="4247378F" w14:textId="412B51B3" w:rsidR="00F25A11" w:rsidRDefault="00D45CB2">
      <w:pPr>
        <w:pStyle w:val="TOC1"/>
        <w:tabs>
          <w:tab w:val="right" w:leader="dot" w:pos="5030"/>
        </w:tabs>
        <w:rPr>
          <w:rFonts w:eastAsiaTheme="minorEastAsia"/>
          <w:b w:val="0"/>
          <w:caps w:val="0"/>
          <w:noProof/>
          <w:sz w:val="22"/>
          <w:lang w:val="en-US" w:eastAsia="en-US" w:bidi="ar-SA"/>
        </w:rPr>
      </w:pPr>
      <w:hyperlink w:anchor="_Toc31830101" w:history="1">
        <w:r w:rsidR="00F25A11" w:rsidRPr="004530B8">
          <w:rPr>
            <w:rStyle w:val="Hyperlink"/>
            <w:noProof/>
          </w:rPr>
          <w:t xml:space="preserve">Anexo 2 – Termos do Regulamento Geral </w:t>
        </w:r>
        <w:r w:rsidR="00F25A11">
          <w:rPr>
            <w:rStyle w:val="Hyperlink"/>
            <w:noProof/>
          </w:rPr>
          <w:br/>
        </w:r>
        <w:r w:rsidR="00F25A11" w:rsidRPr="004530B8">
          <w:rPr>
            <w:rStyle w:val="Hyperlink"/>
            <w:noProof/>
          </w:rPr>
          <w:t>de Proteção de Dados da União Europeia</w:t>
        </w:r>
        <w:r w:rsidR="00F25A11">
          <w:rPr>
            <w:noProof/>
            <w:webHidden/>
          </w:rPr>
          <w:tab/>
        </w:r>
        <w:r w:rsidR="00F25A11">
          <w:rPr>
            <w:noProof/>
            <w:webHidden/>
          </w:rPr>
          <w:fldChar w:fldCharType="begin"/>
        </w:r>
        <w:r w:rsidR="00F25A11">
          <w:rPr>
            <w:noProof/>
            <w:webHidden/>
          </w:rPr>
          <w:instrText xml:space="preserve"> PAGEREF _Toc31830101 \h </w:instrText>
        </w:r>
        <w:r w:rsidR="00F25A11">
          <w:rPr>
            <w:noProof/>
            <w:webHidden/>
          </w:rPr>
        </w:r>
        <w:r w:rsidR="00F25A11">
          <w:rPr>
            <w:noProof/>
            <w:webHidden/>
          </w:rPr>
          <w:fldChar w:fldCharType="separate"/>
        </w:r>
        <w:r w:rsidR="000D6A2F">
          <w:rPr>
            <w:noProof/>
            <w:webHidden/>
          </w:rPr>
          <w:t>22</w:t>
        </w:r>
        <w:r w:rsidR="00F25A11">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830077"/>
      <w:bookmarkStart w:id="4" w:name="_Hlk495664241"/>
      <w:bookmarkStart w:id="5" w:name="_Toc507768532"/>
      <w:bookmarkStart w:id="6" w:name="_Toc6563781"/>
      <w:bookmarkStart w:id="7" w:name="_Toc26883654"/>
      <w:r>
        <w:lastRenderedPageBreak/>
        <w:t>Introdução</w:t>
      </w:r>
      <w:bookmarkEnd w:id="3"/>
    </w:p>
    <w:p w14:paraId="5A48A4BE" w14:textId="5AEC2EF8" w:rsidR="00504C5C" w:rsidRPr="009A6C8D" w:rsidRDefault="00504C5C" w:rsidP="00504C5C">
      <w:pPr>
        <w:pStyle w:val="ProductList-Body"/>
        <w:spacing w:after="120"/>
      </w:pPr>
      <w:r>
        <w:t>As partes concordam que este Adendo de Proteção de Dados dos Serviços Profissionais da Microsoft (“DPA”) estabelece suas obrigações com relação ao processamento e à segurança dos Dados dos Serviços Profissionais em relação aos Serviços Profissionais.</w:t>
      </w:r>
      <w:r>
        <w:rPr>
          <w:sz w:val="22"/>
        </w:rPr>
        <w:t xml:space="preserve"> </w:t>
      </w:r>
      <w:bookmarkStart w:id="8" w:name="_Hlk24368805"/>
      <w:r>
        <w:t>Termos separados, incluindo outros termos de privacidade e segurança, regem o uso que o Cliente faz de outros produtos e serviços.</w:t>
      </w:r>
      <w:r w:rsidR="00396E17">
        <w:t xml:space="preserve"> </w:t>
      </w:r>
      <w:bookmarkEnd w:id="8"/>
    </w:p>
    <w:p w14:paraId="6466688A" w14:textId="59C60692"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Este DPA não substitui outros termos de proteção de dados assinados pelas partes, a menos que acordados de outra forma por escrito. No entanto, na ausência de outros termos acordados do GDPR, as seções “Processamento de Dados Pessoais; GDPR”, “Política de Segurança da Microsoft”, os</w:t>
      </w:r>
      <w:r w:rsidR="00092D34">
        <w:rPr>
          <w:rFonts w:cstheme="minorHAnsi"/>
          <w:sz w:val="18"/>
          <w:szCs w:val="18"/>
        </w:rPr>
        <w:t xml:space="preserve"> </w:t>
      </w:r>
      <w:r>
        <w:rPr>
          <w:rFonts w:cstheme="minorHAnsi"/>
          <w:sz w:val="18"/>
          <w:szCs w:val="18"/>
        </w:rPr>
        <w:t xml:space="preserve">primeiros dois parágrafos de “Notificação e Controles sobre o Uso de Subprocessadores” e os Termos do GDPR abaixo se aplicarão. </w:t>
      </w:r>
    </w:p>
    <w:p w14:paraId="11E3634A" w14:textId="6E757A94" w:rsidR="00061E4F" w:rsidRPr="009A6C8D" w:rsidRDefault="00061E4F" w:rsidP="003329F1">
      <w:r>
        <w:rPr>
          <w:sz w:val="18"/>
          <w:szCs w:val="18"/>
        </w:rPr>
        <w:t xml:space="preserve">Em caso de conflitos ou inconsistência entre este DPA e quaisquer outros termos no Contrato do Cliente, este DPA deverá prevalecer. As disposições deste DPA substituem todas as disposições conflitantes da Política de Privacidade da Microsoft que, de outra forma, poderão se aplicar ao processamento dos Dados dos Serviços Profissionais ou Dados Pessoais conforme definidos aqui. </w:t>
      </w:r>
      <w:r>
        <w:rPr>
          <w:sz w:val="18"/>
        </w:rPr>
        <w:t xml:space="preserve">Para </w:t>
      </w:r>
      <w:r>
        <w:rPr>
          <w:sz w:val="18"/>
          <w:szCs w:val="18"/>
        </w:rPr>
        <w:t>fins de clareza, consistente com a Cláusula 10 das Cláusulas Contratuais Padrão no Anexo 1, as Cláusulas Contratuais Padrão prevalecem sobre qualquer outro termo do DPA.</w:t>
      </w:r>
    </w:p>
    <w:p w14:paraId="5B64BFC9" w14:textId="3697A3B8" w:rsidR="00061E4F" w:rsidRPr="009A6C8D" w:rsidRDefault="00061E4F" w:rsidP="00061E4F">
      <w:pPr>
        <w:pStyle w:val="ProductList-Body"/>
        <w:spacing w:after="240"/>
      </w:pPr>
      <w:r>
        <w:t>A Microsoft assume os compromissos estabelecidos neste DPA perante todos os clientes em relação aos Serviços Profissionais. Esses compromissos estão vinculados à Microsoft em relação ao Cliente, independentemente (1) da versão do DPA que, de outra forma, se aplique em relação a qualquer cliente ou (2) de qualquer outro contrato que faça referência a este DPA.</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830078"/>
      <w:r>
        <w:t>DPA Aplicável e Atualizações</w:t>
      </w:r>
      <w:bookmarkEnd w:id="12"/>
      <w:bookmarkEnd w:id="13"/>
      <w:bookmarkEnd w:id="14"/>
      <w:bookmarkEnd w:id="15"/>
    </w:p>
    <w:p w14:paraId="64AE7B5E" w14:textId="0373E412" w:rsidR="000C1A03" w:rsidRPr="00092D34" w:rsidRDefault="000C1A03" w:rsidP="000C1A03">
      <w:pPr>
        <w:pStyle w:val="ProductList-Body"/>
        <w:rPr>
          <w:spacing w:val="-2"/>
        </w:rPr>
      </w:pPr>
      <w:r w:rsidRPr="00092D34">
        <w:rPr>
          <w:spacing w:val="-2"/>
        </w:rPr>
        <w:t xml:space="preserve">Quando o Cliente renova ou compra Serviços Profissionais existentes de acordo com uma Ordem de Serviço, o DPA então vigente se aplica e não será alterado durante o contrato do Cliente. Quando a Microsoft apresentar novas ofertas, recursos ou complementos (isto é, não oferecidos anteriormente) ou conforme exigido por alterações na lei, ela poderá fornecer termos ou fazer atualizações no DPA aplicáveis ao uso que o Cliente faz dos Serviços Profissionais. No mínimo, novos termos ou atualizações neste DPA serão de níveis equivalentes de proteção de dados aos termos atuais.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830079"/>
      <w:r>
        <w:t>Versões Anteriores</w:t>
      </w:r>
      <w:bookmarkEnd w:id="16"/>
      <w:bookmarkEnd w:id="17"/>
      <w:bookmarkEnd w:id="18"/>
      <w:bookmarkEnd w:id="19"/>
    </w:p>
    <w:p w14:paraId="7A563980" w14:textId="58F74DE3" w:rsidR="003329F1" w:rsidRPr="009A6C8D" w:rsidRDefault="003329F1" w:rsidP="003329F1">
      <w:pPr>
        <w:pStyle w:val="ProductList-Body"/>
      </w:pPr>
      <w:r>
        <w:t xml:space="preserve">Este DPA fornece termos para os Serviços Profissionais disponíveis atualmente. No caso de versões anteriores deste DPA, o Cliente poderá consultar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ou entrar em contato com o seu Gerente de Conta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30080"/>
      <w:r>
        <w:t>Esclarecimentos e Resumo das Alterações</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Nenhum</w:t>
      </w:r>
    </w:p>
    <w:p w14:paraId="6F9AFB3A" w14:textId="6F262253" w:rsidR="003329F1" w:rsidRPr="009A6C8D" w:rsidRDefault="00D45CB2" w:rsidP="003329F1">
      <w:pPr>
        <w:pStyle w:val="ProductList-Body"/>
        <w:shd w:val="clear" w:color="auto" w:fill="A6A6A6" w:themeFill="background1" w:themeFillShade="A6"/>
        <w:spacing w:after="120"/>
        <w:jc w:val="right"/>
      </w:pPr>
      <w:hyperlink w:anchor="Sumário" w:tooltip="Sumário" w:history="1">
        <w:r w:rsidR="000E4CF9">
          <w:rPr>
            <w:rStyle w:val="Hyperlink"/>
            <w:sz w:val="16"/>
            <w:szCs w:val="16"/>
          </w:rPr>
          <w:t>Sumário</w:t>
        </w:r>
      </w:hyperlink>
      <w:r w:rsidR="000E4CF9">
        <w:rPr>
          <w:sz w:val="16"/>
          <w:szCs w:val="16"/>
        </w:rPr>
        <w:t xml:space="preserve"> / </w:t>
      </w:r>
      <w:hyperlink w:anchor="Termos_Gerais" w:tooltip="Termos Gerais" w:history="1">
        <w:r w:rsidR="000E4CF9">
          <w:rPr>
            <w:rStyle w:val="Hyperlink"/>
            <w:sz w:val="16"/>
            <w:szCs w:val="16"/>
          </w:rPr>
          <w:t>Termos Gerais</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830081"/>
      <w:r>
        <w:lastRenderedPageBreak/>
        <w:t>Definições</w:t>
      </w:r>
      <w:bookmarkEnd w:id="37"/>
    </w:p>
    <w:p w14:paraId="71BBB68F" w14:textId="1B623677" w:rsidR="001908BC" w:rsidRPr="009A6C8D" w:rsidRDefault="001908BC" w:rsidP="00182772">
      <w:pPr>
        <w:spacing w:after="117"/>
        <w:ind w:right="7"/>
      </w:pPr>
      <w:r>
        <w:rPr>
          <w:sz w:val="18"/>
        </w:rPr>
        <w:t xml:space="preserve">Os termos em letras maiúsculas usados, mas não definidos, neste DPA terão os significados atribuídos a eles no Contrato. Os termos definidos abaixo são usadas neste DPA: </w:t>
      </w:r>
    </w:p>
    <w:p w14:paraId="679FCCA4" w14:textId="12760B7B" w:rsidR="002B6601" w:rsidRPr="009A6C8D" w:rsidRDefault="002B6601" w:rsidP="002B6601">
      <w:pPr>
        <w:pStyle w:val="ProductList-Body"/>
        <w:spacing w:after="120"/>
      </w:pPr>
      <w:r>
        <w:rPr>
          <w:szCs w:val="18"/>
        </w:rPr>
        <w:t xml:space="preserve">“Contrato” significa, conforme aplicável, a Descrição de Serviços e todos os Anexos, Declarações de Trabalho, Ordem(ns) de Serviço do Enterprise Services e o contrato principal aplicável da Microsoft, como o Microsoft Business and Services Agreement. </w:t>
      </w:r>
    </w:p>
    <w:p w14:paraId="04C4FBA7" w14:textId="53A5AEEB" w:rsidR="006A3D1E" w:rsidRPr="009A6C8D" w:rsidRDefault="006A3D1E" w:rsidP="006A3D1E">
      <w:pPr>
        <w:spacing w:after="117"/>
        <w:ind w:right="7"/>
      </w:pPr>
      <w:r>
        <w:rPr>
          <w:sz w:val="18"/>
          <w:szCs w:val="18"/>
        </w:rPr>
        <w:t xml:space="preserve">“Requisitos de Proteção de Dados” significa o GDPR, Leis de Proteção de Dados Locais da UE/EEA e todas as leis, regulamentos e outros requisitos legais aplicáveis relacionados ao seguinte: (a) privacidade e segurança de dados e (b) uso, coleta, retenção, armazenamento, segurança, divulgação, transferência, descarte e outro processamento de Dados Pessoais. </w:t>
      </w:r>
    </w:p>
    <w:p w14:paraId="2F49CA39" w14:textId="13F6F523" w:rsidR="001908BC" w:rsidRPr="009A6C8D" w:rsidRDefault="006A3D1E" w:rsidP="006A3D1E">
      <w:pPr>
        <w:spacing w:after="117"/>
        <w:ind w:right="7"/>
      </w:pPr>
      <w:r>
        <w:rPr>
          <w:sz w:val="18"/>
          <w:szCs w:val="18"/>
        </w:rPr>
        <w:t xml:space="preserve">“GDPR” significa o Regulamento (EU) 2016/679 do Parlamento Europeu e do Conselho de 27 de abril de 2016 sobre a proteção de indivíduos com relação ao processamento de dados pessoais e sobre a livre movimentação de tais dados, e que anula a Diretiva 95/46/EC (Regulamento Geral de Proteção de Dados). </w:t>
      </w:r>
    </w:p>
    <w:p w14:paraId="0EC04A38" w14:textId="49A4BC5E" w:rsidR="006A3D1E" w:rsidRPr="009A6C8D" w:rsidRDefault="006A3D1E" w:rsidP="006A3D1E">
      <w:pPr>
        <w:pStyle w:val="ProductList-Body"/>
        <w:spacing w:after="120"/>
      </w:pPr>
      <w:r>
        <w:rPr>
          <w:szCs w:val="18"/>
        </w:rPr>
        <w:t>“Termos do GDPR” significa os termos do Anexo 2, segundo os quais a Microsoft se compromete de forma vinculativa com relação ao seu processamento de Dados Pessoais, conforme exigido pelo Artigo 28 do GDPR.</w:t>
      </w:r>
    </w:p>
    <w:p w14:paraId="1555D1C5" w14:textId="40FEA461" w:rsidR="006A3D1E" w:rsidRPr="009A6C8D" w:rsidRDefault="006A3D1E" w:rsidP="006A3D1E">
      <w:pPr>
        <w:spacing w:after="116"/>
        <w:ind w:right="7"/>
      </w:pPr>
      <w:r>
        <w:rPr>
          <w:sz w:val="18"/>
          <w:szCs w:val="18"/>
        </w:rPr>
        <w:t>“Leis de Proteção de Dados Locais da UE/EEA” significa qualquer legislação e regulamento subordinados que implementam o GDPR.</w:t>
      </w:r>
      <w:r w:rsidR="00396E17">
        <w:rPr>
          <w:sz w:val="18"/>
          <w:szCs w:val="18"/>
        </w:rPr>
        <w:t xml:space="preserve"> </w:t>
      </w:r>
    </w:p>
    <w:p w14:paraId="64D28E37" w14:textId="798E3E0F" w:rsidR="006041D6" w:rsidRPr="009A6C8D" w:rsidRDefault="006A3D1E" w:rsidP="006A3D1E">
      <w:pPr>
        <w:pStyle w:val="ProductList-Body"/>
        <w:spacing w:after="110"/>
      </w:pPr>
      <w:r>
        <w:rPr>
          <w:szCs w:val="18"/>
        </w:rPr>
        <w:t>“Serviço Online” significa um serviço hospedado pela Microsoft que o Cliente assina de acordo com um contrato de licenciamento por volume da</w:t>
      </w:r>
      <w:r w:rsidR="00092D34">
        <w:rPr>
          <w:szCs w:val="18"/>
        </w:rPr>
        <w:t> </w:t>
      </w:r>
      <w:r>
        <w:rPr>
          <w:szCs w:val="18"/>
        </w:rPr>
        <w:t xml:space="preserve">Microsoft, como Microsoft Azure, Microsoft Office 365, Microsoft Dynamics 365 ou outro incluindo qualquer serviço identificado na seção Serviços Online dos Termos do Produto. </w:t>
      </w:r>
    </w:p>
    <w:p w14:paraId="1CF52FA2" w14:textId="60EFB936" w:rsidR="002B6601" w:rsidRPr="009A6C8D" w:rsidRDefault="006041D6" w:rsidP="006041D6">
      <w:pPr>
        <w:pStyle w:val="ProductList-Body"/>
        <w:spacing w:after="120"/>
      </w:pPr>
      <w:r>
        <w:rPr>
          <w:szCs w:val="18"/>
        </w:rPr>
        <w:t>“Dados Pessoais” significa qualquer informação referente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0DF52B91" w14:textId="44F87EB5" w:rsidR="00A27C73" w:rsidRPr="009A6C8D" w:rsidRDefault="00A27C73" w:rsidP="00A27C73">
      <w:pPr>
        <w:pStyle w:val="ProductList-Body"/>
        <w:spacing w:after="120"/>
      </w:pPr>
      <w:r>
        <w:rPr>
          <w:szCs w:val="18"/>
        </w:rPr>
        <w:t xml:space="preserve">“Serviços Profissionais” significa os serviços a seguir fornecidos de acordo com uma Ordem de Serviço do Enterprise Services: (a) planejamento profissional, consultoria, orientações, migração de dados, implantação e serviços de desenvolvimento de soluções/software fornecidos pelos Serviços de Consultoria da Microsoft (“Serviços de Consultoria”) e (b) Suporte Unificado da Microsoft ou Serviços de Suporte Premier, conforme detalhado na Descrição de Suporte e Consultoria de Serviços ou na Descrição de Serviços, respectivamente, que consistem em serviços de suporte de software técnico profissional fornecidos pela Microsoft que ajudam os clientes a identificar e resolver problemas em seu ambiente de tecnologia da informação (“Serviços de Suporte”). Os Serviços Profissionais não incluem os Serviços Online. </w:t>
      </w:r>
    </w:p>
    <w:p w14:paraId="1EB2A5A5" w14:textId="639BA295" w:rsidR="00182772" w:rsidRPr="009A6C8D" w:rsidRDefault="006A3D1E" w:rsidP="00182772">
      <w:pPr>
        <w:spacing w:after="110"/>
        <w:ind w:right="7"/>
      </w:pPr>
      <w:r>
        <w:rPr>
          <w:sz w:val="18"/>
          <w:szCs w:val="18"/>
        </w:rPr>
        <w:t>“Dados de Serviços Profissionais” significa todos os dados, incluindo todos os arquivos de texto, som, vídeo, imagem ou software, fornecidos para a</w:t>
      </w:r>
      <w:r w:rsidR="00092D34">
        <w:rPr>
          <w:sz w:val="18"/>
          <w:szCs w:val="18"/>
        </w:rPr>
        <w:t> </w:t>
      </w:r>
      <w:r>
        <w:rPr>
          <w:sz w:val="18"/>
          <w:szCs w:val="18"/>
        </w:rPr>
        <w:t>Microsoft pelo Cliente ou em nome dele (ou que o Cliente autoriza a Microsoft a obter de um Serviço Online) ou obtidos ou processados de outra forma pela Microsoft ou em nome dela por meio de um contrato com a Microsoft para obter Serviços Profissionais.</w:t>
      </w:r>
      <w:r w:rsidR="00396E17">
        <w:rPr>
          <w:sz w:val="18"/>
          <w:szCs w:val="18"/>
        </w:rPr>
        <w:t xml:space="preserve"> </w:t>
      </w:r>
    </w:p>
    <w:p w14:paraId="7A5F87C0" w14:textId="65AD2858" w:rsidR="00182772" w:rsidRPr="009A6C8D" w:rsidRDefault="00182772" w:rsidP="00182772">
      <w:pPr>
        <w:spacing w:after="110"/>
        <w:ind w:right="7"/>
      </w:pPr>
      <w:r>
        <w:rPr>
          <w:sz w:val="18"/>
          <w:szCs w:val="18"/>
        </w:rPr>
        <w:t>“Cláusulas Contratuais Padrão” significa as cláusulas de proteção de dados padrão para a transferência de dados pessoais a processadores estabelecidos em países de terceiros que não garantem um nível adequado de proteção de dados, conforme descrito no Artigo 46 do GDPR e</w:t>
      </w:r>
      <w:r w:rsidR="00092D34">
        <w:rPr>
          <w:sz w:val="18"/>
          <w:szCs w:val="18"/>
        </w:rPr>
        <w:t> </w:t>
      </w:r>
      <w:r>
        <w:rPr>
          <w:sz w:val="18"/>
          <w:szCs w:val="18"/>
        </w:rPr>
        <w:t>aprovado pela decisão da Comissão Europeia 2010/87/EC de 5 de fevereiro de 2010. As Cláusulas Contratuais Padrão estão no Anexo 1.</w:t>
      </w:r>
      <w:r w:rsidR="00396E17">
        <w:rPr>
          <w:sz w:val="18"/>
          <w:szCs w:val="18"/>
        </w:rPr>
        <w:t xml:space="preserve"> </w:t>
      </w:r>
    </w:p>
    <w:p w14:paraId="7A212925" w14:textId="0417D09F" w:rsidR="00182772" w:rsidRPr="009A6C8D" w:rsidRDefault="00182772" w:rsidP="00182772">
      <w:pPr>
        <w:spacing w:after="117"/>
        <w:ind w:right="7"/>
      </w:pPr>
      <w:r>
        <w:rPr>
          <w:sz w:val="18"/>
          <w:szCs w:val="18"/>
        </w:rPr>
        <w:t>“Subprocessador” significa outros processadores usados pela Microsoft para processar Dados de Serviços Profissionais, incluindo subcontratados que processem Dados de Serviços Profissionais.</w:t>
      </w:r>
      <w:r w:rsidR="00396E17">
        <w:rPr>
          <w:sz w:val="18"/>
          <w:szCs w:val="18"/>
        </w:rPr>
        <w:t xml:space="preserve"> </w:t>
      </w:r>
    </w:p>
    <w:p w14:paraId="1AE7377E" w14:textId="5BB072F9" w:rsidR="001908BC" w:rsidRPr="009A6C8D" w:rsidRDefault="001908BC" w:rsidP="00CA14FF">
      <w:pPr>
        <w:pStyle w:val="ProductList-Body"/>
      </w:pPr>
      <w:r>
        <w:t>Os termos com iniciais minúsculas, mas não definidos neste DPA, como “violação de dados pessoais”, “processamento”, “controlador”, “processador”, “criação de perfil”, “dados pessoais” e “titular dos dados”, terão o mesmo significado conforme estabelecido no Artigo 4 do GDPR, independentemente de o GDPR se aplicar ou não. Os termos “importador de dados” e “exportador de dados” têm os significados fornecidos nas Cláusulas Contratuais Padrão.</w:t>
      </w:r>
      <w:r w:rsidR="00396E17">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Termos_Gerais"/>
      <w:bookmarkStart w:id="39" w:name="_Toc31830082"/>
      <w:bookmarkEnd w:id="38"/>
      <w:r>
        <w:lastRenderedPageBreak/>
        <w:t>Termos Gerais</w:t>
      </w:r>
      <w:bookmarkEnd w:id="39"/>
    </w:p>
    <w:p w14:paraId="23056F78" w14:textId="77777777" w:rsidR="00B15613" w:rsidRPr="009A6C8D" w:rsidRDefault="00B15613" w:rsidP="00B15613">
      <w:pPr>
        <w:pStyle w:val="ProductList-SubSubSectionHeading"/>
        <w:outlineLvl w:val="1"/>
      </w:pPr>
      <w:bookmarkStart w:id="40" w:name="_Toc489605565"/>
      <w:bookmarkStart w:id="41" w:name="_Toc31830083"/>
      <w:r>
        <w:t>Cumprimento das Leis</w:t>
      </w:r>
      <w:bookmarkEnd w:id="40"/>
      <w:bookmarkEnd w:id="41"/>
    </w:p>
    <w:p w14:paraId="2292248A" w14:textId="4040A243" w:rsidR="00B15613" w:rsidRPr="009A6C8D" w:rsidRDefault="00B15613" w:rsidP="006A3D1E">
      <w:pPr>
        <w:ind w:right="7"/>
      </w:pPr>
      <w:r>
        <w:rPr>
          <w:bCs/>
          <w:sz w:val="18"/>
          <w:szCs w:val="18"/>
        </w:rPr>
        <w:t>A Microsoft cumprirá todas as leis e regulamentos geralmente aplicáveis ao respectivo fornecimento dos Serviços Profissionais, inclusive a lei de notificação de violação de segurança e os Requisitos de Proteção de Dados.</w:t>
      </w:r>
      <w:r w:rsidR="00396E17">
        <w:rPr>
          <w:bCs/>
          <w:sz w:val="18"/>
          <w:szCs w:val="18"/>
        </w:rPr>
        <w:t xml:space="preserve"> </w:t>
      </w:r>
      <w:r>
        <w:rPr>
          <w:bCs/>
          <w:sz w:val="18"/>
          <w:szCs w:val="18"/>
        </w:rPr>
        <w:t>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de Serviços Profissionais incluem informações sujeitas a qualquer lei ou regulamento específico. Todos os Incidentes de Segurança estão sujeitos aos termos de Notificação de Incidentes de Segurança abaixo.</w:t>
      </w:r>
    </w:p>
    <w:p w14:paraId="3609CA6F" w14:textId="1FBE78A7" w:rsidR="00AB6BFF" w:rsidRPr="009A6C8D" w:rsidRDefault="00B15613" w:rsidP="002A7647">
      <w:pPr>
        <w:ind w:right="7"/>
      </w:pPr>
      <w:r>
        <w:rPr>
          <w:bCs/>
          <w:sz w:val="18"/>
          <w:szCs w:val="18"/>
        </w:rPr>
        <w:t>O Cliente deverá cumprir todas as leis e regulamentos aplicáveis à aquisição e ao uso dos Serviços Profissionais, inclusive leis relacionadas a dados biométricos, confidencialidade das comunicações e Requisitos de Proteção de Dados.</w:t>
      </w:r>
      <w:r w:rsidR="00396E17">
        <w:rPr>
          <w:bCs/>
          <w:sz w:val="18"/>
          <w:szCs w:val="18"/>
        </w:rPr>
        <w:t xml:space="preserve"> </w:t>
      </w:r>
      <w:r>
        <w:rPr>
          <w:bCs/>
          <w:sz w:val="18"/>
          <w:szCs w:val="18"/>
        </w:rPr>
        <w:t>O Cliente é responsável por determinar se os Serviços Profissionais são apropriados para armazenamento e processamento de informações sujeitas a qualquer lei ou regulamento específico e por usar os Serviços Profissionais de maneira consistente com as obrigações legais e normativas. O Cliente é responsável por responder a todas as solicitações de terceiros relativas ao uso que o Cliente faz de um Serviço Profissional.</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830084"/>
      <w:bookmarkStart w:id="43" w:name="_Hlk26306766"/>
      <w:r>
        <w:t>Política de Uso Aceitável</w:t>
      </w:r>
      <w:bookmarkEnd w:id="42"/>
    </w:p>
    <w:p w14:paraId="2C3BADE5" w14:textId="0E90568D" w:rsidR="0082263D" w:rsidRPr="009A6C8D" w:rsidRDefault="0082263D" w:rsidP="00625EEA">
      <w:pPr>
        <w:pStyle w:val="ProductList-Body"/>
      </w:pPr>
      <w:r>
        <w:t>Nem o Cliente nem seus representantes poderão usar Serviços Profissionais ou os Serviços Entregues:</w:t>
      </w:r>
    </w:p>
    <w:p w14:paraId="088AED4B" w14:textId="77777777" w:rsidR="0082263D" w:rsidRPr="009A6C8D" w:rsidRDefault="0082263D" w:rsidP="0082263D">
      <w:pPr>
        <w:pStyle w:val="ProductList-Body"/>
        <w:numPr>
          <w:ilvl w:val="0"/>
          <w:numId w:val="5"/>
        </w:numPr>
        <w:ind w:left="608" w:hanging="270"/>
      </w:pPr>
      <w:r>
        <w:t>de uma forma que seja proibida por lei, regulamento, ordem governamental ou decreto;</w:t>
      </w:r>
    </w:p>
    <w:p w14:paraId="54BE0FD4" w14:textId="77777777" w:rsidR="0082263D" w:rsidRPr="009A6C8D" w:rsidRDefault="0082263D" w:rsidP="0082263D">
      <w:pPr>
        <w:pStyle w:val="ProductList-Body"/>
        <w:numPr>
          <w:ilvl w:val="0"/>
          <w:numId w:val="5"/>
        </w:numPr>
        <w:spacing w:before="40"/>
        <w:ind w:left="608" w:hanging="270"/>
      </w:pPr>
      <w:r>
        <w:t>para violar os direitos de outros;</w:t>
      </w:r>
    </w:p>
    <w:p w14:paraId="1A721557" w14:textId="77777777" w:rsidR="0082263D" w:rsidRPr="009A6C8D" w:rsidRDefault="0082263D" w:rsidP="0082263D">
      <w:pPr>
        <w:pStyle w:val="ProductList-Body"/>
        <w:numPr>
          <w:ilvl w:val="0"/>
          <w:numId w:val="5"/>
        </w:numPr>
        <w:spacing w:before="40"/>
        <w:ind w:left="608" w:hanging="270"/>
      </w:pPr>
      <w:r>
        <w:t>para tentar obter acesso não autorizado a quaisquer serviços, dispositivos, dados, contas ou redes ou para interrompê-los;</w:t>
      </w:r>
    </w:p>
    <w:p w14:paraId="25A97A2E" w14:textId="77777777" w:rsidR="0082263D" w:rsidRPr="009A6C8D" w:rsidRDefault="0082263D" w:rsidP="0082263D">
      <w:pPr>
        <w:pStyle w:val="ProductList-Body"/>
        <w:numPr>
          <w:ilvl w:val="0"/>
          <w:numId w:val="5"/>
        </w:numPr>
        <w:spacing w:before="40"/>
        <w:ind w:left="608" w:hanging="270"/>
      </w:pPr>
      <w:r>
        <w:t>para enviar spams ou distribuir malware;</w:t>
      </w:r>
    </w:p>
    <w:p w14:paraId="71C10CCD" w14:textId="75775A72" w:rsidR="0082263D" w:rsidRPr="009A6C8D" w:rsidRDefault="0082263D" w:rsidP="0082263D">
      <w:pPr>
        <w:pStyle w:val="ProductList-Body"/>
        <w:numPr>
          <w:ilvl w:val="0"/>
          <w:numId w:val="5"/>
        </w:numPr>
        <w:spacing w:before="40"/>
        <w:ind w:left="608" w:hanging="270"/>
      </w:pPr>
      <w:r>
        <w:t>de uma forma que possa danificar os sistemas de TI da Microsoft ou prejudicar o uso deles por outras pessoas;</w:t>
      </w:r>
    </w:p>
    <w:p w14:paraId="1615095D" w14:textId="547707D0" w:rsidR="0082263D" w:rsidRPr="009A6C8D" w:rsidRDefault="0082263D" w:rsidP="0082263D">
      <w:pPr>
        <w:pStyle w:val="ProductList-Body"/>
        <w:numPr>
          <w:ilvl w:val="0"/>
          <w:numId w:val="5"/>
        </w:numPr>
        <w:spacing w:before="40"/>
        <w:ind w:left="605" w:hanging="274"/>
      </w:pPr>
      <w:r>
        <w:t>em qualquer aplicação ou situação em que o uso dos Serviços Profissionais (ou os Serviços Entregues) possam levar à morte ou a ferimentos graves de uma pessoa ou a danos físicos ou ambientais graves ou</w:t>
      </w:r>
    </w:p>
    <w:p w14:paraId="4014F60C" w14:textId="77777777" w:rsidR="0082263D" w:rsidRPr="009A6C8D" w:rsidRDefault="0082263D" w:rsidP="0082263D">
      <w:pPr>
        <w:pStyle w:val="ProductList-Body"/>
        <w:numPr>
          <w:ilvl w:val="0"/>
          <w:numId w:val="5"/>
        </w:numPr>
        <w:spacing w:before="40" w:after="120"/>
        <w:ind w:left="619" w:hanging="274"/>
      </w:pPr>
      <w:r>
        <w:t>para auxiliar ou incentivar qualquer pessoa a cometer qualquer ato indicado anteriormente.</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830085"/>
      <w:bookmarkStart w:id="48" w:name="_Hlk26306935"/>
      <w:r>
        <w:t>Serviços Online</w:t>
      </w:r>
      <w:bookmarkEnd w:id="47"/>
    </w:p>
    <w:p w14:paraId="73AA11AD" w14:textId="772B6B52" w:rsidR="00625EEA" w:rsidRPr="009A6C8D" w:rsidRDefault="00E93DAD" w:rsidP="00B052E7">
      <w:r>
        <w:rPr>
          <w:bCs/>
          <w:sz w:val="18"/>
          <w:szCs w:val="18"/>
        </w:rPr>
        <w:t>Para projetos aplicáveis de Serviços Online: Para auxiliar na avaliação da entrega de Serviços Profissionais, o Cliente concorda em conceder à Microsoft acesso a métricas de uso em seus Serviços Online. Nenhum Dado Pessoal do Serviço Online é incluído nas métricas</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830086"/>
      <w:r>
        <w:lastRenderedPageBreak/>
        <w:t>Termos de Proteção de Dados</w:t>
      </w:r>
      <w:bookmarkEnd w:id="49"/>
    </w:p>
    <w:p w14:paraId="49C940AF" w14:textId="7CB47697" w:rsidR="00625EEA" w:rsidRPr="009A6C8D" w:rsidRDefault="00625EEA" w:rsidP="00873349">
      <w:pPr>
        <w:pStyle w:val="ProductList-Body"/>
        <w:spacing w:after="120"/>
      </w:pPr>
      <w:r>
        <w:t>Esta seção do DPA inclui as seguintes subseções:</w:t>
      </w:r>
    </w:p>
    <w:p w14:paraId="5A0B2510" w14:textId="77777777" w:rsidR="00CF33D7" w:rsidRPr="00396E17" w:rsidRDefault="00CF33D7" w:rsidP="006A3D1E">
      <w:pPr>
        <w:numPr>
          <w:ilvl w:val="0"/>
          <w:numId w:val="2"/>
        </w:numPr>
        <w:spacing w:after="16"/>
        <w:rPr>
          <w:sz w:val="18"/>
          <w:szCs w:val="18"/>
        </w:rPr>
      </w:pPr>
      <w:r w:rsidRPr="00396E17">
        <w:rPr>
          <w:sz w:val="18"/>
          <w:szCs w:val="18"/>
        </w:rPr>
        <w:t>Escopo</w:t>
      </w:r>
    </w:p>
    <w:p w14:paraId="090D738E" w14:textId="3113A76F" w:rsidR="00625EEA" w:rsidRPr="00396E17" w:rsidRDefault="00BC5E08" w:rsidP="006A3D1E">
      <w:pPr>
        <w:numPr>
          <w:ilvl w:val="0"/>
          <w:numId w:val="2"/>
        </w:numPr>
        <w:spacing w:after="16"/>
        <w:rPr>
          <w:sz w:val="18"/>
          <w:szCs w:val="18"/>
        </w:rPr>
      </w:pPr>
      <w:r w:rsidRPr="00396E17">
        <w:rPr>
          <w:sz w:val="18"/>
          <w:szCs w:val="18"/>
        </w:rPr>
        <w:t xml:space="preserve">Natureza do Processamento; Propriedade; </w:t>
      </w:r>
    </w:p>
    <w:p w14:paraId="6416B4A6" w14:textId="08F35E6D" w:rsidR="00625EEA" w:rsidRPr="00396E17" w:rsidRDefault="00625EEA" w:rsidP="00625EEA">
      <w:pPr>
        <w:pStyle w:val="ProductList-Body"/>
        <w:numPr>
          <w:ilvl w:val="0"/>
          <w:numId w:val="2"/>
        </w:numPr>
        <w:rPr>
          <w:szCs w:val="18"/>
        </w:rPr>
      </w:pPr>
      <w:r w:rsidRPr="00396E17">
        <w:rPr>
          <w:szCs w:val="18"/>
        </w:rPr>
        <w:t>Divulgação de Dados de Serviços Profissionais</w:t>
      </w:r>
    </w:p>
    <w:p w14:paraId="060151C3" w14:textId="77777777" w:rsidR="00B052E7" w:rsidRPr="00396E17" w:rsidRDefault="00625EEA" w:rsidP="00B052E7">
      <w:pPr>
        <w:pStyle w:val="ProductList-Body"/>
        <w:numPr>
          <w:ilvl w:val="0"/>
          <w:numId w:val="2"/>
        </w:numPr>
        <w:rPr>
          <w:szCs w:val="18"/>
        </w:rPr>
      </w:pPr>
      <w:r w:rsidRPr="00396E17">
        <w:rPr>
          <w:szCs w:val="18"/>
        </w:rPr>
        <w:t>Processamento de Dados Pessoais; GDPR</w:t>
      </w:r>
    </w:p>
    <w:p w14:paraId="196574F1" w14:textId="73E72848" w:rsidR="00301C5E" w:rsidRPr="00396E17" w:rsidRDefault="00301C5E" w:rsidP="00B052E7">
      <w:pPr>
        <w:pStyle w:val="ProductList-Body"/>
        <w:numPr>
          <w:ilvl w:val="0"/>
          <w:numId w:val="2"/>
        </w:numPr>
        <w:rPr>
          <w:szCs w:val="18"/>
        </w:rPr>
      </w:pPr>
      <w:r w:rsidRPr="00396E17">
        <w:rPr>
          <w:szCs w:val="18"/>
        </w:rPr>
        <w:t>Segurança de Dados</w:t>
      </w:r>
    </w:p>
    <w:p w14:paraId="5645FA60" w14:textId="16B12E04" w:rsidR="004C6E6B" w:rsidRPr="00396E17" w:rsidRDefault="004C6E6B" w:rsidP="00625EEA">
      <w:pPr>
        <w:pStyle w:val="ProductList-Body"/>
        <w:numPr>
          <w:ilvl w:val="0"/>
          <w:numId w:val="2"/>
        </w:numPr>
        <w:rPr>
          <w:szCs w:val="18"/>
        </w:rPr>
      </w:pPr>
      <w:r w:rsidRPr="00396E17">
        <w:rPr>
          <w:szCs w:val="18"/>
        </w:rPr>
        <w:t>Notificação de Incidentes de Segurança</w:t>
      </w:r>
    </w:p>
    <w:p w14:paraId="268696B6" w14:textId="1554D64B" w:rsidR="00625EEA" w:rsidRPr="00396E17" w:rsidRDefault="00625EEA" w:rsidP="00625EEA">
      <w:pPr>
        <w:pStyle w:val="ProductList-Body"/>
        <w:numPr>
          <w:ilvl w:val="0"/>
          <w:numId w:val="2"/>
        </w:numPr>
        <w:rPr>
          <w:szCs w:val="18"/>
        </w:rPr>
      </w:pPr>
      <w:r w:rsidRPr="00396E17">
        <w:rPr>
          <w:szCs w:val="18"/>
        </w:rPr>
        <w:t>Transferências de Dados</w:t>
      </w:r>
    </w:p>
    <w:p w14:paraId="14509591" w14:textId="6DBB71CE" w:rsidR="00625EEA" w:rsidRPr="00396E17" w:rsidRDefault="007B3E05" w:rsidP="00625EEA">
      <w:pPr>
        <w:pStyle w:val="ProductList-Body"/>
        <w:numPr>
          <w:ilvl w:val="0"/>
          <w:numId w:val="2"/>
        </w:numPr>
        <w:rPr>
          <w:szCs w:val="18"/>
        </w:rPr>
      </w:pPr>
      <w:r w:rsidRPr="00396E17">
        <w:rPr>
          <w:szCs w:val="18"/>
        </w:rPr>
        <w:t>Exclusão de Dados de Serviços Profissionais</w:t>
      </w:r>
    </w:p>
    <w:p w14:paraId="7286A028" w14:textId="77777777" w:rsidR="00625EEA" w:rsidRPr="00396E17" w:rsidRDefault="00625EEA" w:rsidP="00625EEA">
      <w:pPr>
        <w:pStyle w:val="ProductList-Body"/>
        <w:numPr>
          <w:ilvl w:val="0"/>
          <w:numId w:val="2"/>
        </w:numPr>
        <w:rPr>
          <w:szCs w:val="18"/>
        </w:rPr>
      </w:pPr>
      <w:r w:rsidRPr="00396E17">
        <w:rPr>
          <w:szCs w:val="18"/>
        </w:rPr>
        <w:t>Compromisso de Confidencialidade do Processador</w:t>
      </w:r>
    </w:p>
    <w:p w14:paraId="31BB1F7C" w14:textId="505A387C" w:rsidR="00625EEA" w:rsidRPr="00396E17" w:rsidRDefault="00625EEA" w:rsidP="00625EEA">
      <w:pPr>
        <w:pStyle w:val="ProductList-Body"/>
        <w:numPr>
          <w:ilvl w:val="0"/>
          <w:numId w:val="2"/>
        </w:numPr>
        <w:rPr>
          <w:szCs w:val="18"/>
        </w:rPr>
      </w:pPr>
      <w:r w:rsidRPr="00396E17">
        <w:rPr>
          <w:szCs w:val="18"/>
        </w:rPr>
        <w:t>Notificações e Controles sobre o Uso de Subprocessadores</w:t>
      </w:r>
    </w:p>
    <w:p w14:paraId="3035D31A" w14:textId="6FCA3F74" w:rsidR="00BC5E08" w:rsidRPr="00396E17" w:rsidRDefault="00BC5E08" w:rsidP="006A3D1E">
      <w:pPr>
        <w:numPr>
          <w:ilvl w:val="0"/>
          <w:numId w:val="2"/>
        </w:numPr>
        <w:spacing w:after="16"/>
        <w:rPr>
          <w:sz w:val="18"/>
          <w:szCs w:val="18"/>
        </w:rPr>
      </w:pPr>
      <w:r w:rsidRPr="00396E17">
        <w:rPr>
          <w:sz w:val="18"/>
          <w:szCs w:val="18"/>
        </w:rPr>
        <w:t xml:space="preserve">Termos da California Consumer Privacy Act (Lei de Privacidade do Consumidor da Califórnia, CCPA) </w:t>
      </w:r>
    </w:p>
    <w:p w14:paraId="1E8AC427" w14:textId="77777777" w:rsidR="00625EEA" w:rsidRPr="00396E17" w:rsidRDefault="00625EEA" w:rsidP="00625EEA">
      <w:pPr>
        <w:pStyle w:val="ProductList-Body"/>
        <w:numPr>
          <w:ilvl w:val="0"/>
          <w:numId w:val="2"/>
        </w:numPr>
        <w:rPr>
          <w:szCs w:val="18"/>
        </w:rPr>
      </w:pPr>
      <w:r w:rsidRPr="00396E17">
        <w:rPr>
          <w:szCs w:val="18"/>
        </w:rPr>
        <w:t>Como Entrar em Contato com a Microsoft</w:t>
      </w:r>
    </w:p>
    <w:p w14:paraId="2576B2B1" w14:textId="5DC1D2C1" w:rsidR="005B6EC5" w:rsidRPr="009A6C8D" w:rsidRDefault="005C750F" w:rsidP="00B052E7">
      <w:pPr>
        <w:pStyle w:val="ProductList-Body"/>
        <w:numPr>
          <w:ilvl w:val="0"/>
          <w:numId w:val="2"/>
        </w:numPr>
      </w:pPr>
      <w:r w:rsidRPr="00396E17">
        <w:rPr>
          <w:szCs w:val="18"/>
        </w:rPr>
        <w:t>Anexo 1 – Medidas</w:t>
      </w:r>
      <w:r>
        <w:t xml:space="preserve"> de Segurança</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830087"/>
      <w:bookmarkStart w:id="51" w:name="_Toc489605575"/>
      <w:r>
        <w:t>Escopo</w:t>
      </w:r>
      <w:bookmarkEnd w:id="50"/>
    </w:p>
    <w:p w14:paraId="34C8C0EF" w14:textId="1702D3F7" w:rsidR="00253F12" w:rsidRPr="009A6C8D" w:rsidRDefault="00253F12" w:rsidP="00B052E7">
      <w:r>
        <w:rPr>
          <w:rFonts w:ascii="Calibri" w:hAnsi="Calibri" w:cs="Calibri"/>
          <w:sz w:val="18"/>
        </w:rPr>
        <w:t xml:space="preserve">Os termos neste DPA se aplicam a todos os Serviços Profissionais, exceto conforme descrito nesta seção. </w:t>
      </w:r>
    </w:p>
    <w:p w14:paraId="36BBA5F9" w14:textId="68C19662" w:rsidR="00253F12" w:rsidRPr="009A6C8D" w:rsidRDefault="00253F12" w:rsidP="003E5BE7">
      <w:pPr>
        <w:pStyle w:val="ProductList-Body"/>
        <w:ind w:left="158"/>
      </w:pPr>
      <w:r>
        <w:rPr>
          <w:b/>
          <w:color w:val="0072C6"/>
        </w:rPr>
        <w:t>Visualizações</w:t>
      </w:r>
    </w:p>
    <w:p w14:paraId="2A3E82C1" w14:textId="50ED5838" w:rsidR="00D47FD2" w:rsidRPr="009A6C8D" w:rsidRDefault="00D47FD2" w:rsidP="00B052E7">
      <w:pPr>
        <w:pStyle w:val="ProductList-Body"/>
        <w:ind w:left="158"/>
      </w:pPr>
      <w:r>
        <w:t xml:space="preserve">As visualizações podem empregar menos medidas de privacidade e segurança ou medidas diferentes das geralmente presentes nos Serviços Profissionais. A menos que indicado de outra forma, o Cliente não deve usar as Visualizações para processar Dados Pessoais nem outros dados sujeitos a requisitos de conformidade legais ou normativos.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As visualizações seguem apenas os termos das seções “Processamento de Dados Pessoais; GDPR”, “Política de Segurança da Microsoft”, os dois primeiros parágrafos de “Notificação e Controles sobre o Uso de Subprocessadores” e os Termos do GDPR.</w:t>
      </w:r>
    </w:p>
    <w:p w14:paraId="2A4423A0" w14:textId="77777777" w:rsidR="00B052E7" w:rsidRPr="009A6C8D" w:rsidRDefault="00B052E7" w:rsidP="00B052E7">
      <w:pPr>
        <w:pStyle w:val="ProductList-Body"/>
        <w:ind w:left="158"/>
      </w:pPr>
    </w:p>
    <w:p w14:paraId="0F2A6C52" w14:textId="2ABC934A" w:rsidR="00D47FD2" w:rsidRPr="009A6C8D" w:rsidRDefault="00D47FD2" w:rsidP="00B052E7">
      <w:pPr>
        <w:pStyle w:val="ProductList-Body"/>
        <w:ind w:left="158"/>
      </w:pPr>
      <w:r>
        <w:t>As visualizações são fornecidas "no estado em que se encontram", "com todas as falhas" e "conforme disponíveis".</w:t>
      </w:r>
      <w:r w:rsidR="00396E17">
        <w:t xml:space="preserve"> </w:t>
      </w:r>
      <w:r>
        <w:t xml:space="preserve">Poderemos alterar ou descontinuar as Visualizações Prévias a qualquer momento sem notificação prévia. Poderemos optar por não disponibilizar comercialmente um serviço de Visualização. </w:t>
      </w:r>
      <w:r w:rsidR="001C6465" w:rsidRPr="001C6465">
        <w:t>No entanto, assim que uma oferta ou recurso se torna comercialmente disponível, ele não pode mais ser considerado uma Visualização em uma data futura.</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As visualizações significam visualização, beta, ofertas para avaliação opcional ou outros serviços de lançamento limitado ou pré-lançamento, incluindo todos os designados ou identificados como tal.</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Suporte de Escalonamento</w:t>
      </w:r>
    </w:p>
    <w:p w14:paraId="3B7BC508" w14:textId="14799C43" w:rsidR="00253F12" w:rsidRPr="009A6C8D" w:rsidRDefault="00253F12" w:rsidP="00253F12">
      <w:pPr>
        <w:pStyle w:val="ProductList-Body"/>
        <w:ind w:left="158"/>
      </w:pPr>
      <w:bookmarkStart w:id="52" w:name="_Hlk26306471"/>
      <w:r>
        <w:t>Este DPA não se aplica às solicitações de suporte Premier ou Unificado escalonadas para a engenharia de Serviços Online ou operações para resolução.</w:t>
      </w:r>
      <w:r>
        <w:rPr>
          <w:rFonts w:ascii="Calibri" w:hAnsi="Calibri" w:cs="Calibri"/>
        </w:rPr>
        <w:t xml:space="preserve"> Em vez disso, os compromissos relativos aos Dados de Serviços Profissionais no Adendo de Proteção de Dados dos Microsoft Online Services disponível em </w:t>
      </w:r>
      <w:hyperlink r:id="rId14" w:history="1">
        <w:r>
          <w:rPr>
            <w:rStyle w:val="Hyperlink"/>
            <w:rFonts w:ascii="Calibri" w:hAnsi="Calibri" w:cs="Calibri"/>
          </w:rPr>
          <w:t>http://aka.ms/mpstomosdpa</w:t>
        </w:r>
      </w:hyperlink>
      <w:r>
        <w:rPr>
          <w:rFonts w:ascii="Calibri" w:hAnsi="Calibri" w:cs="Calibri"/>
        </w:rPr>
        <w:t xml:space="preserve"> são aplicáveis.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830088"/>
      <w:r>
        <w:t>Natureza do Processamento; Propriedade</w:t>
      </w:r>
      <w:bookmarkEnd w:id="51"/>
      <w:bookmarkEnd w:id="53"/>
    </w:p>
    <w:p w14:paraId="1E560882" w14:textId="022F7C94" w:rsidR="00BC5E08" w:rsidRPr="009A6C8D" w:rsidRDefault="00BC5E08" w:rsidP="00BC5E08">
      <w:pPr>
        <w:ind w:right="7"/>
      </w:pPr>
      <w:r>
        <w:rPr>
          <w:sz w:val="18"/>
        </w:rPr>
        <w:t xml:space="preserve">A Microsoft usará e, de outra forma, processará os Dados de Serviços Profissionais apenas para fornecer ao Cliente os Serviços Profissionais de acordo com as instruções documentadas do Cliente. Assim como ocorre entre as partes, o Cliente detém todo o direito, a titularidade do direito e o interesse nos Dados de Serviços Profissionais. A Microsoft não adquire outros direitos quanto aos Dados de Serviços Profissionais que não sejam os concedidos a ela pelo Cliente nesta seção. Este parágrafo não afeta os direitos da Microsoft em relação aos Produtos nem aos Serviços Online licenciados por ela para o Cliente. </w:t>
      </w:r>
    </w:p>
    <w:p w14:paraId="1F4E0479" w14:textId="77777777" w:rsidR="00CC09DF" w:rsidRPr="009A6C8D" w:rsidRDefault="00CC09DF" w:rsidP="00533407">
      <w:pPr>
        <w:pStyle w:val="ProductList-Body"/>
        <w:ind w:left="158"/>
      </w:pPr>
      <w:r>
        <w:rPr>
          <w:b/>
          <w:color w:val="0072C6"/>
        </w:rPr>
        <w:t>Processamento para Fornecer ao Cliente os Serviços Profissionais</w:t>
      </w:r>
    </w:p>
    <w:p w14:paraId="0F0E45C4" w14:textId="0C2730E3" w:rsidR="00CC09DF" w:rsidRPr="009A6C8D" w:rsidRDefault="00CC09DF" w:rsidP="00CC09DF">
      <w:pPr>
        <w:pStyle w:val="ProductList-Body"/>
        <w:ind w:left="158"/>
      </w:pPr>
      <w:r>
        <w:rPr>
          <w:rFonts w:ascii="Calibri" w:eastAsia="Calibri" w:hAnsi="Calibri" w:cs="Arial"/>
        </w:rPr>
        <w:t>Para os fins deste DPA, “fornecer” Serviços Profissionais consistem em:</w:t>
      </w:r>
      <w:r w:rsidR="00396E17">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Fornecer os Serviços Profissionais, incluindo fornecer suporte técnico, planejamento profissional, consultoria, orientações, migração de dados, implantação e serviços de desenvolvimento de soluções/software; </w:t>
      </w:r>
    </w:p>
    <w:p w14:paraId="0D99E363" w14:textId="77777777" w:rsidR="00CC09DF" w:rsidRPr="009A6C8D" w:rsidRDefault="00CC09DF" w:rsidP="00CC09DF">
      <w:pPr>
        <w:pStyle w:val="ProductList-Body"/>
        <w:numPr>
          <w:ilvl w:val="0"/>
          <w:numId w:val="18"/>
        </w:numPr>
        <w:tabs>
          <w:tab w:val="clear" w:pos="158"/>
        </w:tabs>
        <w:ind w:left="922"/>
      </w:pPr>
      <w:r>
        <w:t>Solução de problemas (prevenir, detectar, investigar, reduzir e reparar problemas, incluindo Incidentes de Segurança) e</w:t>
      </w:r>
    </w:p>
    <w:p w14:paraId="0E23C9C9" w14:textId="1E655B6E" w:rsidR="00B052E7" w:rsidRPr="009A6C8D" w:rsidRDefault="00CC09DF" w:rsidP="00B052E7">
      <w:pPr>
        <w:pStyle w:val="ProductList-Body"/>
        <w:numPr>
          <w:ilvl w:val="0"/>
          <w:numId w:val="18"/>
        </w:numPr>
        <w:tabs>
          <w:tab w:val="clear" w:pos="158"/>
        </w:tabs>
        <w:ind w:left="922"/>
      </w:pPr>
      <w:r>
        <w:t>Melhoria contínua (manter os Serviços Profissionais, incluindo instalar as atualizações mais recentes e fazer melhorias na confiabilidade, na eficácia, na qualidade e na segurança).</w:t>
      </w:r>
      <w:r w:rsidR="00396E17">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Ao fornecer Serviços Profissionais, a Microsoft não usará nem, de outra forma, processará Dados de Serviços Profissionais para (a) criação de perfil de usuários nem (b) publicidade ou fins comerciais semelhantes, a menos que esse uso ou processamento esteja de acordo com as instruções documentadas do Cliente.</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830089"/>
      <w:bookmarkStart w:id="55" w:name="_Toc489605576"/>
      <w:bookmarkStart w:id="56" w:name="ProcessingofPersonalData"/>
      <w:r>
        <w:t>Divulgação de Dados de Serviços Profissionais</w:t>
      </w:r>
      <w:bookmarkEnd w:id="54"/>
    </w:p>
    <w:p w14:paraId="2FD97C0F" w14:textId="34EC8A30" w:rsidR="009D0187" w:rsidRPr="009A6C8D" w:rsidRDefault="00625EEA" w:rsidP="00625EEA">
      <w:pPr>
        <w:pStyle w:val="ProductList-Body"/>
        <w:spacing w:after="120"/>
      </w:pPr>
      <w:r>
        <w:t>A Microsoft não divulgará os Dados de Serviços Profissionais fora da Microsoft nem de suas afiliadas e subsidiárias controladas, exceto (1) conforme instruções do Cliente, (2) conforme descrito neste DPA ou (3) como exigido por lei. Todo o processamento de Dados de Serviços Profissionais está sujeito à obrigação de confidencialidade da Microsoft de acordo com o Contrato.</w:t>
      </w:r>
      <w:r w:rsidR="00396E17">
        <w:t xml:space="preserve"> </w:t>
      </w:r>
    </w:p>
    <w:p w14:paraId="28BCE5E6" w14:textId="0EB32474" w:rsidR="00625EEA" w:rsidRPr="009A6C8D" w:rsidRDefault="00625EEA" w:rsidP="00625EEA">
      <w:pPr>
        <w:pStyle w:val="ProductList-Body"/>
        <w:spacing w:after="120"/>
      </w:pPr>
      <w:r>
        <w:t>A Microsoft não divulgará Dados de Serviços Profissionais para representantes legais, a menos que exigido por lei. Se o representante legal entrar em contato com a Microsoft com um pedido de Dados de Serviços Profissionais, a Microsoft tentará reencaminhá-lo para solicitá-los diretamente ao Cliente.</w:t>
      </w:r>
      <w:r w:rsidR="00396E17">
        <w:t xml:space="preserve"> </w:t>
      </w:r>
      <w:r>
        <w:t>Se for obrigada a divulgar Dados de Serviços Profissionais aos representantes legais, a Microsoft notificará imediatamente o Cliente e fornecerá uma cópia do pedido, a menos que legalmente proibida de fazê-lo.</w:t>
      </w:r>
    </w:p>
    <w:p w14:paraId="71CC6F82" w14:textId="28B6CE99" w:rsidR="00625EEA" w:rsidRPr="009A6C8D" w:rsidRDefault="00625EEA" w:rsidP="00625EEA">
      <w:pPr>
        <w:pStyle w:val="ProductList-Body"/>
        <w:spacing w:after="120"/>
      </w:pPr>
      <w:r>
        <w:t>Mediante o recebimento de qualquer outra solicitação de terceiros por Dados de Serviços Profissionais, a Microsoft notificará imediatamente o Cliente, a menos que proibida por lei. A Microsoft rejeitará a solicitação a menos que seja obrigada por lei a cumpri-la. Se a solicitação for válida, a Microsoft tentará redirecionar o terceiro para que ele solicite os dados diretamente do Cliente.</w:t>
      </w:r>
    </w:p>
    <w:p w14:paraId="4ADECEF4" w14:textId="467CDA19" w:rsidR="00625EEA" w:rsidRPr="009A6C8D" w:rsidRDefault="00625EEA" w:rsidP="00625EEA">
      <w:pPr>
        <w:pStyle w:val="ProductList-Body"/>
        <w:spacing w:after="120"/>
      </w:pPr>
      <w:r>
        <w:t>A Microsoft não fornecerá a terceiros: (a) acesso direto, indireto, amplo ou irrestrito aos Dados de Serviços Profissionais; (b) chaves de criptografia de plataforma usadas para proteger os Dados de Serviços Profissionais ou a capacidade de violar essa criptografia nem (c) acesso aos Dados de Serviços Profissionais se a Microsoft estiver ciente de que os dados devam ser usados para fins diferentes dos estabelecidos na solicitação do terceiro.</w:t>
      </w:r>
    </w:p>
    <w:p w14:paraId="60B642E0" w14:textId="77777777" w:rsidR="00625EEA" w:rsidRPr="009A6C8D" w:rsidRDefault="00625EEA" w:rsidP="00625EEA">
      <w:pPr>
        <w:pStyle w:val="ProductList-Body"/>
        <w:spacing w:after="120"/>
      </w:pPr>
      <w:r>
        <w:t xml:space="preserve">Com base no exposto acima, a Microsoft poderá fornecer ao terceiro as informações de contato básicas do Cliente. </w:t>
      </w:r>
    </w:p>
    <w:p w14:paraId="1E1A38F4" w14:textId="35F2E653" w:rsidR="00625EEA" w:rsidRPr="009A6C8D" w:rsidRDefault="00625EEA" w:rsidP="00625EEA">
      <w:pPr>
        <w:pStyle w:val="ProductList-SubSubSectionHeading"/>
        <w:outlineLvl w:val="2"/>
      </w:pPr>
      <w:bookmarkStart w:id="57" w:name="_Toc31830090"/>
      <w:r>
        <w:t>Processamento de Dados Pessoais</w:t>
      </w:r>
      <w:bookmarkEnd w:id="55"/>
      <w:r>
        <w:t>; GDPR</w:t>
      </w:r>
      <w:bookmarkEnd w:id="57"/>
    </w:p>
    <w:p w14:paraId="0B259C64" w14:textId="77777777" w:rsidR="004F09D8" w:rsidRPr="009A6C8D" w:rsidRDefault="00C54065" w:rsidP="00B052E7">
      <w:pPr>
        <w:pStyle w:val="ProductList-Body"/>
      </w:pPr>
      <w:bookmarkStart w:id="58" w:name="_Toc489605577"/>
      <w:bookmarkEnd w:id="56"/>
      <w:r>
        <w:t xml:space="preserve">Todos os Dados Pessoais incluídos nos Dados de Serviços Profissionais fornecidos para a Microsoft por ou em nome do Cliente por meio de um contrato com a Microsoft para obter Serviços Profissionais também são Dados de Serviços Profissionais. Os identificadores pseudonimizados também podem ser gerados por meio dos sistemas de TI de Serviços Profissionais e também são Dados Pessoais. Todos os Dados Pessoais sob pseudônimo ou não identificados, mas não anônimos, ou Dados Pessoais derivados de Dados Pessoais também são Dados Pessoais.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Visto que a Microsoft é processadora ou subprocessadora de Dados Pessoais sujeitos ao GDPR, os Termos do GDPR no Anexo 2 estabelecem que o processamento e as partes também concordam com os seguintes termos nesta subseção (“Processamento de Dados Pessoais,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Funções e Responsabilidades da Processadora e do Controlador</w:t>
      </w:r>
    </w:p>
    <w:p w14:paraId="478573ED" w14:textId="15DB5385" w:rsidR="00625EEA" w:rsidRPr="009A6C8D" w:rsidRDefault="00625EEA" w:rsidP="003E5BE7">
      <w:pPr>
        <w:pStyle w:val="ProductList-Body"/>
        <w:ind w:left="158"/>
      </w:pPr>
      <w:r>
        <w:t>O Cliente e a Microsoft concordam que o Cliente seja o controlador dos Dados Pessoais e a Microsoft seja a processadora de tais dados, exceto quando o Cliente agir como processador de Dados Pessoais, caso em que a Microsoft será uma subprocessadora. Quando a Microsoft agir como a processadora ou a subprocessadora de Dados Pessoais, ela processará Dados Pessoais somente de acordo com as instruções documentadas do Cliente. O Cliente concorda que seu Contrato (incluindo este DPA) são as instruções documentadas finais e completas do Cliente para a Microsoft para o processamento de Dados Pessoais. Quaisquer instruções adicionais ou alternativas deverão ser acordadas seguindo o processo de alteração do Contrato do Cliente.</w:t>
      </w:r>
      <w:r w:rsidR="00396E17">
        <w:t xml:space="preserve"> </w:t>
      </w:r>
      <w:r>
        <w:t>Em qualquer caso em que o GDPR se aplique e o Cliente seja um processador, o Cliente garante à Microsoft que as instruções do Cliente, incluindo o compromisso da Microsoft como processadora ou subprocessadora, foram autorizadas pelo controlador pertinente.</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Processamento de Detalhes</w:t>
      </w:r>
    </w:p>
    <w:p w14:paraId="63BFF605" w14:textId="564DFF26" w:rsidR="001526A3" w:rsidRPr="009A6C8D" w:rsidRDefault="001526A3" w:rsidP="003E5BE7">
      <w:pPr>
        <w:pStyle w:val="ProductList-Body"/>
      </w:pPr>
      <w:r>
        <w:rPr>
          <w:b/>
        </w:rPr>
        <w:tab/>
      </w:r>
      <w:r>
        <w:rPr>
          <w:bCs/>
        </w:rPr>
        <w:t xml:space="preserve">As partes reconhecem e concordam que: </w:t>
      </w:r>
    </w:p>
    <w:p w14:paraId="7B59360B" w14:textId="733F7031" w:rsidR="00DE4A23" w:rsidRPr="009A6C8D" w:rsidRDefault="00DE4A23" w:rsidP="003E5BE7">
      <w:pPr>
        <w:pStyle w:val="ProductList-Body"/>
        <w:numPr>
          <w:ilvl w:val="0"/>
          <w:numId w:val="19"/>
        </w:numPr>
      </w:pPr>
      <w:r>
        <w:rPr>
          <w:b/>
          <w:bCs/>
        </w:rPr>
        <w:t xml:space="preserve">Objeto. </w:t>
      </w:r>
      <w:r>
        <w:t xml:space="preserve">O objeto do processamento é limitado aos Dados Pessoais no escopo da seção deste DPA intitulada “Natureza do Processamento de Dados; Propriedade” acima e ao GDPR. </w:t>
      </w:r>
    </w:p>
    <w:p w14:paraId="0AE08070" w14:textId="51C595A4" w:rsidR="00625EEA" w:rsidRPr="009A6C8D" w:rsidRDefault="00DE4A23" w:rsidP="003E5BE7">
      <w:pPr>
        <w:pStyle w:val="ProductList-Body"/>
        <w:numPr>
          <w:ilvl w:val="0"/>
          <w:numId w:val="19"/>
        </w:numPr>
      </w:pPr>
      <w:r>
        <w:rPr>
          <w:b/>
        </w:rPr>
        <w:t>Duração do Processamento.</w:t>
      </w:r>
      <w:r w:rsidR="00396E17">
        <w:rPr>
          <w:b/>
        </w:rPr>
        <w:t xml:space="preserve"> </w:t>
      </w:r>
      <w:r>
        <w:rPr>
          <w:bCs/>
        </w:rPr>
        <w:t>A duração do processamento deverá estar de acordo com as instruções do Cliente e os termos do DPA.</w:t>
      </w:r>
    </w:p>
    <w:p w14:paraId="510D67BD" w14:textId="3852299E" w:rsidR="00DE4A23" w:rsidRPr="009A6C8D" w:rsidRDefault="00DE4A23" w:rsidP="003E5BE7">
      <w:pPr>
        <w:pStyle w:val="ProductList-Body"/>
        <w:numPr>
          <w:ilvl w:val="0"/>
          <w:numId w:val="19"/>
        </w:numPr>
      </w:pPr>
      <w:r>
        <w:rPr>
          <w:b/>
          <w:bCs/>
        </w:rPr>
        <w:t>Natureza e Finalidade do Processamento.</w:t>
      </w:r>
      <w:r>
        <w:t xml:space="preserve"> A natureza e a finalidade do processamento deverão ser fornecer os Serviços Profissionais de acordo com o Contrato do Cliente (conforme descrito com mais detalhes na seção deste DPA intitulada “Natureza do Processamento de Dados; Propriedade” acima). </w:t>
      </w:r>
    </w:p>
    <w:p w14:paraId="20234FD8" w14:textId="4359F84D" w:rsidR="00625EEA" w:rsidRPr="009A6C8D" w:rsidRDefault="00DE4A23" w:rsidP="003E5BE7">
      <w:pPr>
        <w:pStyle w:val="ProductList-Body"/>
        <w:numPr>
          <w:ilvl w:val="0"/>
          <w:numId w:val="19"/>
        </w:numPr>
      </w:pPr>
      <w:r>
        <w:rPr>
          <w:b/>
        </w:rPr>
        <w:t xml:space="preserve">Categorias de Dados. </w:t>
      </w:r>
      <w:r>
        <w:rPr>
          <w:bCs/>
        </w:rPr>
        <w:t>Os tipos de Dados Pessoais processados para o fornecimento dos Serviços Profissionais incluem: (i) Dados Pessoais que o Cliente optar por incluir nos Dados de Serviços Profissionais e (ii) os expressamente identificados no Artigo 4 do GDPR. Os tipos de Dados Pessoais que o Cliente optar por incluir nos Dados de Serviços Profissionais poderão ser quaisquer categorias de Dados Pessoais identificadas nos registros mantidos pelo Cliente que age como controlador de acordo com o Artigo 30 do GDPR, incluindo as categorias de Dados Pessoais estabelecidas no Apêndice 1 do Anexo 1 – As Cláusulas Contratuais Padrão (Processadores) do DPA.</w:t>
      </w:r>
      <w:r w:rsidR="00396E17">
        <w:rPr>
          <w:bCs/>
        </w:rPr>
        <w:t xml:space="preserve"> </w:t>
      </w:r>
    </w:p>
    <w:p w14:paraId="7A6D3990" w14:textId="69F3CF86" w:rsidR="00DE4A23" w:rsidRPr="009A6C8D" w:rsidRDefault="00DE4A23" w:rsidP="003E5BE7">
      <w:pPr>
        <w:pStyle w:val="ProductList-Body"/>
        <w:numPr>
          <w:ilvl w:val="0"/>
          <w:numId w:val="19"/>
        </w:numPr>
      </w:pPr>
      <w:r>
        <w:rPr>
          <w:b/>
          <w:bCs/>
        </w:rPr>
        <w:t>Titulares dos Dados.</w:t>
      </w:r>
      <w:r w:rsidR="00396E17">
        <w:t xml:space="preserve"> </w:t>
      </w:r>
      <w:r>
        <w:t xml:space="preserve">As categorias de titular de dados são representantes e usuários finais do Cliente, como funcionários, prestadores de serviços, colaboradores e clientes e poderão incluir quaisquer outras categorias de titular de dados identificadas nos registros mantidos pelo Cliente que age como controlador de acordo com o Artigo 30 do GDPR, incluindo as categorias de titular de dados estabelecidas no Apêndice 1 do Anexo 1 – As Cláusulas Contratuais Padrão (Processadores) do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Direitos do Titular dos Dados; Assistência mediante Solicitações</w:t>
      </w:r>
    </w:p>
    <w:p w14:paraId="02CDF3BE" w14:textId="6E7789B0" w:rsidR="00625EEA" w:rsidRPr="009A6C8D" w:rsidRDefault="00625EEA" w:rsidP="0014639B">
      <w:pPr>
        <w:pStyle w:val="ProductList-Body"/>
        <w:ind w:left="158"/>
      </w:pPr>
      <w:r>
        <w:t>A Microsoft disponibilizará ao Cliente, de forma consistente com a funcionalidade dos Serviços Profissionais e a função da Microsoft como processadora de Dados Pessoais de titulares de dados e a capacidade de atender às solicitações de titulares de dados para exercer seus direitos segundo o GDPR. Se a Microsoft receber uma solicitação do titular dos dados do Cliente para exercer um ou mais dos seus direitos segundo o GDPR com relação aos Serviços Profissionais para os quais a Microsoft seja processadora ou subprocessadora de dados, ela redirecionará o titular dos dados para fazer sua solicitação diretamente ao Cliente. O Cliente será responsável por responder a qualquer solicitação, incluindo, quando necessário, usar a funcionalidade fornecida ao Cliente para esse fim. A Microsoft deverá atender às solicitações razoáveis feitas pelo Cliente para auxiliar na resposta do Cliente quanto à solicitação do titular dos dados.</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Registros de Processamento de Atividades</w:t>
      </w:r>
    </w:p>
    <w:p w14:paraId="52D81637" w14:textId="6A7C5882" w:rsidR="004C4C19" w:rsidRPr="009A6C8D" w:rsidRDefault="004C4C19" w:rsidP="0014639B">
      <w:pPr>
        <w:pStyle w:val="ProductList-Body"/>
        <w:ind w:left="158"/>
      </w:pPr>
      <w:r>
        <w:t xml:space="preserve">Caso o GDPR exija que a Microsoft colete e mantenha registros de determinadas informações relacionadas ao Cliente, este, quando solicitado, fornecerá essas informações à Microsoft e as manterá precisas e atualizadas. A Microsoft poderá disponibilizar essas informações para a autoridade de supervisão se exigido pelo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830091"/>
      <w:bookmarkEnd w:id="58"/>
      <w:r>
        <w:t>Segurança de Dados</w:t>
      </w:r>
      <w:bookmarkEnd w:id="59"/>
    </w:p>
    <w:p w14:paraId="06EB1160" w14:textId="77777777" w:rsidR="00625EEA" w:rsidRPr="009A6C8D" w:rsidRDefault="00625EEA" w:rsidP="0014639B">
      <w:pPr>
        <w:pStyle w:val="ProductList-Body"/>
        <w:ind w:left="158"/>
      </w:pPr>
      <w:r>
        <w:rPr>
          <w:b/>
          <w:color w:val="0072C6"/>
        </w:rPr>
        <w:t>Política de Segurança da Microsoft</w:t>
      </w:r>
    </w:p>
    <w:p w14:paraId="03063A97" w14:textId="5470E449" w:rsidR="00625EEA" w:rsidRPr="009A6C8D" w:rsidRDefault="00625EEA" w:rsidP="0014639B">
      <w:pPr>
        <w:pStyle w:val="ProductList-Body"/>
        <w:ind w:left="158"/>
      </w:pPr>
      <w:r>
        <w:t>A Microsoft implementará e manterá as medidas técnicas e organizacionais apropriadas para proteger os Dados de Serviços Profissionais contra perda, destruição, alteração acidentais ou ilegais, divulgação não autorizada ou acesso a dados pessoais transmitidos, armazenados ou processados de outra forma. Esses procedimentos devem ser estabelecidos em uma Política de Segurança da Microsoft. A Microsoft disponibilizará essa política aos Clientes mediante solicitação.</w:t>
      </w:r>
      <w:r w:rsidR="00396E17">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Medidas de Segurança</w:t>
      </w:r>
    </w:p>
    <w:p w14:paraId="71707B54" w14:textId="77777777" w:rsidR="00625EEA" w:rsidRPr="009A6C8D" w:rsidRDefault="00625EEA" w:rsidP="0014639B">
      <w:pPr>
        <w:pStyle w:val="ProductList-Body"/>
        <w:ind w:left="158"/>
      </w:pPr>
      <w:r>
        <w:t xml:space="preserve">A Microsoft disponibilizará ao Cliente uma descrição dos controles de segurança vigentes para os Serviços Profissionais e outras informações solicitadas de forma razoável pelo Cliente com relação às práticas e políticas de segurança da Microsoft.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Além disso, as medidas técnicas e organizacionais deverão cumprir os requisitos estabelecidos nas normas ISO 27001, ISO 27002 e ISO 27018. Os Serviços Profissionais também implementam e mantêm as medidas de segurança estabelecidas no Anexo 1 para a proteção dos Dados de Serviços Profissionais.</w:t>
      </w:r>
    </w:p>
    <w:p w14:paraId="21BA8B73" w14:textId="766E4206" w:rsidR="00625EEA" w:rsidRPr="009A6C8D" w:rsidRDefault="00AD2F0F" w:rsidP="0014639B">
      <w:pPr>
        <w:pStyle w:val="ProductList-Body"/>
        <w:ind w:left="158"/>
      </w:pPr>
      <w:r>
        <w:t>A Microsoft poderá adicionar padrões do setor ou governamentais a qualquer momento. A Microsoft não eliminará a ISO 27001, a ISO 27002, nem a ISO 27018, a menos que elas não sejam mais usadas no setor e sejam substituídas por uma sucessora (se houver).</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Responsabilidades do Cliente</w:t>
      </w:r>
    </w:p>
    <w:p w14:paraId="73538400" w14:textId="513BFAE3" w:rsidR="000938C5" w:rsidRPr="009A6C8D" w:rsidRDefault="00625EEA" w:rsidP="0014639B">
      <w:pPr>
        <w:pStyle w:val="ProductList-Body"/>
        <w:ind w:left="158"/>
      </w:pPr>
      <w:r>
        <w:t xml:space="preserve">O Cliente é o único responsável por fazer com que uma determinação independente sobre se as medidas técnicas e organizacionais para os Serviços Profissionais atenda aos requisitos do Cliente, incluindo qualquer uma de suas obrigações de segurança segundo os Requisitos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as proteções de privacidade e as medidas de segurança para os componentes que o Cliente fornece ou controla.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Auditoria de Conformidade </w:t>
      </w:r>
    </w:p>
    <w:p w14:paraId="1570BEA0" w14:textId="25EA463F" w:rsidR="0014639B" w:rsidRPr="009A6C8D" w:rsidRDefault="00625EEA" w:rsidP="0014639B">
      <w:pPr>
        <w:pStyle w:val="ProductList-Body"/>
        <w:ind w:left="158"/>
      </w:pPr>
      <w:r>
        <w:t>A Microsoft conduzirá auditorias da segurança dos computadores, do ambiente computacional e dos data centers físicos usados no processamento de Dados de Serviços Profissionais da seguinte forma:</w:t>
      </w:r>
    </w:p>
    <w:p w14:paraId="61A65D4B" w14:textId="77777777" w:rsidR="00625EEA" w:rsidRPr="009A6C8D" w:rsidRDefault="00625EEA" w:rsidP="0014639B">
      <w:pPr>
        <w:pStyle w:val="ProductList-Body"/>
        <w:numPr>
          <w:ilvl w:val="0"/>
          <w:numId w:val="20"/>
        </w:numPr>
      </w:pPr>
      <w:r>
        <w:t>Se for fornecido um padrão ou uma estrutura para auditorias, uma auditoria de tal padrão de controle ou estrutura será iniciada pelo menos anualmente.</w:t>
      </w:r>
    </w:p>
    <w:p w14:paraId="4655F417" w14:textId="09E947F3" w:rsidR="00625EEA" w:rsidRPr="009A6C8D" w:rsidRDefault="00625EEA" w:rsidP="0014639B">
      <w:pPr>
        <w:pStyle w:val="ProductList-Body"/>
        <w:numPr>
          <w:ilvl w:val="0"/>
          <w:numId w:val="20"/>
        </w:numPr>
      </w:pPr>
      <w:r>
        <w:t>Cada auditoria será executada de acordo com os padrões e as regras da agência regulatória ou da agência de credenciamento para cada estrutura ou padrão de controle aplicável.</w:t>
      </w:r>
    </w:p>
    <w:p w14:paraId="6A81FB22" w14:textId="7B0133FF" w:rsidR="00625EEA" w:rsidRPr="009A6C8D" w:rsidRDefault="00625EEA" w:rsidP="0014639B">
      <w:pPr>
        <w:pStyle w:val="ProductList-Body"/>
        <w:numPr>
          <w:ilvl w:val="0"/>
          <w:numId w:val="20"/>
        </w:numPr>
      </w:pPr>
      <w:r>
        <w:t>Cada auditoria será realizada por auditores de segurança qualificados, independentes e terceiros que serão selecionados pela Microsoft, que também arcará com as custas.</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t xml:space="preserve">Cada auditoria resultará na geração de um relatório de auditoria (“Relatório de Auditoria da Microsoft”), que a Microsoft disponibilizará no site </w:t>
      </w:r>
      <w:hyperlink r:id="rId15" w:history="1">
        <w:r>
          <w:rPr>
            <w:rStyle w:val="Hyperlink"/>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Caso os requisitos de auditoria do Cliente de acordo com as Cláusulas Contratuais Padrão ou os Requisitos de Proteção de Dados não possam ser razoavelmente atendidos por meio dos relatórios de auditoria, da documentação ou das informações de conformidade disponibilizadas pela Microsoft aos seus clientes, a Microsoft responderá imediatamente às instruções de auditoria adicionais do Cliente. Antes do início de uma auditoria, o Cliente e a Microsoft concordarão em relação ao escopo, ao prazo, à duração, ao controle, aos requisitos de evidências e aos valores da auditoria, desde que esse requisito não faça com que a Microsoft atrase de forma não razoável o desempenho da auditoria. Na medida necessária para realizar a auditoria, a Microsoft disponibilizará os sistemas de processamento, as instalações e a documentação de apoio pertinentes ao processamento dos Dados de Serviços Profissionais por parte da Microsoft, às suas Afiliadas e Subprocessadores. Essa auditoria será realizada por uma empresa de auditoria terceira independente e credenciada, durante o horário comercial normal, com uma notificação com antecedência razoável para a Microsoft e sujeito a procedimentos de confidencialidade razoáveis. Nem o Cliente nem o auditor deverão ter acesso a dados de outros clientes da Microsoft nem a sistemas ou instalações da Microsoft não envolvidos nos Serviços Profissionais. O Cliente é responsável por todos os custos e os valores relacionados a essa auditoria, incluindo todos os custos e os valores razoáveis para todas as despesas da Microsoft por essa auditoria, além das tarifas de serviços executados pela Microsoft. Se o relatório de auditoria gerado como resultado da auditoria do Cliente incluir qualquer descoberta de não conformidade de materiais, o Cliente deverá compartilhar esse relatório de auditoria com a Microsoft, e esta deverá sanar imediatamente qualquer não conformidade de materiais.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Se as Cláusulas Contratuais Padrão se aplicarem, esta seção será acrescentada ao parágrafo f da Cláusula 5 e ao parágrafo 2 da Cláusula 12 das Cláusulas Contratuais Padrão.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Nenhum termo desta seção do DPA variará nem modificará as Cláusulas Contratuais Padrão nem os Termos do GDPR nem afetará os direitos de autoridades de supervisão nem do titular dos dados previstos nas Cláusulas Contratuais Padrão ou nos Requisitos de Proteção de Dados. A Microsoft Corporation é um beneficiário de terceiro pretendido desta seção.</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830092"/>
      <w:r>
        <w:t>Notificação de Incidentes de Segurança</w:t>
      </w:r>
      <w:bookmarkEnd w:id="61"/>
    </w:p>
    <w:p w14:paraId="613DFE75" w14:textId="10E561F7" w:rsidR="00625EEA" w:rsidRPr="009A6C8D" w:rsidRDefault="00625EEA" w:rsidP="00625EEA">
      <w:pPr>
        <w:pStyle w:val="ProductList-Body"/>
      </w:pPr>
      <w:r>
        <w:t>Se a Microsoft tomar conhecimento de uma violação de segurança que leve à destruição, perda, alteração, divulgação não autorizada ou acesso acidental ou ilegal a Dados de Serviços Profissionais processados pela Microsoft (individualmente, “Incidente de Segurança”),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A Notificação de Incidentes de Segurança será entregue a um ou mais dos contatos comerciais para Serviços Profissionais do Cliente por qualquer forma que a Microsoft selecionar, inclusive por email. É responsabilidade exclusiva do Cliente garantir que seus contatos comerciais mantenham informações precisas.</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O Cliente é o único responsável pelo cumprimento de suas obrigações nos termos das leis de notificação de incidentes aplicáveis ao Cliente e pelo cumprimento das obrigações de notificação de terceiros relacionadas a qualquer Incidente de Segurança.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A notificação ou resposta da Microsoft a um Incidente de Segurança prevista nesta seção não é um reconhecimento de falha ou responsabilidade da Microsoft a respeito do Incidente de Segurança.</w:t>
      </w:r>
    </w:p>
    <w:p w14:paraId="2CB5467E" w14:textId="3FC57226" w:rsidR="00625EEA" w:rsidRPr="009A6C8D" w:rsidRDefault="00396E17" w:rsidP="00625EEA">
      <w:pPr>
        <w:pStyle w:val="ProductList-Body"/>
      </w:pPr>
      <w:r>
        <w:t xml:space="preserve"> </w:t>
      </w:r>
    </w:p>
    <w:p w14:paraId="2563DA26" w14:textId="5A4FA464" w:rsidR="000938C5" w:rsidRPr="009A6C8D" w:rsidRDefault="000938C5" w:rsidP="000938C5">
      <w:pPr>
        <w:ind w:left="-5" w:right="7"/>
      </w:pPr>
      <w:r>
        <w:rPr>
          <w:sz w:val="18"/>
        </w:rPr>
        <w:t xml:space="preserve">O Cliente deverá notificar a Microsoft imediatamente sobre qualquer possível uso indevido de suas contas ou credenciais de autenticação ou qualquer incidente de segurança relacionado aos Serviços Profissionais. </w:t>
      </w:r>
    </w:p>
    <w:p w14:paraId="415E1023" w14:textId="77777777" w:rsidR="00625EEA" w:rsidRPr="009A6C8D" w:rsidRDefault="00625EEA" w:rsidP="00625EEA">
      <w:pPr>
        <w:pStyle w:val="ProductList-SubSubSectionHeading"/>
        <w:outlineLvl w:val="2"/>
      </w:pPr>
      <w:bookmarkStart w:id="62" w:name="_Toc31830093"/>
      <w:r>
        <w:t>Transferências de Dados</w:t>
      </w:r>
      <w:bookmarkEnd w:id="62"/>
    </w:p>
    <w:p w14:paraId="509DE9AD" w14:textId="3C95B982" w:rsidR="00625EEA" w:rsidRPr="009A6C8D" w:rsidRDefault="00CC09DF" w:rsidP="00625EEA">
      <w:pPr>
        <w:pStyle w:val="ProductList-Body"/>
        <w:spacing w:after="120"/>
      </w:pPr>
      <w:r>
        <w:t xml:space="preserve">Os Dados de Serviços Profissionais processados pela Microsoft em nome do Cliente poderão ser transferidos, armazenados e processados nos Estados Unidos ou em qualquer outro país no qual a Microsoft ou Subprocessadores operam. O Cliente nomeia a Microsoft para executar qualquer </w:t>
      </w:r>
      <w:r w:rsidRPr="009B74CF">
        <w:t>transferência</w:t>
      </w:r>
      <w:r>
        <w:t xml:space="preserve"> de Dados de Serviços Profissionais para qualquer país e para o armazenamento e o processamento dos Dados de Serviços Profissionais a fim de prestar os Serviços Profissionais. </w:t>
      </w:r>
    </w:p>
    <w:p w14:paraId="551A7F51" w14:textId="66080EE7" w:rsidR="00625EEA" w:rsidRPr="009A6C8D" w:rsidRDefault="00625EEA" w:rsidP="00625EEA">
      <w:pPr>
        <w:pStyle w:val="ProductList-Body"/>
        <w:spacing w:after="120"/>
      </w:pPr>
      <w:r>
        <w:t>Todas as transferências dos Dados de Serviços Profissionais para fora da União Europeia, da Área Econômica Europeia e da Suíça pelos Serviços Profissionais de acordo com este DPA serão regidas pelas Cláusulas Contratuais Padrão no Anexo 1, a menos que o Cliente tenha recusado essas cláusulas.</w:t>
      </w:r>
    </w:p>
    <w:p w14:paraId="74932EB9" w14:textId="77777777" w:rsidR="00625EEA" w:rsidRPr="009A6C8D" w:rsidRDefault="00625EEA" w:rsidP="00625EEA">
      <w:pPr>
        <w:pStyle w:val="ProductList-Body"/>
        <w:spacing w:after="120"/>
      </w:pPr>
      <w:r>
        <w:t xml:space="preserve">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 </w:t>
      </w:r>
    </w:p>
    <w:p w14:paraId="4D74696A" w14:textId="28E1F180" w:rsidR="00625EEA" w:rsidRPr="009A6C8D" w:rsidRDefault="00625EEA" w:rsidP="00625EEA">
      <w:pPr>
        <w:pStyle w:val="ProductList-Body"/>
        <w:spacing w:after="120"/>
      </w:pPr>
      <w:r>
        <w:lastRenderedPageBreak/>
        <w:t>Além disso, a Microsoft tornou-se certificada com relação à União Europeia - Estados Unidos e à Suíça - Estados Unidos e os compromissos que ela engloba. A Microsoft concorda em notificar o Cliente caso ela faça uma determinação de que não pode mais cumprir suas obrigações de fornecer o mesmo nível de proteção exigido pelos princípios de Blindagem de Privacidade.</w:t>
      </w:r>
    </w:p>
    <w:p w14:paraId="05FCEB3E" w14:textId="0CFF407F" w:rsidR="00625EEA" w:rsidRPr="009A6C8D" w:rsidRDefault="00CC09DF" w:rsidP="00625EEA">
      <w:pPr>
        <w:pStyle w:val="ProductList-SubSubSectionHeading"/>
        <w:outlineLvl w:val="2"/>
      </w:pPr>
      <w:bookmarkStart w:id="63" w:name="_Toc31830094"/>
      <w:r>
        <w:t>Exclusão de Dados de Serviços Profissionais</w:t>
      </w:r>
      <w:bookmarkEnd w:id="63"/>
      <w:r>
        <w:t xml:space="preserve"> </w:t>
      </w:r>
    </w:p>
    <w:p w14:paraId="52D953EF" w14:textId="54589063" w:rsidR="00625EEA" w:rsidRPr="009A6C8D" w:rsidRDefault="00625EEA" w:rsidP="00625EEA">
      <w:pPr>
        <w:pStyle w:val="ProductList-Body"/>
      </w:pPr>
      <w:r>
        <w:t>Durante todo o prazo do contrato de Serviços Profissionais do Cliente, ele poderá acessar, extrair e excluir os Dados de Serviços Profissionais.</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A Microsoft excluirá todas as cópias dos Dados de Serviços Profissionais após as finalidades comerciais para as quais foram coletados ou transferidos terem sido atendidas, ou antes, mediante solicitação por escrito do Cliente.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830095"/>
      <w:r>
        <w:t>Compromisso de Confidencialidade do Processador</w:t>
      </w:r>
      <w:bookmarkEnd w:id="64"/>
    </w:p>
    <w:p w14:paraId="2E8D6E54" w14:textId="64A8068C" w:rsidR="00625EEA" w:rsidRPr="009A6C8D" w:rsidRDefault="00625EEA" w:rsidP="00625EEA">
      <w:pPr>
        <w:pStyle w:val="ProductList-Body"/>
      </w:pPr>
      <w:r>
        <w:rPr>
          <w:rFonts w:cstheme="minorHAnsi"/>
        </w:rPr>
        <w:t>A Microsoft garantirá que sua equipe envolvida no processamento de Dados de Serviços Profissionais (i) processará esses dados somente segundo as instruções do Cliente</w:t>
      </w:r>
      <w:r>
        <w:t xml:space="preserve"> ou conforme descrito neste DPA</w:t>
      </w:r>
      <w:r>
        <w:rPr>
          <w:rFonts w:cstheme="minorHAnsi"/>
        </w:rPr>
        <w:t xml:space="preserve"> e (ii) será obrigada a manter a confidencialidade e a segurança desses dados, mesmo depois do término da contratação. A Microsoft </w:t>
      </w:r>
      <w:r>
        <w:rPr>
          <w:rFonts w:cstheme="minorHAnsi"/>
          <w:color w:val="000000"/>
        </w:rPr>
        <w:t xml:space="preserve">deverá fornecer treinamento periódico e obrigatório de privacidade e segurança de dados e conscientização aos seus funcionários com acesso a Dados de Serviços Profissionais </w:t>
      </w:r>
      <w:r>
        <w:rPr>
          <w:rFonts w:cstheme="minorHAnsi"/>
        </w:rPr>
        <w:t xml:space="preserve">de acordo com as leis aplicáveis à Microsoft na qualidade de prestadora de serviços de TI profissionais, os </w:t>
      </w:r>
      <w:r>
        <w:t>Requisitos de Proteção de Dados</w:t>
      </w:r>
      <w:r>
        <w:rPr>
          <w:rFonts w:cstheme="minorHAnsi"/>
        </w:rPr>
        <w:t xml:space="preserve"> e normas do setor.</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830096"/>
      <w:r>
        <w:t>Notificações e Controles sobre o uso de Subprocessadores</w:t>
      </w:r>
      <w:bookmarkEnd w:id="65"/>
      <w:r>
        <w:t xml:space="preserve"> </w:t>
      </w:r>
    </w:p>
    <w:p w14:paraId="00A933B9" w14:textId="411EF956" w:rsidR="00875527" w:rsidRPr="009A6C8D" w:rsidRDefault="00625EEA" w:rsidP="00875527">
      <w:pPr>
        <w:pStyle w:val="ProductList-Body"/>
        <w:spacing w:after="120"/>
      </w:pPr>
      <w:r>
        <w:t xml:space="preserve">A Microsoft poderá empregar terceiros para prestar serviços em seu nome. O Cliente concorda com a contratação desses terceiros e das afiliadas Microsoft como Subprocessadores. As autorizações acima constituirão a autorização prévia por escrito do Cliente com a subcontratação pela Microsoft do processamento de Dados de Serviços Profissionais caso a referida autorização seja exigida nos termos das Cláusulas Contratuais Padrão ou nos Termos do GDPR. </w:t>
      </w:r>
    </w:p>
    <w:p w14:paraId="59BAE926" w14:textId="16ABED01" w:rsidR="000938C5" w:rsidRPr="009A6C8D" w:rsidRDefault="00875527" w:rsidP="006A3D1E">
      <w:pPr>
        <w:ind w:left="-5" w:right="7"/>
      </w:pPr>
      <w:r>
        <w:rPr>
          <w:sz w:val="18"/>
        </w:rPr>
        <w:t>A Microsoft é responsável pela conformidade com as obrigações da Microsoft por parte dos respectivos Subprocessadores neste DPA. A Microsoft disponibiliza informações sobre Subprocessadores em um site da Microsoft. Ao contratar qualquer Subprocessador, a Microsoft garantirá, mediante contrato por escrito, que ele poderá acessar e usar os Dados de Serviços Profissionais apenas para prestar serviços pelos quais foram contratados pela Microsoft, e que ele seja proibido de usar os Dados de Serviços Profissionais para qualquer outra finalidade.</w:t>
      </w:r>
      <w:r w:rsidR="00396E17">
        <w:rPr>
          <w:sz w:val="18"/>
        </w:rPr>
        <w:t xml:space="preserve"> </w:t>
      </w:r>
      <w:r>
        <w:rPr>
          <w:sz w:val="18"/>
        </w:rPr>
        <w:t xml:space="preserve">A Microsoft garantirá que os Subprocessadores estejam vinculados por contratos escritos que exigem que eles forneçam pelo menos o nível de proteção de dados exigido da Microsoft segundo o DPA. A Microsoft concorda em supervisionar os Subprocessadores para garantir que essas obrigações contratuais sejam cumpridas. </w:t>
      </w:r>
    </w:p>
    <w:p w14:paraId="404A29B2" w14:textId="4CAEFBB3" w:rsidR="00875527" w:rsidRPr="009A6C8D" w:rsidRDefault="00875527" w:rsidP="00875527">
      <w:pPr>
        <w:pStyle w:val="ProductList-Body"/>
        <w:spacing w:after="120"/>
      </w:pPr>
      <w:r>
        <w:t>Para Serviços de suporte, uma lista dos atuais Subprocessadores da Microsoft está disponível em: https://aka.ms/servicesapprovedsuppliers. Periodicamente, a Microsoft poderá contratar novos Subprocessadores. A Microsoft notificará o Cliente (atualizando o site e fornecendo ao Cliente um mecanismo para obter uma notificação dessa atualização) sobre qualquer novo Subprocessador, no mínimo, 30 dias antes de fornecer acesso aos Dados de Serviços Profissionais para esse Subprocessador.</w:t>
      </w:r>
    </w:p>
    <w:p w14:paraId="6B0522BF" w14:textId="25927B16" w:rsidR="00875527" w:rsidRPr="009A6C8D" w:rsidRDefault="00875527" w:rsidP="00875527">
      <w:pPr>
        <w:pStyle w:val="ProductList-Body"/>
        <w:spacing w:after="120"/>
      </w:pPr>
      <w:r>
        <w:t xml:space="preserve">Para Serviços de Consultoria, a notificação dos Subprocessadores que serão usados durante a execução do serviço está disponível mediante solicitação em </w:t>
      </w:r>
      <w:hyperlink r:id="rId16" w:history="1">
        <w:r>
          <w:rPr>
            <w:rStyle w:val="Hyperlink"/>
          </w:rPr>
          <w:t>https://aka.ms/consultingapprovedsuppliers</w:t>
        </w:r>
      </w:hyperlink>
      <w:r>
        <w:t xml:space="preserve">. </w:t>
      </w:r>
      <w:r>
        <w:rPr>
          <w:rFonts w:eastAsia="Times New Roman"/>
        </w:rPr>
        <w:t>O Cliente também poderá solicitar que seja notificado sobre atualizações dos Subprocessadores que serão usados durante a execução do serviço.</w:t>
      </w:r>
      <w:r w:rsidR="00396E17">
        <w:t xml:space="preserve"> </w:t>
      </w:r>
      <w:r>
        <w:t>Para clientes que solicitaram uma notificação sobre atualizações dos Subprocessadores que serão usados durante a execução do serviço, a Microsoft não permitirá acesso aos Dados de Serviços Profissionais até a aprovação por escrito ser fornecida ou 30 dias a partir da notificação.</w:t>
      </w:r>
      <w:r w:rsidR="00396E17">
        <w:t xml:space="preserve"> </w:t>
      </w:r>
    </w:p>
    <w:p w14:paraId="3F12E702" w14:textId="5A44A907" w:rsidR="00875527" w:rsidRPr="009A6C8D" w:rsidRDefault="00875527" w:rsidP="00875527">
      <w:pPr>
        <w:pStyle w:val="ProductList-Body"/>
        <w:spacing w:after="120"/>
      </w:pPr>
      <w:r>
        <w:t xml:space="preserve">Se o Cliente não aprovar um novo Subprocessador, ele poderá rescindir as Declarações de Serviço aplicáveis, como uma Ordem de Serviço do Enterprise Serviços, para os Serviços Profissionais afetados sem valor de rescisão fornecendo uma notificação por escrito da rescisão em até 30 dias da notificação. O Cliente também poderá incluir uma explicação das bases para a não aprovação junto com a notificação de término, a fim de permitir que a Microsoft reavalie esse novo Subprocessador com base nas preocupações aplicáveis. Depois do término, a Microsoft removerá as obrigações de pagamento por qualquer trabalho não pago aplicável para os Serviços Profissionais rescindidos das faturas subsequentes do Cliente. </w:t>
      </w:r>
    </w:p>
    <w:p w14:paraId="24E046A8" w14:textId="016B8FF2" w:rsidR="00733639" w:rsidRPr="009A6C8D" w:rsidRDefault="00733639" w:rsidP="00733639">
      <w:pPr>
        <w:pStyle w:val="ProductList-SubSubSectionHeading"/>
        <w:outlineLvl w:val="2"/>
      </w:pPr>
      <w:bookmarkStart w:id="66" w:name="_Toc31830097"/>
      <w:bookmarkStart w:id="67" w:name="_Hlk24722007"/>
      <w:r>
        <w:t>Termos da California Consumer Privacy Act (Lei de Privacidade do Consumidor da Califórnia, CCPA)</w:t>
      </w:r>
      <w:bookmarkEnd w:id="66"/>
    </w:p>
    <w:p w14:paraId="7A267136" w14:textId="57C12385" w:rsidR="00625EEA" w:rsidRPr="009A6C8D" w:rsidRDefault="00733639" w:rsidP="0014639B">
      <w:pPr>
        <w:pStyle w:val="ProductList-Body"/>
      </w:pPr>
      <w:r>
        <w:t>Se a Microsoft estiver processando Dados Pessoais no escopo da CCPA, ela assumirá os seguintes compromissos adicionais perante o Cliente. A Microsoft processará Dados Pessoais em nome do Cliente e não reterá, usará nem divulgará esses dados para nenhum fim diferente dos estabelecidos neste DPA e conforme permitido pela CCPA, incluindo qualquer isenção de “venda”. Em nenhuma circunstância, a Microsoft venderá esses dados. Estes termos do CCPA não limitam nem reduzem nenhum compromisso de proteção de dados feito pela Microsoft em relação ao Cliente no DPA ou em outro contrato firmado entre a Microsoft e o Cliente.</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396E17">
      <w:pPr>
        <w:pStyle w:val="ProductList-SubSubSectionHeading"/>
        <w:keepNext/>
        <w:keepLines/>
        <w:outlineLvl w:val="2"/>
      </w:pPr>
      <w:bookmarkStart w:id="68" w:name="_Toc31830098"/>
      <w:r>
        <w:lastRenderedPageBreak/>
        <w:t>Como Entrar em Contato com a Microsoft</w:t>
      </w:r>
      <w:bookmarkEnd w:id="68"/>
    </w:p>
    <w:p w14:paraId="6077BB16" w14:textId="260B3EC8" w:rsidR="00625EEA" w:rsidRPr="009A6C8D" w:rsidRDefault="00625EEA" w:rsidP="00396E17">
      <w:pPr>
        <w:pStyle w:val="ProductList-Body"/>
        <w:keepNext/>
        <w:keepLines/>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17" w:history="1">
        <w:r>
          <w:rPr>
            <w:rStyle w:val="Hyperlink"/>
            <w:szCs w:val="18"/>
          </w:rPr>
          <w:t>http://go.microsoft.com/?linkid=9846224</w:t>
        </w:r>
      </w:hyperlink>
      <w:r w:rsidRPr="00DC2CF3">
        <w:rPr>
          <w:rStyle w:val="Hyperlink"/>
          <w:szCs w:val="18"/>
          <w:u w:val="none"/>
        </w:rPr>
        <w:t xml:space="preserve">. </w:t>
      </w:r>
      <w:r>
        <w:t>O endereço de correspondência da Microsoft é:</w:t>
      </w:r>
    </w:p>
    <w:p w14:paraId="79B048A5" w14:textId="77777777" w:rsidR="005B393B" w:rsidRPr="009A6C8D" w:rsidRDefault="005B393B" w:rsidP="00396E17">
      <w:pPr>
        <w:pStyle w:val="ProductList-Body"/>
        <w:keepNext/>
        <w:keepLines/>
      </w:pPr>
    </w:p>
    <w:p w14:paraId="7F482DA6" w14:textId="512453D1" w:rsidR="00625EEA" w:rsidRPr="009A6C8D" w:rsidRDefault="00625EEA" w:rsidP="00396E17">
      <w:pPr>
        <w:pStyle w:val="ProductList-Body"/>
        <w:keepNext/>
        <w:keepLines/>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Proteção de Dados</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573B70C6"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DC2CF3" w:rsidRPr="00DC2CF3">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830099"/>
      <w:r>
        <w:lastRenderedPageBreak/>
        <w:t>Anexo 1 – Medidas de Segurança</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A Microsoft implementou e manterá as medidas de segurança a seguir para os Dados de Serviços Profissionais que, em conjunto com os compromissos de segurança previstos neste DPA (incluindo os Termos do GDPR), são a única responsabilidade da Microsoft com relação à segurança desses dados.</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Práticas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Organização da Segurança das Informações</w:t>
            </w:r>
          </w:p>
        </w:tc>
        <w:tc>
          <w:tcPr>
            <w:tcW w:w="8190" w:type="dxa"/>
          </w:tcPr>
          <w:p w14:paraId="75297EE0" w14:textId="7F3B382B" w:rsidR="00625EEA" w:rsidRPr="009A6C8D" w:rsidRDefault="00625EEA" w:rsidP="00B93772">
            <w:pPr>
              <w:pStyle w:val="ProductList-Body"/>
            </w:pPr>
            <w:r>
              <w:rPr>
                <w:b/>
                <w:szCs w:val="18"/>
              </w:rPr>
              <w:t>Propriedade da Segurança.</w:t>
            </w:r>
            <w:r w:rsidR="00396E17">
              <w:rPr>
                <w:b/>
                <w:szCs w:val="18"/>
              </w:rPr>
              <w:t xml:space="preserve"> </w:t>
            </w:r>
            <w:r>
              <w:rPr>
                <w:szCs w:val="18"/>
              </w:rPr>
              <w:t>A Microsoft indicou um ou mais agentes de segurança responsáveis pela coordenação e pelo monitoramento das regras e procedimentos de segurança.</w:t>
            </w:r>
          </w:p>
          <w:p w14:paraId="53F55D7F" w14:textId="398BD8D1" w:rsidR="00625EEA" w:rsidRPr="009A6C8D" w:rsidRDefault="00625EEA" w:rsidP="00B93772">
            <w:pPr>
              <w:pStyle w:val="ProductList-Body"/>
            </w:pPr>
            <w:r>
              <w:rPr>
                <w:b/>
                <w:szCs w:val="18"/>
              </w:rPr>
              <w:t>Funções e Responsabilidades de Segurança.</w:t>
            </w:r>
            <w:r w:rsidR="00396E17">
              <w:rPr>
                <w:b/>
                <w:szCs w:val="18"/>
              </w:rPr>
              <w:t xml:space="preserve"> </w:t>
            </w:r>
            <w:r>
              <w:rPr>
                <w:szCs w:val="18"/>
              </w:rPr>
              <w:t>O pessoal da Microsoft com acesso aos Dados de Serviços Profissionais estão sujeitos a obrigações de confidencialidade.</w:t>
            </w:r>
          </w:p>
          <w:p w14:paraId="264B012F" w14:textId="1D388F40" w:rsidR="00625EEA" w:rsidRPr="00655B2A" w:rsidRDefault="00625EEA" w:rsidP="00625EEA">
            <w:pPr>
              <w:pStyle w:val="ProductList-Body"/>
              <w:rPr>
                <w:szCs w:val="18"/>
              </w:rPr>
            </w:pPr>
            <w:r>
              <w:rPr>
                <w:b/>
                <w:szCs w:val="18"/>
              </w:rPr>
              <w:t>Programa de Gerenciamento de Riscos.</w:t>
            </w:r>
            <w:r w:rsidR="00396E17">
              <w:rPr>
                <w:b/>
                <w:szCs w:val="18"/>
              </w:rPr>
              <w:t xml:space="preserve"> </w:t>
            </w:r>
            <w:r>
              <w:rPr>
                <w:szCs w:val="18"/>
              </w:rPr>
              <w:t>A Microsoft realizou uma avaliação de riscos antes de processar os Dados de Serviços Profissionais. A Microsoft mantém seus documentos de segurança relativos aos seus requisitos de retenção após o término da vigência.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Gerenciamento de Ativos</w:t>
            </w:r>
          </w:p>
        </w:tc>
        <w:tc>
          <w:tcPr>
            <w:tcW w:w="8190" w:type="dxa"/>
          </w:tcPr>
          <w:p w14:paraId="43370D5E" w14:textId="4FFF9BCA" w:rsidR="00625EEA" w:rsidRPr="009A6C8D" w:rsidRDefault="00625EEA" w:rsidP="00B93772">
            <w:pPr>
              <w:pStyle w:val="ProductList-Body"/>
            </w:pPr>
            <w:r>
              <w:rPr>
                <w:b/>
                <w:szCs w:val="18"/>
              </w:rPr>
              <w:t>Inventário de Ativos.</w:t>
            </w:r>
            <w:r w:rsidR="00396E17">
              <w:rPr>
                <w:b/>
                <w:szCs w:val="18"/>
              </w:rPr>
              <w:t xml:space="preserve"> </w:t>
            </w:r>
            <w:r>
              <w:rPr>
                <w:szCs w:val="18"/>
              </w:rPr>
              <w:t>A Microsoft mantém um inventário de todas as mídias nas quais os Dados de Serviços Profissionais estão armazenados.</w:t>
            </w:r>
            <w:r w:rsidR="00396E17">
              <w:rPr>
                <w:szCs w:val="18"/>
              </w:rPr>
              <w:t xml:space="preserve"> </w:t>
            </w:r>
            <w:r>
              <w:rPr>
                <w:szCs w:val="18"/>
              </w:rPr>
              <w:t>O acesso aos inventários dessas mídias é restrito ao pessoal da Microsoft autorizado por escrito a ter esse acesso.</w:t>
            </w:r>
          </w:p>
          <w:p w14:paraId="3208A7B7" w14:textId="77777777" w:rsidR="00625EEA" w:rsidRPr="009A6C8D" w:rsidRDefault="00625EEA" w:rsidP="00B93772">
            <w:pPr>
              <w:pStyle w:val="ProductList-Body"/>
            </w:pPr>
            <w:r>
              <w:rPr>
                <w:b/>
                <w:szCs w:val="18"/>
              </w:rPr>
              <w:t>Manuseio de Ativos.</w:t>
            </w:r>
          </w:p>
          <w:p w14:paraId="1116E5C9" w14:textId="2E8BB552" w:rsidR="00625EEA" w:rsidRPr="009A6C8D" w:rsidRDefault="00625EEA" w:rsidP="006A3D1E">
            <w:pPr>
              <w:pStyle w:val="ProductList-Body"/>
              <w:ind w:left="158" w:hanging="158"/>
            </w:pPr>
            <w:r>
              <w:rPr>
                <w:szCs w:val="18"/>
              </w:rPr>
              <w:t>-</w:t>
            </w:r>
            <w:r>
              <w:rPr>
                <w:szCs w:val="18"/>
              </w:rPr>
              <w:tab/>
              <w:t>A Microsoft classifica os Dados de Serviços Profissionais para ajudar a identificá-los e a restringir adequadamente o acesso a eles.</w:t>
            </w:r>
          </w:p>
          <w:p w14:paraId="3679FC61" w14:textId="2A2A81FE" w:rsidR="00625EEA" w:rsidRPr="009A6C8D" w:rsidRDefault="00625EEA" w:rsidP="006A3D1E">
            <w:pPr>
              <w:pStyle w:val="ProductList-Body"/>
              <w:ind w:left="158" w:hanging="158"/>
            </w:pPr>
            <w:r>
              <w:rPr>
                <w:szCs w:val="18"/>
              </w:rPr>
              <w:t>-</w:t>
            </w:r>
            <w:r>
              <w:rPr>
                <w:szCs w:val="18"/>
              </w:rPr>
              <w:tab/>
              <w:t xml:space="preserve">A Microsoft impõe restrições à impressão dos Dados de Serviços Profissionais e tem procedimentos para descarte de materiais impressos que contenham Dados de Serviços Profissionais. </w:t>
            </w:r>
          </w:p>
          <w:p w14:paraId="00D3DD19" w14:textId="74C003BB" w:rsidR="00625EEA" w:rsidRPr="00655B2A" w:rsidRDefault="00625EEA" w:rsidP="006A3D1E">
            <w:pPr>
              <w:pStyle w:val="ProductList-Body"/>
              <w:ind w:left="158" w:hanging="158"/>
              <w:rPr>
                <w:szCs w:val="18"/>
              </w:rPr>
            </w:pPr>
            <w:r>
              <w:rPr>
                <w:szCs w:val="18"/>
              </w:rPr>
              <w:t>-</w:t>
            </w:r>
            <w:r>
              <w:rPr>
                <w:szCs w:val="18"/>
              </w:rPr>
              <w:tab/>
              <w:t>O pessoal da Microsoft deve obter autorização da Microsoft antes de armazenar os Dados de Serviços Profissionais em dispositivos portáteis, acessá-los remotamente ou processá-los fora das instalações da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Segurança dos Recursos Humanos</w:t>
            </w:r>
          </w:p>
        </w:tc>
        <w:tc>
          <w:tcPr>
            <w:tcW w:w="8190" w:type="dxa"/>
          </w:tcPr>
          <w:p w14:paraId="530961CA" w14:textId="77777777" w:rsidR="00625EEA" w:rsidRPr="00655B2A" w:rsidRDefault="00625EEA" w:rsidP="00B93772">
            <w:pPr>
              <w:pStyle w:val="ProductList-Body"/>
              <w:rPr>
                <w:szCs w:val="18"/>
              </w:rPr>
            </w:pPr>
            <w:r>
              <w:rPr>
                <w:b/>
                <w:szCs w:val="18"/>
              </w:rPr>
              <w:t>Treinamento de Segurança</w:t>
            </w:r>
            <w:r>
              <w:rPr>
                <w:szCs w:val="18"/>
              </w:rPr>
              <w:t>.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Segurança Física e Ambiental</w:t>
            </w:r>
          </w:p>
        </w:tc>
        <w:tc>
          <w:tcPr>
            <w:tcW w:w="8190" w:type="dxa"/>
          </w:tcPr>
          <w:p w14:paraId="2D516B27" w14:textId="0CC697DF" w:rsidR="00625EEA" w:rsidRPr="009A6C8D" w:rsidRDefault="00625EEA" w:rsidP="00B93772">
            <w:pPr>
              <w:pStyle w:val="ProductList-Body"/>
            </w:pPr>
            <w:r>
              <w:rPr>
                <w:b/>
                <w:szCs w:val="18"/>
              </w:rPr>
              <w:t>Acesso Físico a Instalações.</w:t>
            </w:r>
            <w:r w:rsidR="00396E17">
              <w:rPr>
                <w:b/>
                <w:szCs w:val="18"/>
              </w:rPr>
              <w:t xml:space="preserve"> </w:t>
            </w:r>
            <w:r>
              <w:rPr>
                <w:szCs w:val="18"/>
              </w:rPr>
              <w:t>A Microsoft limita a indivíduos autorizados identificados o acesso às instalações onde os sistemas de informação que processam os Dados de Serviços Profissionais estão localizados.</w:t>
            </w:r>
          </w:p>
          <w:p w14:paraId="27888FF6" w14:textId="218B2448" w:rsidR="00625EEA" w:rsidRPr="009A6C8D" w:rsidRDefault="00625EEA" w:rsidP="00B93772">
            <w:pPr>
              <w:pStyle w:val="ProductList-Body"/>
            </w:pPr>
            <w:r>
              <w:rPr>
                <w:b/>
                <w:szCs w:val="18"/>
              </w:rPr>
              <w:t>Acesso Físico a Componentes.</w:t>
            </w:r>
            <w:r w:rsidR="00396E17">
              <w:rPr>
                <w:b/>
                <w:szCs w:val="18"/>
              </w:rPr>
              <w:t xml:space="preserve"> </w:t>
            </w:r>
            <w:r>
              <w:rPr>
                <w:szCs w:val="18"/>
              </w:rPr>
              <w:t>A Microsoft mantém registros sobre a saída e a entrada de mídias que contenham Dados de Serviços Profissionais, inclusive o tipo de mídia, os remetentes/destinatários autorizados, a data e a hora, o número de mídias e os tipos de Dados de Serviços Profissionais que elas contêm.</w:t>
            </w:r>
          </w:p>
          <w:p w14:paraId="3D078D36" w14:textId="5FBD6F98" w:rsidR="00625EEA" w:rsidRPr="009A6C8D" w:rsidRDefault="00625EEA" w:rsidP="00B93772">
            <w:pPr>
              <w:pStyle w:val="ProductList-Body"/>
            </w:pPr>
            <w:r>
              <w:rPr>
                <w:b/>
                <w:szCs w:val="18"/>
              </w:rPr>
              <w:t>Proteção contra Interrupções.</w:t>
            </w:r>
            <w:r w:rsidR="00396E17">
              <w:rPr>
                <w:b/>
                <w:szCs w:val="18"/>
              </w:rPr>
              <w:t xml:space="preserve"> </w:t>
            </w:r>
            <w:r>
              <w:rPr>
                <w:szCs w:val="18"/>
              </w:rPr>
              <w:t>A Microsoft usa uma variedade de sistemas padrão do setor para proteger-se contra a perda de dados devido a falhas na fonte de alimentação ou interferências de linha.</w:t>
            </w:r>
          </w:p>
          <w:p w14:paraId="65C116F9" w14:textId="19B52831" w:rsidR="00625EEA" w:rsidRPr="00655B2A" w:rsidRDefault="00625EEA" w:rsidP="00B93772">
            <w:pPr>
              <w:pStyle w:val="ProductList-Body"/>
              <w:spacing w:before="40"/>
              <w:rPr>
                <w:szCs w:val="18"/>
              </w:rPr>
            </w:pPr>
            <w:r>
              <w:rPr>
                <w:b/>
                <w:szCs w:val="18"/>
              </w:rPr>
              <w:t>Descarte de Componentes.</w:t>
            </w:r>
            <w:r w:rsidR="00396E17">
              <w:rPr>
                <w:b/>
                <w:szCs w:val="18"/>
              </w:rPr>
              <w:t xml:space="preserve"> </w:t>
            </w:r>
            <w:r>
              <w:rPr>
                <w:szCs w:val="18"/>
              </w:rPr>
              <w:t>A Microsoft usa processos padrão do setor para excluir Dados de Serviços Profissionais quando não são mais necessários.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Gerenciamento de Comunicações e Operações</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Política Operacional</w:t>
            </w:r>
            <w:r>
              <w:rPr>
                <w:szCs w:val="18"/>
              </w:rPr>
              <w:t>. A Microsoft mantém documentos de segurança descrevendo suas medidas de segurança e os procedimentos relevantes e responsabilidades de seu pessoal com acesso aos Dados de Serviços Profissionais.</w:t>
            </w:r>
          </w:p>
          <w:p w14:paraId="30E24F48" w14:textId="77777777" w:rsidR="00625EEA" w:rsidRPr="009A6C8D" w:rsidRDefault="00625EEA" w:rsidP="00B93772">
            <w:pPr>
              <w:pStyle w:val="ProductList-Body"/>
              <w:spacing w:before="40"/>
            </w:pPr>
            <w:r>
              <w:rPr>
                <w:b/>
                <w:szCs w:val="18"/>
              </w:rPr>
              <w:t>Procedimentos de Recuperação de Dados</w:t>
            </w:r>
          </w:p>
          <w:p w14:paraId="75083BA5" w14:textId="0532D3D4" w:rsidR="00625EEA" w:rsidRPr="009A6C8D" w:rsidRDefault="00625EEA" w:rsidP="00B93772">
            <w:pPr>
              <w:pStyle w:val="ProductList-Body"/>
              <w:ind w:left="162" w:hanging="162"/>
            </w:pPr>
            <w:r>
              <w:rPr>
                <w:szCs w:val="18"/>
              </w:rPr>
              <w:t>-</w:t>
            </w:r>
            <w:r>
              <w:rPr>
                <w:szCs w:val="18"/>
              </w:rPr>
              <w:tab/>
              <w:t>Em uma base contínua, mas com uma frequência mínima de uma vez por semana (a menos que os Dados de Serviços Profissionais tenham sido atualizados durante esse período), a Microsoft mantém várias cópias dos Dados de Serviços Profissionais das quais estes podem ser recuperados.</w:t>
            </w:r>
          </w:p>
          <w:p w14:paraId="57E51583" w14:textId="0DCA7C12" w:rsidR="00625EEA" w:rsidRPr="009A6C8D" w:rsidRDefault="00625EEA" w:rsidP="00B93772">
            <w:pPr>
              <w:pStyle w:val="ProductList-Body"/>
              <w:ind w:left="162" w:hanging="162"/>
            </w:pPr>
            <w:r>
              <w:rPr>
                <w:szCs w:val="18"/>
              </w:rPr>
              <w:t>-</w:t>
            </w:r>
            <w:r>
              <w:rPr>
                <w:szCs w:val="18"/>
              </w:rPr>
              <w:tab/>
              <w:t>A Microsoft armazena cópias dos Dados de Serviços Profissionais e os procedimentos de recuperação de dados em outro local que não seja onde se localiza o computador principal que processa os Dados de Serviços Profissionais.</w:t>
            </w:r>
          </w:p>
          <w:p w14:paraId="0A772413" w14:textId="0CF224E8" w:rsidR="00625EEA" w:rsidRPr="009A6C8D" w:rsidRDefault="00625EEA" w:rsidP="00B93772">
            <w:pPr>
              <w:pStyle w:val="ProductList-Body"/>
              <w:ind w:left="162" w:hanging="162"/>
            </w:pPr>
            <w:r>
              <w:rPr>
                <w:szCs w:val="18"/>
              </w:rPr>
              <w:t>-</w:t>
            </w:r>
            <w:r>
              <w:rPr>
                <w:szCs w:val="18"/>
              </w:rPr>
              <w:tab/>
              <w:t>A Microsoft tem em vigor procedimentos específicos que regem o acesso a cópias dos Dados de Serviços Profissionais.</w:t>
            </w:r>
          </w:p>
          <w:p w14:paraId="17AFAC72" w14:textId="77777777" w:rsidR="00625EEA" w:rsidRPr="009A6C8D" w:rsidRDefault="00625EEA" w:rsidP="00B93772">
            <w:pPr>
              <w:pStyle w:val="ProductList-Body"/>
              <w:ind w:left="162" w:hanging="162"/>
            </w:pPr>
            <w:r>
              <w:rPr>
                <w:szCs w:val="18"/>
              </w:rPr>
              <w:t>-</w:t>
            </w:r>
            <w:r>
              <w:rPr>
                <w:szCs w:val="18"/>
              </w:rPr>
              <w:tab/>
              <w:t>A Microsoft revisa os procedimentos de recuperação de dados, pelo menos, anualmente.</w:t>
            </w:r>
          </w:p>
          <w:p w14:paraId="49774617" w14:textId="7D799F59" w:rsidR="00625EEA" w:rsidRPr="009A6C8D" w:rsidRDefault="00625EEA" w:rsidP="006A3D1E">
            <w:pPr>
              <w:pStyle w:val="ProductList-Body"/>
              <w:ind w:left="158" w:hanging="158"/>
            </w:pPr>
            <w:r>
              <w:rPr>
                <w:szCs w:val="18"/>
              </w:rPr>
              <w:t>-</w:t>
            </w:r>
            <w:r>
              <w:rPr>
                <w:szCs w:val="18"/>
              </w:rP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FC8AE6D" w14:textId="524E5CF1" w:rsidR="00625EEA" w:rsidRPr="009A6C8D" w:rsidRDefault="00625EEA" w:rsidP="00B93772">
            <w:pPr>
              <w:pStyle w:val="ProductList-Body"/>
              <w:spacing w:before="40"/>
            </w:pPr>
            <w:r>
              <w:rPr>
                <w:b/>
                <w:szCs w:val="18"/>
              </w:rPr>
              <w:lastRenderedPageBreak/>
              <w:t>Software Mal-intencionado</w:t>
            </w:r>
            <w:r>
              <w:rPr>
                <w:szCs w:val="18"/>
              </w:rPr>
              <w:t>. A Microsoft tem controles antimalware que ajudam a impedir que software mal-intencionado obtenha acesso não autorizado aos Dados de Serviços Profissionais, inclusive software mal-intencionado originado de redes públicas.</w:t>
            </w:r>
          </w:p>
          <w:p w14:paraId="50D89624" w14:textId="77777777" w:rsidR="00625EEA" w:rsidRPr="009A6C8D" w:rsidRDefault="00625EEA" w:rsidP="00B93772">
            <w:pPr>
              <w:pStyle w:val="ProductList-Body"/>
              <w:spacing w:before="40"/>
            </w:pPr>
            <w:r>
              <w:rPr>
                <w:b/>
                <w:szCs w:val="18"/>
              </w:rPr>
              <w:t>Transferência de Dados para Além dos Limites</w:t>
            </w:r>
          </w:p>
          <w:p w14:paraId="2004B760" w14:textId="13596E37" w:rsidR="00625EEA" w:rsidRPr="009A6C8D" w:rsidRDefault="00625EEA" w:rsidP="00B93772">
            <w:pPr>
              <w:pStyle w:val="ProductList-Body"/>
              <w:ind w:left="162" w:hanging="162"/>
            </w:pPr>
            <w:r>
              <w:rPr>
                <w:szCs w:val="18"/>
              </w:rPr>
              <w:t>-</w:t>
            </w:r>
            <w:r>
              <w:rPr>
                <w:szCs w:val="18"/>
              </w:rPr>
              <w:tab/>
              <w:t>A Microsoft criptografa, ou permite que o Cliente criptografe, os Dados de Serviços Profissionais transmitidos por redes públicas.</w:t>
            </w:r>
          </w:p>
          <w:p w14:paraId="6FFB9E9C" w14:textId="5D0A901F" w:rsidR="00625EEA" w:rsidRPr="009A6C8D" w:rsidRDefault="00625EEA" w:rsidP="00B93772">
            <w:pPr>
              <w:pStyle w:val="ProductList-Body"/>
              <w:ind w:left="162" w:hanging="162"/>
            </w:pPr>
            <w:r>
              <w:rPr>
                <w:szCs w:val="18"/>
              </w:rPr>
              <w:t>-</w:t>
            </w:r>
            <w:r>
              <w:rPr>
                <w:szCs w:val="18"/>
              </w:rPr>
              <w:tab/>
              <w:t>A Microsoft restringe o acesso aos Dados de Serviços Profissionais em mídias que deixam suas instalações.</w:t>
            </w:r>
          </w:p>
          <w:p w14:paraId="2300C47B" w14:textId="77777777" w:rsidR="00625EEA" w:rsidRPr="009A6C8D" w:rsidRDefault="00625EEA" w:rsidP="00B93772">
            <w:pPr>
              <w:pStyle w:val="ProductList-Body"/>
              <w:spacing w:before="40"/>
            </w:pPr>
            <w:r>
              <w:rPr>
                <w:b/>
                <w:szCs w:val="18"/>
              </w:rPr>
              <w:t>Registro de Eventos</w:t>
            </w:r>
          </w:p>
          <w:p w14:paraId="5C99B61E" w14:textId="78D6717E" w:rsidR="00625EEA" w:rsidRPr="00655B2A" w:rsidRDefault="00625EEA" w:rsidP="00745F29">
            <w:pPr>
              <w:pStyle w:val="ProductList-Body"/>
              <w:spacing w:before="40"/>
              <w:rPr>
                <w:szCs w:val="18"/>
              </w:rPr>
            </w:pPr>
            <w:r>
              <w:rPr>
                <w:szCs w:val="18"/>
              </w:rPr>
              <w:t>-</w:t>
            </w:r>
            <w:r>
              <w:rPr>
                <w:szCs w:val="18"/>
              </w:rPr>
              <w:tab/>
              <w:t>A Microsoft registra, ou permite que o Cliente registre, o acesso e o uso de sistemas de informações contendo os Dados de Serviços Profissionais, registrando o ID de acesso, a hora, a autorização concedida ou negada e a atividade relevante.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Controle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Política de Acesso</w:t>
            </w:r>
            <w:r>
              <w:rPr>
                <w:szCs w:val="18"/>
              </w:rPr>
              <w:t>. A Microsoft mantém um registro de privilégio de segurança de indivíduos que têm acesso aos Dados de Serviços Profissionais.</w:t>
            </w:r>
          </w:p>
          <w:p w14:paraId="77435290" w14:textId="77777777" w:rsidR="00625EEA" w:rsidRPr="009A6C8D" w:rsidRDefault="00625EEA" w:rsidP="00B93772">
            <w:pPr>
              <w:pStyle w:val="ProductList-Body"/>
              <w:spacing w:before="40"/>
            </w:pPr>
            <w:r>
              <w:rPr>
                <w:b/>
                <w:szCs w:val="18"/>
              </w:rPr>
              <w:t>Autorização de Acesso</w:t>
            </w:r>
          </w:p>
          <w:p w14:paraId="6CC34F01" w14:textId="1388B9A1" w:rsidR="00625EEA" w:rsidRPr="009A6C8D" w:rsidRDefault="00625EEA" w:rsidP="00B93772">
            <w:pPr>
              <w:pStyle w:val="ProductList-Body"/>
              <w:ind w:left="162" w:hanging="162"/>
            </w:pPr>
            <w:r>
              <w:rPr>
                <w:szCs w:val="18"/>
              </w:rPr>
              <w:t>-</w:t>
            </w:r>
            <w:r>
              <w:rPr>
                <w:szCs w:val="18"/>
              </w:rPr>
              <w:tab/>
              <w:t>A Microsoft mantém e atualiza um registro do pessoal autorizado a acessar os sistemas da Microsoft que contêm Dados de Serviços Profissionais.</w:t>
            </w:r>
          </w:p>
          <w:p w14:paraId="1BBABA66" w14:textId="77777777" w:rsidR="00625EEA" w:rsidRPr="009A6C8D" w:rsidRDefault="00625EEA" w:rsidP="00B93772">
            <w:pPr>
              <w:pStyle w:val="ProductList-Body"/>
              <w:ind w:left="162" w:hanging="162"/>
            </w:pPr>
            <w:r>
              <w:rPr>
                <w:szCs w:val="18"/>
              </w:rPr>
              <w:t>-</w:t>
            </w:r>
            <w:r>
              <w:rPr>
                <w:szCs w:val="18"/>
              </w:rPr>
              <w:tab/>
              <w:t>A Microsoft desativa as credenciais de autenticação que não foram usadas por um período de até seis meses.</w:t>
            </w:r>
          </w:p>
          <w:p w14:paraId="658D9738" w14:textId="77777777" w:rsidR="00625EEA" w:rsidRPr="009A6C8D" w:rsidRDefault="00625EEA" w:rsidP="00B93772">
            <w:pPr>
              <w:pStyle w:val="ProductList-Body"/>
              <w:ind w:left="162" w:hanging="162"/>
            </w:pPr>
            <w:r>
              <w:rPr>
                <w:szCs w:val="18"/>
              </w:rPr>
              <w:t>-</w:t>
            </w:r>
            <w:r>
              <w:rPr>
                <w:szCs w:val="18"/>
              </w:rPr>
              <w:tab/>
              <w:t xml:space="preserve">A Microsoft identifica o pessoal que pode conceder, alterar ou cancelar acesso autorizado a dados e recursos. </w:t>
            </w:r>
          </w:p>
          <w:p w14:paraId="03EF3A15" w14:textId="40A4116F" w:rsidR="00625EEA" w:rsidRPr="009A6C8D" w:rsidRDefault="00625EEA" w:rsidP="006A3D1E">
            <w:pPr>
              <w:pStyle w:val="ProductList-Body"/>
              <w:ind w:left="158" w:hanging="158"/>
            </w:pPr>
            <w:r>
              <w:rPr>
                <w:szCs w:val="18"/>
              </w:rPr>
              <w:t>-</w:t>
            </w:r>
            <w:r>
              <w:rPr>
                <w:szCs w:val="18"/>
              </w:rPr>
              <w:tab/>
              <w:t>A Microsoft garante que quando mais de um indivíduo tiver acesso aos sistemas que contêm os Dados de Serviços Profissionais, os indivíduos terão logins/identificadores separados.</w:t>
            </w:r>
          </w:p>
          <w:p w14:paraId="0B93D8FA" w14:textId="77777777" w:rsidR="00625EEA" w:rsidRPr="009A6C8D" w:rsidRDefault="00625EEA" w:rsidP="00B93772">
            <w:pPr>
              <w:pStyle w:val="ProductList-Body"/>
              <w:spacing w:before="40"/>
            </w:pPr>
            <w:r>
              <w:rPr>
                <w:b/>
                <w:szCs w:val="18"/>
              </w:rPr>
              <w:t>Privilégios Mínimos</w:t>
            </w:r>
          </w:p>
          <w:p w14:paraId="41F79BC7" w14:textId="6281A51B" w:rsidR="00625EEA" w:rsidRPr="009A6C8D" w:rsidRDefault="00625EEA" w:rsidP="00B93772">
            <w:pPr>
              <w:pStyle w:val="ProductList-Body"/>
              <w:ind w:left="162" w:hanging="162"/>
            </w:pPr>
            <w:r>
              <w:rPr>
                <w:szCs w:val="18"/>
              </w:rPr>
              <w:t>-</w:t>
            </w:r>
            <w:r>
              <w:rPr>
                <w:szCs w:val="18"/>
              </w:rPr>
              <w:tab/>
              <w:t xml:space="preserve">O pessoal de suporte técnico é autorizado a acessar os Dados de Serviços Profissionais somente quando necessário. </w:t>
            </w:r>
          </w:p>
          <w:p w14:paraId="531FFA88" w14:textId="1D18E203" w:rsidR="00625EEA" w:rsidRPr="009A6C8D" w:rsidRDefault="00625EEA" w:rsidP="006A3D1E">
            <w:pPr>
              <w:pStyle w:val="ProductList-Body"/>
              <w:ind w:left="158" w:hanging="158"/>
            </w:pPr>
            <w:r>
              <w:rPr>
                <w:szCs w:val="18"/>
              </w:rPr>
              <w:t>-</w:t>
            </w:r>
            <w:r>
              <w:rPr>
                <w:szCs w:val="18"/>
              </w:rPr>
              <w:tab/>
              <w:t>A Microsoft restringe o acesso aos Dados de Serviços Profissionais apenas aos indivíduos que precisam de tal acesso para executar suas funções.</w:t>
            </w:r>
          </w:p>
          <w:p w14:paraId="0CDB1A10" w14:textId="77777777" w:rsidR="00625EEA" w:rsidRPr="009A6C8D" w:rsidRDefault="00625EEA" w:rsidP="00B93772">
            <w:pPr>
              <w:pStyle w:val="ProductList-Body"/>
              <w:spacing w:before="40"/>
            </w:pPr>
            <w:r>
              <w:rPr>
                <w:b/>
                <w:szCs w:val="18"/>
              </w:rPr>
              <w:t>Integridade e Confidencialidade</w:t>
            </w:r>
          </w:p>
          <w:p w14:paraId="4C838572" w14:textId="77777777" w:rsidR="00625EEA" w:rsidRPr="009A6C8D" w:rsidRDefault="00625EEA" w:rsidP="00B93772">
            <w:pPr>
              <w:pStyle w:val="ProductList-Body"/>
              <w:ind w:left="162" w:hanging="162"/>
            </w:pPr>
            <w:r>
              <w:rPr>
                <w:szCs w:val="18"/>
              </w:rPr>
              <w:t>-</w:t>
            </w:r>
            <w:r>
              <w:rPr>
                <w:szCs w:val="18"/>
              </w:rPr>
              <w:tab/>
              <w:t>A Microsoft instrui seu pessoal a desativar sessões administrativas ao deixarem as instalações controladas pela Microsoft ou quando os computadores são, de outra forma, deixados sem supervisão.</w:t>
            </w:r>
          </w:p>
          <w:p w14:paraId="6CA331A4" w14:textId="77777777" w:rsidR="00625EEA" w:rsidRPr="009A6C8D" w:rsidRDefault="00625EEA" w:rsidP="00B93772">
            <w:pPr>
              <w:pStyle w:val="ProductList-Body"/>
              <w:ind w:left="162" w:hanging="162"/>
            </w:pPr>
            <w:r>
              <w:rPr>
                <w:szCs w:val="18"/>
              </w:rPr>
              <w:t>-</w:t>
            </w:r>
            <w:r>
              <w:rPr>
                <w:szCs w:val="18"/>
              </w:rPr>
              <w:tab/>
              <w:t>A Microsoft armazena senhas de uma forma que as torna ininteligíveis enquanto elas estiverem em vigor.</w:t>
            </w:r>
          </w:p>
          <w:p w14:paraId="4BB44881" w14:textId="77777777" w:rsidR="00625EEA" w:rsidRPr="009A6C8D" w:rsidRDefault="00625EEA" w:rsidP="00B93772">
            <w:pPr>
              <w:pStyle w:val="ProductList-Body"/>
              <w:spacing w:before="40"/>
            </w:pPr>
            <w:r>
              <w:rPr>
                <w:b/>
                <w:szCs w:val="18"/>
              </w:rPr>
              <w:t>Autenticação</w:t>
            </w:r>
          </w:p>
          <w:p w14:paraId="5E4E544E" w14:textId="77777777" w:rsidR="00625EEA" w:rsidRPr="009A6C8D" w:rsidRDefault="00625EEA" w:rsidP="00B93772">
            <w:pPr>
              <w:pStyle w:val="ProductList-Body"/>
              <w:ind w:left="162" w:hanging="162"/>
            </w:pPr>
            <w:r>
              <w:rPr>
                <w:szCs w:val="18"/>
              </w:rPr>
              <w:t>-</w:t>
            </w:r>
            <w:r>
              <w:rPr>
                <w:szCs w:val="18"/>
              </w:rPr>
              <w:tab/>
              <w:t>A Microsoft usa práticas padrão do setor para identificar e autenticar usuários que tentam acessar sistemas de informação.</w:t>
            </w:r>
          </w:p>
          <w:p w14:paraId="7E050D33" w14:textId="77777777" w:rsidR="00625EEA" w:rsidRPr="009A6C8D" w:rsidRDefault="00625EEA" w:rsidP="00B93772">
            <w:pPr>
              <w:pStyle w:val="ProductList-Body"/>
              <w:ind w:left="162" w:hanging="162"/>
            </w:pPr>
            <w:r>
              <w:rPr>
                <w:szCs w:val="18"/>
              </w:rPr>
              <w:t>-</w:t>
            </w:r>
            <w:r>
              <w:rPr>
                <w:szCs w:val="18"/>
              </w:rPr>
              <w:tab/>
              <w:t>Quando os mecanismos de autenticação são baseados em senha, a Microsoft exige que as senhas sejam renovadas regularmente.</w:t>
            </w:r>
          </w:p>
          <w:p w14:paraId="22D847B4" w14:textId="77777777" w:rsidR="00625EEA" w:rsidRPr="009A6C8D" w:rsidRDefault="00625EEA" w:rsidP="00B93772">
            <w:pPr>
              <w:pStyle w:val="ProductList-Body"/>
              <w:ind w:left="162" w:hanging="162"/>
            </w:pPr>
            <w:r>
              <w:rPr>
                <w:szCs w:val="18"/>
              </w:rPr>
              <w:t>-</w:t>
            </w:r>
            <w:r>
              <w:rPr>
                <w:szCs w:val="18"/>
              </w:rPr>
              <w:tab/>
              <w:t>Quando os mecanismos de autenticação são baseados em senha, a Microsoft exige que a senha tenha, pelo menos, oito caracteres.</w:t>
            </w:r>
          </w:p>
          <w:p w14:paraId="5E4386B3" w14:textId="77777777" w:rsidR="00625EEA" w:rsidRPr="009A6C8D" w:rsidRDefault="00625EEA" w:rsidP="00B93772">
            <w:pPr>
              <w:pStyle w:val="ProductList-Body"/>
              <w:ind w:left="162" w:hanging="162"/>
            </w:pPr>
            <w:r>
              <w:rPr>
                <w:szCs w:val="18"/>
              </w:rPr>
              <w:t>-</w:t>
            </w:r>
            <w:r>
              <w:rPr>
                <w:szCs w:val="18"/>
              </w:rPr>
              <w:tab/>
              <w:t>A Microsoft garante que identificadores desativados ou expirados não sejam concedidos a outros indivíduos.</w:t>
            </w:r>
          </w:p>
          <w:p w14:paraId="5F9377B6" w14:textId="03126AC8" w:rsidR="00625EEA" w:rsidRPr="009A6C8D" w:rsidRDefault="00625EEA" w:rsidP="00B93772">
            <w:pPr>
              <w:pStyle w:val="ProductList-Body"/>
              <w:ind w:left="162" w:hanging="162"/>
            </w:pPr>
            <w:r>
              <w:rPr>
                <w:szCs w:val="18"/>
              </w:rPr>
              <w:t>-</w:t>
            </w:r>
            <w:r>
              <w:rPr>
                <w:szCs w:val="18"/>
              </w:rPr>
              <w:tab/>
              <w:t>A Microsoft monitora, ou permite que o Cliente monitore, as tentativas repetidas de obtenção de acesso ao sistema de informação com senhas inválidas.</w:t>
            </w:r>
          </w:p>
          <w:p w14:paraId="37647688" w14:textId="77777777" w:rsidR="00625EEA" w:rsidRPr="009A6C8D" w:rsidRDefault="00625EEA" w:rsidP="00B93772">
            <w:pPr>
              <w:pStyle w:val="ProductList-Body"/>
              <w:ind w:left="162" w:hanging="162"/>
            </w:pPr>
            <w:r>
              <w:rPr>
                <w:szCs w:val="18"/>
              </w:rPr>
              <w:t>-</w:t>
            </w:r>
            <w:r>
              <w:rPr>
                <w:szCs w:val="18"/>
              </w:rPr>
              <w:tab/>
              <w:t>A Microsoft mantém procedimentos padrão do setor para desativar senhas que tenham sido corrompidas ou divulgadas acidentalmente.</w:t>
            </w:r>
          </w:p>
          <w:p w14:paraId="24240B16" w14:textId="77777777" w:rsidR="00625EEA" w:rsidRPr="009A6C8D" w:rsidRDefault="00625EEA" w:rsidP="00B93772">
            <w:pPr>
              <w:pStyle w:val="ProductList-Body"/>
              <w:ind w:left="162" w:hanging="162"/>
            </w:pPr>
            <w:r>
              <w:rPr>
                <w:szCs w:val="18"/>
              </w:rPr>
              <w:t>-</w:t>
            </w:r>
            <w:r>
              <w:rPr>
                <w:szCs w:val="18"/>
              </w:rPr>
              <w:tab/>
              <w:t>A Microsoft usa práticas de proteção de senhas padrão do setor, inclusive práticas destinadas a manter a confidencialidade e a integridade de senhas quando estas são cedidas e distribuídas, e durante o armazenamento.</w:t>
            </w:r>
          </w:p>
          <w:p w14:paraId="15CA1001" w14:textId="3A29F2BE" w:rsidR="00625EEA" w:rsidRPr="00655B2A" w:rsidRDefault="00625EEA" w:rsidP="00B93772">
            <w:pPr>
              <w:pStyle w:val="ProductList-Body"/>
              <w:ind w:left="162" w:hanging="162"/>
              <w:rPr>
                <w:szCs w:val="18"/>
              </w:rPr>
            </w:pPr>
            <w:r>
              <w:rPr>
                <w:b/>
                <w:szCs w:val="18"/>
              </w:rPr>
              <w:t>Projeto de Rede</w:t>
            </w:r>
            <w:r>
              <w:rPr>
                <w:szCs w:val="18"/>
              </w:rPr>
              <w:t>. A Microsoft tem controles para impedir que indivíduos assumam direitos de acesso não cedidos a eles para obter acesso aos Dados de Serviços Profissionais que eles não estejam autorizados a acessar.</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Gerenciamento de Incidentes de Segurança de Informação</w:t>
            </w:r>
          </w:p>
        </w:tc>
        <w:tc>
          <w:tcPr>
            <w:tcW w:w="8190" w:type="dxa"/>
            <w:tcBorders>
              <w:top w:val="single" w:sz="4" w:space="0" w:color="auto"/>
            </w:tcBorders>
          </w:tcPr>
          <w:p w14:paraId="72964363" w14:textId="77777777" w:rsidR="00625EEA" w:rsidRPr="009A6C8D" w:rsidRDefault="00625EEA" w:rsidP="00396E17">
            <w:pPr>
              <w:pStyle w:val="ProductList-Body"/>
              <w:keepNext/>
              <w:keepLines/>
            </w:pPr>
            <w:r>
              <w:rPr>
                <w:b/>
                <w:szCs w:val="18"/>
              </w:rPr>
              <w:t>Processo de Resposta a Incidentes</w:t>
            </w:r>
          </w:p>
          <w:p w14:paraId="09A43304" w14:textId="77777777" w:rsidR="00625EEA" w:rsidRPr="009A6C8D" w:rsidRDefault="00625EEA" w:rsidP="00396E17">
            <w:pPr>
              <w:pStyle w:val="ProductList-Body"/>
              <w:keepNext/>
              <w:keepLines/>
              <w:ind w:left="162" w:hanging="162"/>
            </w:pPr>
            <w:r>
              <w:rPr>
                <w:szCs w:val="18"/>
              </w:rPr>
              <w:t>-</w:t>
            </w:r>
            <w:r>
              <w:rPr>
                <w:szCs w:val="18"/>
              </w:rPr>
              <w:tab/>
              <w:t>A Microsoft mantém um registro de violações de segurança com uma descrição da violação, o período, as consequências, o nome do autor da denúncia e a quem a violação foi denunciada, bem como o procedimento de recuperação de dados.</w:t>
            </w:r>
          </w:p>
          <w:p w14:paraId="7B45D247" w14:textId="2F6B39E4" w:rsidR="00625EEA" w:rsidRPr="009A6C8D" w:rsidRDefault="00625EEA" w:rsidP="00396E17">
            <w:pPr>
              <w:pStyle w:val="ProductList-Body"/>
              <w:keepNext/>
              <w:keepLines/>
              <w:spacing w:before="40"/>
              <w:ind w:left="158" w:hanging="158"/>
            </w:pPr>
            <w:r>
              <w:rPr>
                <w:szCs w:val="18"/>
              </w:rPr>
              <w:lastRenderedPageBreak/>
              <w:t>-</w:t>
            </w:r>
            <w:r>
              <w:rPr>
                <w:szCs w:val="18"/>
              </w:rPr>
              <w:tab/>
              <w:t>A Microsoft controla</w:t>
            </w:r>
            <w:r>
              <w:rPr>
                <w:color w:val="000000" w:themeColor="text1"/>
                <w:sz w:val="16"/>
                <w:szCs w:val="16"/>
              </w:rPr>
              <w:t xml:space="preserve">, </w:t>
            </w:r>
            <w:r>
              <w:rPr>
                <w:color w:val="000000" w:themeColor="text1"/>
                <w:szCs w:val="18"/>
              </w:rPr>
              <w:t xml:space="preserve">ou permite que o </w:t>
            </w:r>
            <w:r>
              <w:rPr>
                <w:szCs w:val="18"/>
              </w:rPr>
              <w:t>Cliente controle, as divulgações de Dados de Serviços Profissionais, inclusive quais dados foram divulgados, para quem e a que horas.</w:t>
            </w:r>
          </w:p>
          <w:p w14:paraId="40A0E5FA" w14:textId="77777777" w:rsidR="00625EEA" w:rsidRPr="00655B2A" w:rsidRDefault="00625EEA" w:rsidP="00B93772">
            <w:pPr>
              <w:pStyle w:val="ProductList-Body"/>
              <w:spacing w:before="40"/>
              <w:rPr>
                <w:szCs w:val="18"/>
              </w:rPr>
            </w:pPr>
            <w:r>
              <w:rPr>
                <w:b/>
                <w:szCs w:val="18"/>
              </w:rPr>
              <w:t>Monitoramento dos Serviços</w:t>
            </w:r>
            <w:r>
              <w:rPr>
                <w:szCs w:val="18"/>
              </w:rPr>
              <w:t>. O pessoal de segurança da Microsoft verifica os logs, pelo menos, semestralmente, a fim de propor esforços de reparação, se necessário.</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Gerenciamento da Continuidade dos Negócios</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A Microsoft mantém planos de emergência e de contingência para as instalações onde se localizam os sistemas de informação da Microsoft que processam os Dados de Serviços Profissionais.</w:t>
            </w:r>
          </w:p>
          <w:p w14:paraId="05A3F025" w14:textId="2642E883" w:rsidR="00625EEA" w:rsidRPr="00655B2A" w:rsidRDefault="00625EEA" w:rsidP="00B93772">
            <w:pPr>
              <w:pStyle w:val="ProductList-Body"/>
              <w:ind w:left="162" w:hanging="162"/>
              <w:rPr>
                <w:szCs w:val="18"/>
              </w:rPr>
            </w:pPr>
            <w:r>
              <w:rPr>
                <w:szCs w:val="18"/>
              </w:rPr>
              <w:t>-</w:t>
            </w:r>
            <w:r>
              <w:rPr>
                <w:szCs w:val="18"/>
              </w:rPr>
              <w:tab/>
              <w:t>O armazenamento redundante da Microsoft e seus procedimentos para recuperação de dados destinam-se a tentar reconstruir os Dados de Serviços Profissionais ao estado original ou da última replicação antes da perda ou da destruição.</w:t>
            </w:r>
          </w:p>
        </w:tc>
      </w:tr>
    </w:tbl>
    <w:p w14:paraId="2B50C607" w14:textId="77777777" w:rsidR="00625EEA" w:rsidRPr="009A6C8D" w:rsidRDefault="00625EEA" w:rsidP="00625EEA">
      <w:pPr>
        <w:pStyle w:val="ProductList-Body"/>
      </w:pPr>
    </w:p>
    <w:p w14:paraId="72443501" w14:textId="77777777" w:rsidR="00625EEA" w:rsidRPr="009A6C8D" w:rsidRDefault="00625EEA" w:rsidP="00396E17">
      <w:pPr>
        <w:pStyle w:val="ProductList-SectionHeading"/>
        <w:pageBreakBefore/>
        <w:outlineLvl w:val="0"/>
      </w:pPr>
      <w:bookmarkStart w:id="74" w:name="Attachment3"/>
      <w:bookmarkStart w:id="75" w:name="_Toc489605628"/>
      <w:bookmarkStart w:id="76" w:name="_Toc31830100"/>
      <w:r>
        <w:lastRenderedPageBreak/>
        <w:t>Anexo 1 – As Cláusulas Contratuais Padrão (Processadores)</w:t>
      </w:r>
      <w:bookmarkEnd w:id="74"/>
      <w:bookmarkEnd w:id="75"/>
      <w:r>
        <w:t xml:space="preserve"> para os Serviços de Suporte e Consultoria</w:t>
      </w:r>
      <w:bookmarkEnd w:id="76"/>
    </w:p>
    <w:p w14:paraId="3DB24DA4" w14:textId="1080B2BA" w:rsidR="00625EEA" w:rsidRPr="009A6C8D" w:rsidRDefault="00625EEA" w:rsidP="00625EEA">
      <w:pPr>
        <w:pStyle w:val="ProductList-Body"/>
      </w:pPr>
      <w:r>
        <w:t>A assinatura de uma declaração de serviços pelo Cliente inclui a assinatura deste Anexo 1, que é assinado pela Microsoft Corporation. Para recusar as “Cláusulas Contratuais Padrão”, o Cliente deverá enviar as seguintes informações à Microsoft em uma notificação por escrito (de acordo com os termos do Contrato do Cliente):</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a razão social completa do Cliente e de qualquer Afiliada que estiver recusando as cláusulas;</w:t>
      </w:r>
    </w:p>
    <w:p w14:paraId="0C64AC6D" w14:textId="77777777" w:rsidR="00625EEA" w:rsidRPr="009A6C8D" w:rsidRDefault="00625EEA" w:rsidP="00625EEA">
      <w:pPr>
        <w:pStyle w:val="ProductList-Body"/>
      </w:pPr>
      <w:r>
        <w:t>•</w:t>
      </w:r>
      <w:r>
        <w:tab/>
        <w:t>se o Cliente tiver vários Contratos, o Contrato ao qual a Recusa se aplicará e</w:t>
      </w:r>
    </w:p>
    <w:p w14:paraId="0D378D2B" w14:textId="77777777" w:rsidR="00625EEA" w:rsidRPr="009A6C8D" w:rsidRDefault="00625EEA" w:rsidP="00625EEA">
      <w:pPr>
        <w:pStyle w:val="ProductList-Body"/>
      </w:pPr>
      <w:r>
        <w:t>•</w:t>
      </w:r>
      <w:r>
        <w:tab/>
        <w:t>uma declaração de que o Cliente (ou a Afiliada) recusa as Cláusulas Contratuais Padrão.</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Todas as referências a diversos artigos da Diretiva 95/46/EC nas Cláusulas Contratuais Padrão abaixo serão tratadas como referências aos Artigos pertinentes e apropriados no GDPR.</w:t>
      </w:r>
    </w:p>
    <w:p w14:paraId="6F1482DE" w14:textId="77777777" w:rsidR="00625EEA" w:rsidRPr="009A6C8D" w:rsidRDefault="00625EEA" w:rsidP="00625EEA">
      <w:pPr>
        <w:pStyle w:val="ProductList-Body"/>
      </w:pPr>
    </w:p>
    <w:p w14:paraId="00ED7411" w14:textId="77777777" w:rsidR="00625EEA" w:rsidRPr="009A6C8D" w:rsidRDefault="00625EEA" w:rsidP="008A11FF">
      <w:pPr>
        <w:pStyle w:val="ProductList-Body"/>
        <w:ind w:right="144"/>
      </w:pPr>
      <w: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Cláusula 1: Definições</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20E39FD2" w14:textId="77777777" w:rsidR="00625EEA" w:rsidRPr="009A6C8D" w:rsidRDefault="00625EEA" w:rsidP="00625EEA">
      <w:pPr>
        <w:pStyle w:val="ProductList-Body"/>
        <w:spacing w:after="120"/>
      </w:pPr>
      <w:r>
        <w:t xml:space="preserve">(b) “exportador de dados” significa o controlador que transfere os dados pessoais; </w:t>
      </w:r>
    </w:p>
    <w:p w14:paraId="57770458" w14:textId="77777777" w:rsidR="00625EEA" w:rsidRPr="009A6C8D" w:rsidRDefault="00625EEA" w:rsidP="00625EEA">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0BEE81A2" w14:textId="0E3D3E45" w:rsidR="00625EEA" w:rsidRPr="009A6C8D" w:rsidRDefault="00625EEA" w:rsidP="00625EEA">
      <w:pPr>
        <w:pStyle w:val="ProductList-Body"/>
        <w:spacing w:after="120"/>
      </w:pPr>
      <w:r>
        <w:t>(</w:t>
      </w:r>
      <w:r w:rsidR="00A348ED">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57EFD946" w14:textId="77777777" w:rsidR="00625EEA" w:rsidRPr="009A6C8D" w:rsidRDefault="00625EEA" w:rsidP="00625EEA">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276F3FD4" w14:textId="77777777" w:rsidR="00625EEA" w:rsidRPr="009A6C8D" w:rsidRDefault="00625EEA" w:rsidP="00625EEA">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Cláusula 2: Detalhes da transferência</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Os detalhes da transferência e em particular as categorias especiais de dados pessoais, onde aplicável, são especificadas no Apêndice 1 abaixo que constituem uma parte integral das Cláusulas.</w:t>
      </w:r>
    </w:p>
    <w:p w14:paraId="4C7FA73F" w14:textId="77777777" w:rsidR="00625EEA" w:rsidRPr="009A6C8D" w:rsidRDefault="00625EEA" w:rsidP="00625EEA">
      <w:pPr>
        <w:pStyle w:val="ProductList-Body"/>
      </w:pPr>
    </w:p>
    <w:p w14:paraId="583FF3C7" w14:textId="77777777" w:rsidR="00625EEA" w:rsidRPr="009A6C8D" w:rsidRDefault="00625EEA" w:rsidP="00396E17">
      <w:pPr>
        <w:pStyle w:val="ProductList-Body"/>
        <w:keepNext/>
        <w:keepLines/>
        <w:jc w:val="center"/>
        <w:outlineLvl w:val="1"/>
      </w:pPr>
      <w:r>
        <w:rPr>
          <w:b/>
        </w:rPr>
        <w:lastRenderedPageBreak/>
        <w:t>Cláusula 3: Cláusula de terceiro beneficiário</w:t>
      </w:r>
    </w:p>
    <w:p w14:paraId="2877F59B" w14:textId="77777777" w:rsidR="00625EEA" w:rsidRPr="009A6C8D" w:rsidRDefault="00625EEA" w:rsidP="00396E17">
      <w:pPr>
        <w:pStyle w:val="ProductList-Body"/>
        <w:keepNext/>
        <w:keepLines/>
      </w:pPr>
    </w:p>
    <w:p w14:paraId="1D160CC2" w14:textId="77777777" w:rsidR="00625EEA" w:rsidRPr="009A6C8D" w:rsidRDefault="00625EEA" w:rsidP="00396E17">
      <w:pPr>
        <w:pStyle w:val="ProductList-Body"/>
        <w:keepNext/>
        <w:keepLines/>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71F432F5" w14:textId="77777777" w:rsidR="00625EEA" w:rsidRPr="009A6C8D" w:rsidRDefault="00625EEA" w:rsidP="00625EEA">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w:t>
      </w:r>
    </w:p>
    <w:p w14:paraId="4053E1F5" w14:textId="77777777" w:rsidR="00625EEA" w:rsidRPr="009A6C8D" w:rsidRDefault="00625EEA" w:rsidP="00625EEA">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 processamento de acordo com as Cláusulas. </w:t>
      </w:r>
    </w:p>
    <w:p w14:paraId="6D103EB4" w14:textId="77777777" w:rsidR="00625EEA" w:rsidRPr="009A6C8D" w:rsidRDefault="00625EEA" w:rsidP="00625EEA">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Cláusula 4: Obrigações do exportador de dados</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O exportador de dados concorda e garante: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46B32FB0" w14:textId="77777777" w:rsidR="00625EEA" w:rsidRPr="009A6C8D" w:rsidRDefault="00625EEA" w:rsidP="00625EEA">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63393E17" w14:textId="77777777" w:rsidR="00625EEA" w:rsidRPr="009A6C8D" w:rsidRDefault="00625EEA" w:rsidP="00625EEA">
      <w:pPr>
        <w:pStyle w:val="ProductList-Body"/>
        <w:spacing w:after="120"/>
      </w:pPr>
      <w:r>
        <w:t xml:space="preserve">(c) que o importador de dados fornecerá garantias suficientes em relação às medidas de segurança técnicas e organizacionais especificadas no Apêndice 2 abaixo; </w:t>
      </w:r>
    </w:p>
    <w:p w14:paraId="260FD951" w14:textId="77777777" w:rsidR="00625EEA" w:rsidRPr="009A6C8D" w:rsidRDefault="00625EEA" w:rsidP="00625EEA">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4910AD8D" w14:textId="77777777" w:rsidR="00625EEA" w:rsidRPr="009A6C8D" w:rsidRDefault="00625EEA" w:rsidP="00625EEA">
      <w:pPr>
        <w:pStyle w:val="ProductList-Body"/>
        <w:spacing w:after="120"/>
      </w:pPr>
      <w:r>
        <w:t xml:space="preserve">(e) que garantirá a conformidade com as medidas de segurança; </w:t>
      </w:r>
    </w:p>
    <w:p w14:paraId="1FDECBBF" w14:textId="77777777" w:rsidR="00625EEA" w:rsidRPr="009A6C8D" w:rsidRDefault="00625EEA" w:rsidP="00625EEA">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413B29D7" w14:textId="77777777" w:rsidR="00625EEA" w:rsidRPr="009A6C8D" w:rsidRDefault="00625EEA" w:rsidP="00625EEA">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15C0F393" w14:textId="77777777" w:rsidR="00625EEA" w:rsidRPr="009A6C8D" w:rsidRDefault="00625EEA" w:rsidP="00625EEA">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264D1968" w14:textId="77777777" w:rsidR="00625EEA" w:rsidRPr="009A6C8D" w:rsidRDefault="00625EEA" w:rsidP="00625EEA">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6D47DCC" w14:textId="77777777" w:rsidR="00625EEA" w:rsidRPr="009A6C8D" w:rsidRDefault="00625EEA" w:rsidP="00625EEA">
      <w:pPr>
        <w:pStyle w:val="ProductList-Body"/>
      </w:pPr>
      <w:r>
        <w:t>(j) que garantirá a conformidade com as Cláusulas 4(a) até (i).</w:t>
      </w:r>
    </w:p>
    <w:p w14:paraId="5275DFC4" w14:textId="77777777" w:rsidR="00625EEA" w:rsidRPr="009A6C8D" w:rsidRDefault="00625EEA" w:rsidP="00625EEA">
      <w:pPr>
        <w:pStyle w:val="ProductList-Body"/>
      </w:pPr>
    </w:p>
    <w:p w14:paraId="0F164CAE" w14:textId="77777777" w:rsidR="00625EEA" w:rsidRPr="009A6C8D" w:rsidRDefault="00625EEA" w:rsidP="00962A34">
      <w:pPr>
        <w:pStyle w:val="ProductList-Body"/>
        <w:keepNext/>
        <w:keepLines/>
        <w:jc w:val="center"/>
        <w:outlineLvl w:val="1"/>
      </w:pPr>
      <w:r>
        <w:rPr>
          <w:b/>
        </w:rPr>
        <w:lastRenderedPageBreak/>
        <w:t>Cláusula 5: Obrigações do importador de dados</w:t>
      </w:r>
    </w:p>
    <w:p w14:paraId="658866F5" w14:textId="77777777" w:rsidR="00625EEA" w:rsidRPr="009A6C8D" w:rsidRDefault="00625EEA" w:rsidP="00962A34">
      <w:pPr>
        <w:pStyle w:val="ProductList-Body"/>
        <w:keepNext/>
        <w:keepLines/>
      </w:pPr>
    </w:p>
    <w:p w14:paraId="3CE2A43D" w14:textId="77777777" w:rsidR="00625EEA" w:rsidRPr="009A6C8D" w:rsidRDefault="00625EEA" w:rsidP="00962A34">
      <w:pPr>
        <w:pStyle w:val="ProductList-Body"/>
        <w:keepNext/>
        <w:keepLines/>
      </w:pPr>
      <w:r>
        <w:t xml:space="preserve">O importador de dados concorda e garante: </w:t>
      </w:r>
    </w:p>
    <w:p w14:paraId="5DC38CD4" w14:textId="77777777" w:rsidR="00625EEA" w:rsidRPr="009A6C8D" w:rsidRDefault="00625EEA" w:rsidP="00962A34">
      <w:pPr>
        <w:pStyle w:val="ProductList-Body"/>
        <w:keepNext/>
        <w:keepLines/>
      </w:pPr>
    </w:p>
    <w:p w14:paraId="31FE8499" w14:textId="77777777" w:rsidR="00625EEA" w:rsidRPr="009A6C8D" w:rsidRDefault="00625EEA" w:rsidP="00625EEA">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0C31A46C" w14:textId="77777777" w:rsidR="00625EEA" w:rsidRPr="009A6C8D" w:rsidRDefault="00625EEA" w:rsidP="00625EEA">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77D779B" w14:textId="77777777" w:rsidR="00625EEA" w:rsidRPr="009A6C8D" w:rsidRDefault="00625EEA" w:rsidP="00625EEA">
      <w:pPr>
        <w:pStyle w:val="ProductList-Body"/>
        <w:spacing w:after="120"/>
      </w:pPr>
      <w:r>
        <w:t xml:space="preserve">(c) que ele implementou as medidas de segurança técnicas e organizacionais especificadas no Apêndice 2 abaixo antes de processar os dados pessoais transferidos; </w:t>
      </w:r>
    </w:p>
    <w:p w14:paraId="5362743C" w14:textId="77777777" w:rsidR="00625EEA" w:rsidRPr="009A6C8D" w:rsidRDefault="00625EEA" w:rsidP="00625EEA">
      <w:pPr>
        <w:pStyle w:val="ProductList-Body"/>
      </w:pPr>
      <w:r>
        <w:t xml:space="preserve">(d) que ele notificará imediatamente o exportador de dados sobre: </w:t>
      </w:r>
    </w:p>
    <w:p w14:paraId="03121677" w14:textId="77777777" w:rsidR="00625EEA" w:rsidRPr="009A6C8D" w:rsidRDefault="00625EEA" w:rsidP="00625EEA">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67F47F96" w14:textId="77777777" w:rsidR="00625EEA" w:rsidRPr="009A6C8D" w:rsidRDefault="00625EEA" w:rsidP="00625EEA">
      <w:pPr>
        <w:pStyle w:val="ProductList-Body"/>
        <w:spacing w:after="60"/>
        <w:ind w:left="360"/>
      </w:pPr>
      <w:r>
        <w:t xml:space="preserve">(ii) qualquer acesso acidental ou não autorizado e </w:t>
      </w:r>
    </w:p>
    <w:p w14:paraId="29CF8BB7" w14:textId="77777777" w:rsidR="00625EEA" w:rsidRPr="009A6C8D" w:rsidRDefault="00625EEA" w:rsidP="00625EEA">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1A2FBD61" w14:textId="77777777" w:rsidR="00625EEA" w:rsidRPr="009A6C8D" w:rsidRDefault="00625EEA" w:rsidP="00625EEA">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3480FA2C" w14:textId="77777777" w:rsidR="00625EEA" w:rsidRPr="009A6C8D" w:rsidRDefault="00625EEA" w:rsidP="00625EEA">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530A2BD8" w14:textId="77777777" w:rsidR="00625EEA" w:rsidRPr="009A6C8D" w:rsidRDefault="00625EEA" w:rsidP="00625EEA">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4840F0B5" w14:textId="77777777" w:rsidR="00625EEA" w:rsidRPr="009A6C8D" w:rsidRDefault="00625EEA" w:rsidP="00625EEA">
      <w:pPr>
        <w:pStyle w:val="ProductList-Body"/>
        <w:spacing w:after="120"/>
      </w:pPr>
      <w:r>
        <w:t xml:space="preserve">(h) que, no caso de subprocessamento, ele informou previamente o exportador de dados e obteve sua autorização prévia por escrito; </w:t>
      </w:r>
    </w:p>
    <w:p w14:paraId="7E5F3787" w14:textId="77777777" w:rsidR="00625EEA" w:rsidRPr="009A6C8D" w:rsidRDefault="00625EEA" w:rsidP="00625EEA">
      <w:pPr>
        <w:pStyle w:val="ProductList-Body"/>
        <w:spacing w:after="120"/>
      </w:pPr>
      <w:r>
        <w:t>(i) que os serviços de processamento pelo subprocessador serão realizados de acordo com a Cláusula 11 e</w:t>
      </w:r>
    </w:p>
    <w:p w14:paraId="25E225D7" w14:textId="77777777" w:rsidR="00625EEA" w:rsidRPr="009A6C8D" w:rsidRDefault="00625EEA" w:rsidP="00625EEA">
      <w:pPr>
        <w:pStyle w:val="ProductList-Body"/>
      </w:pPr>
      <w:r>
        <w:t>(j) enviar imediatamente ao exportador de dados uma cópia de qualquer contrato do subprocessador indicando as conclusões.</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Cláusula 6: Responsabilidade</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5A84E878" w14:textId="77777777" w:rsidR="00625EEA" w:rsidRPr="009A6C8D" w:rsidRDefault="00625EEA" w:rsidP="00625EEA">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37D72CDE" w14:textId="77777777" w:rsidR="00625EEA" w:rsidRPr="009A6C8D" w:rsidRDefault="00625EEA" w:rsidP="00625EEA">
      <w:pPr>
        <w:pStyle w:val="ProductList-Body"/>
        <w:spacing w:after="120"/>
      </w:pPr>
      <w:r>
        <w:t xml:space="preserve">O importador de dados não pode se basear em uma violação por um subprocessador de suas obrigações a fim de evitar suas próprias responsabilidades. </w:t>
      </w:r>
    </w:p>
    <w:p w14:paraId="54E1225B" w14:textId="77777777" w:rsidR="00625EEA" w:rsidRPr="009A6C8D" w:rsidRDefault="00625EEA" w:rsidP="00625EEA">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w:t>
      </w:r>
      <w:r>
        <w:lastRenderedPageBreak/>
        <w:t xml:space="preserve">por contrato ou pela operação da lei, caso em que o titular dos dados pode impor seus direitos contra a referida entidade. A responsabilidade do subprocessador deverá se limitar às suas próprias operações de processamento de acordo com as Cláusulas. </w:t>
      </w:r>
    </w:p>
    <w:p w14:paraId="5BEFD180" w14:textId="77777777" w:rsidR="00625EEA" w:rsidRPr="009A6C8D" w:rsidRDefault="00625EEA" w:rsidP="00625EEA">
      <w:pPr>
        <w:pStyle w:val="ProductList-Body"/>
      </w:pPr>
    </w:p>
    <w:p w14:paraId="1A45108A" w14:textId="77777777" w:rsidR="00625EEA" w:rsidRPr="009A6C8D" w:rsidRDefault="00625EEA" w:rsidP="00396E17">
      <w:pPr>
        <w:pStyle w:val="ProductList-Body"/>
        <w:keepNext/>
        <w:keepLines/>
        <w:jc w:val="center"/>
        <w:outlineLvl w:val="1"/>
      </w:pPr>
      <w:r>
        <w:rPr>
          <w:b/>
        </w:rPr>
        <w:t>Cláusula 7: Mediação e jurisdição</w:t>
      </w:r>
    </w:p>
    <w:p w14:paraId="66984D54" w14:textId="77777777" w:rsidR="00625EEA" w:rsidRPr="009A6C8D" w:rsidRDefault="00625EEA" w:rsidP="00396E17">
      <w:pPr>
        <w:pStyle w:val="ProductList-Body"/>
        <w:keepNext/>
        <w:keepLines/>
      </w:pPr>
    </w:p>
    <w:p w14:paraId="7BDB8F7D" w14:textId="77777777" w:rsidR="00625EEA" w:rsidRPr="009A6C8D" w:rsidRDefault="00625EEA" w:rsidP="00396E17">
      <w:pPr>
        <w:pStyle w:val="ProductList-Body"/>
        <w:keepNext/>
        <w:keepLines/>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311CB7E8" w14:textId="77777777" w:rsidR="00625EEA" w:rsidRPr="009A6C8D" w:rsidRDefault="00625EEA" w:rsidP="00625EEA">
      <w:pPr>
        <w:pStyle w:val="ProductList-Body"/>
        <w:spacing w:after="60"/>
        <w:ind w:left="360"/>
      </w:pPr>
      <w:r>
        <w:t xml:space="preserve">(a) enviar a disputa para mediação, por uma pessoa independente ou, onde aplicável, pela autoridade de supervisão; </w:t>
      </w:r>
    </w:p>
    <w:p w14:paraId="35C7FEBF" w14:textId="77777777" w:rsidR="00625EEA" w:rsidRPr="009A6C8D" w:rsidRDefault="00625EEA" w:rsidP="00625EEA">
      <w:pPr>
        <w:pStyle w:val="ProductList-Body"/>
        <w:spacing w:after="120"/>
        <w:ind w:left="360"/>
      </w:pPr>
      <w:r>
        <w:t xml:space="preserve">(b) enviar a disputa aos tribunais no Estado Membro no qual o exportador de dados está sediado. </w:t>
      </w:r>
    </w:p>
    <w:p w14:paraId="5484B975" w14:textId="77777777" w:rsidR="00625EEA" w:rsidRPr="009A6C8D" w:rsidRDefault="00625EEA" w:rsidP="00625EEA">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Cláusula 8: Cooperação com autoridades de supervisão</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08CBEE34" w14:textId="77777777" w:rsidR="00625EEA" w:rsidRPr="009A6C8D" w:rsidRDefault="00625EEA" w:rsidP="00625EEA">
      <w:pPr>
        <w:pStyle w:val="ProductList-Body"/>
        <w:spacing w:after="120"/>
      </w:pPr>
      <w:r>
        <w:t xml:space="preserve">2. As partes concordam que a autoridade de supervisão tem o direito de realizar uma auditoria do importador de dados e de qualquer subprocessador que tenha o mesmo escopo e que esteja sujeito às mesmas condições aplicáveis a uma auditoria do exportador de dados de acordo com a lei de proteção de dados aplicável. </w:t>
      </w:r>
    </w:p>
    <w:p w14:paraId="127E0574" w14:textId="77777777" w:rsidR="00625EEA" w:rsidRPr="009A6C8D" w:rsidRDefault="00625EEA" w:rsidP="00625EEA">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Cláusula 9: Lei Regente</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As Cláusulas deverão ser regidas pela lei do Estado Membro no qual o exportador de dados está sediado.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Cláusula 10: Variação do contrato</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Cláusula 11: Subprocessamento</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9C4C0B0" w14:textId="77777777" w:rsidR="00625EEA" w:rsidRPr="009A6C8D" w:rsidRDefault="00625EEA" w:rsidP="00625EEA">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7C20E1CC" w14:textId="77777777" w:rsidR="00625EEA" w:rsidRPr="009A6C8D" w:rsidRDefault="00625EEA" w:rsidP="00625EEA">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1483425A" w14:textId="77777777" w:rsidR="00625EEA" w:rsidRPr="009A6C8D" w:rsidRDefault="00625EEA" w:rsidP="00625EEA">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0A953843" w14:textId="77777777" w:rsidR="00625EEA" w:rsidRPr="009A6C8D" w:rsidRDefault="00625EEA" w:rsidP="00625EEA">
      <w:pPr>
        <w:pStyle w:val="ProductList-Body"/>
      </w:pPr>
    </w:p>
    <w:p w14:paraId="199C1358" w14:textId="77777777" w:rsidR="00625EEA" w:rsidRPr="009A6C8D" w:rsidRDefault="00625EEA" w:rsidP="00962A34">
      <w:pPr>
        <w:pStyle w:val="ProductList-Body"/>
        <w:keepNext/>
        <w:keepLines/>
        <w:jc w:val="center"/>
        <w:outlineLvl w:val="1"/>
      </w:pPr>
      <w:r>
        <w:rPr>
          <w:b/>
        </w:rPr>
        <w:lastRenderedPageBreak/>
        <w:t>Cláusula 12: Obrigação depois do término dos serviços de processamento de dados pessoais</w:t>
      </w:r>
    </w:p>
    <w:p w14:paraId="139EE8DE" w14:textId="77777777" w:rsidR="00625EEA" w:rsidRPr="009A6C8D" w:rsidRDefault="00625EEA" w:rsidP="00962A34">
      <w:pPr>
        <w:pStyle w:val="ProductList-Body"/>
        <w:keepNext/>
        <w:keepLines/>
      </w:pPr>
    </w:p>
    <w:p w14:paraId="52585494" w14:textId="77777777" w:rsidR="00625EEA" w:rsidRPr="009A6C8D" w:rsidRDefault="00625EEA" w:rsidP="00625EEA">
      <w:pPr>
        <w:pStyle w:val="ProductList-Body"/>
        <w:spacing w:after="120"/>
      </w:pPr>
      <w:r>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1B199FE" w14:textId="77777777" w:rsidR="00625EEA" w:rsidRPr="009A6C8D" w:rsidRDefault="00625EEA" w:rsidP="00625EEA">
      <w:pPr>
        <w:pStyle w:val="ProductList-Body"/>
      </w:pPr>
      <w:r>
        <w:t>2. O importador de dados e o subprocessador garantem que, mediante solicitação do importador de dados e/ou da autoridade de supervisão, eles enviarão suas instalações de processamento de dados para uma auditoria das medidas mencionadas no parágrafo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Apêndice 1 para as Cláusulas Contratuais Padrão</w:t>
      </w:r>
      <w:bookmarkEnd w:id="77"/>
      <w:r>
        <w:rPr>
          <w:rFonts w:cstheme="minorHAnsi"/>
          <w:b/>
          <w:szCs w:val="18"/>
        </w:rPr>
        <w:t xml:space="preserve"> para os Serviços Profissionais</w:t>
      </w:r>
    </w:p>
    <w:p w14:paraId="01B33490" w14:textId="77777777" w:rsidR="00625EEA" w:rsidRPr="009A6C8D" w:rsidRDefault="00625EEA" w:rsidP="00625EEA">
      <w:pPr>
        <w:pStyle w:val="ProductList-Body"/>
      </w:pPr>
    </w:p>
    <w:p w14:paraId="52F42C16" w14:textId="323017AC" w:rsidR="00625EEA" w:rsidRPr="009A6C8D" w:rsidRDefault="00625EEA" w:rsidP="00625EEA">
      <w:pPr>
        <w:pStyle w:val="ProductList-Body"/>
        <w:spacing w:after="120"/>
      </w:pPr>
      <w:r>
        <w:rPr>
          <w:rFonts w:cstheme="minorHAnsi"/>
          <w:b/>
          <w:szCs w:val="18"/>
        </w:rPr>
        <w:t>Exportador de dados</w:t>
      </w:r>
      <w:r>
        <w:rPr>
          <w:rFonts w:cstheme="minorHAnsi"/>
          <w:szCs w:val="18"/>
        </w:rPr>
        <w:t>: O Cliente é o exportador de dados. O exportador de dados está obtendo suporte profissional de TI e serviços de consultoria conforme descrito na Ordem de Serviço do Enterprise Services aplicável.</w:t>
      </w:r>
      <w:r w:rsidR="00396E17">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Importador de dados:</w:t>
      </w:r>
      <w:r>
        <w:rPr>
          <w:rFonts w:cstheme="minorHAnsi"/>
          <w:szCs w:val="18"/>
        </w:rPr>
        <w:t xml:space="preserve"> O importador de dados é a MICROSOFT CORPORATION, uma produtora global de software e serviços. </w:t>
      </w:r>
    </w:p>
    <w:p w14:paraId="0D781393" w14:textId="25B998A3" w:rsidR="007B1CBC" w:rsidRPr="009A6C8D" w:rsidRDefault="00625EEA" w:rsidP="007B1CBC">
      <w:pPr>
        <w:spacing w:after="139"/>
        <w:ind w:left="-5" w:right="7"/>
      </w:pPr>
      <w:r>
        <w:rPr>
          <w:rFonts w:cstheme="minorHAnsi"/>
          <w:b/>
          <w:sz w:val="18"/>
          <w:szCs w:val="18"/>
        </w:rPr>
        <w:t>Titulares dos dados</w:t>
      </w:r>
      <w:r>
        <w:rPr>
          <w:rFonts w:cstheme="minorHAnsi"/>
          <w:sz w:val="18"/>
          <w:szCs w:val="18"/>
        </w:rPr>
        <w:t xml:space="preserve">: 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A Microsoft reconhece que, dependendo do uso que o Cliente fizer do Serviço Online, o Cliente poderá optar por incluir dados pessoais de qualquer um dos seguintes tipos de titulares de dados nos Dados de Serviços Profissionais: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Funcionários, prestadores de serviços e trabalhadores temporários (atuais, antigos, em potencial) do exportador de dados;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Dependentes dos indivíduos acima;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Colaboradores/pessoas de contato do exportador de dados (indivíduos) ou funcionários, prestadores de serviços ou trabalhadores temporários de colaboradores/pessoas de contato da pessoa jurídica (atuais, em potencial, antigos);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Usuários (por exemplo, clientes, pacientes, visitantes, etc.) e outros titulares de dados que sejam usuários dos serviços do exportador de dados;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Parceiros, partes interessadas ou indivíduos que colaboram ativamente, se comunicam ou interagem de outra forma com funcionários do exportador de dados e/ou usam ferramentas de comunicação, como aplicativos e sites fornecidos pelo exportador de dados;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Partes interessadas ou indivíduos que interagem passivamente com o exportador de dados (por exemplo, porque estão sujeitos a uma investigação, uma pesquisa ou são mencionados em documentos ou correspondência de ou para o exportador de dados);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Menores ou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Profissionais com privilégios profissionais (por exemplo, médicos, advogados, tabeliães, trabalhadores religiosos, etc.). </w:t>
      </w:r>
    </w:p>
    <w:p w14:paraId="3D0667EC" w14:textId="77777777" w:rsidR="007B3E05" w:rsidRPr="009A6C8D" w:rsidRDefault="007B3E05" w:rsidP="007B1CBC">
      <w:pPr>
        <w:spacing w:after="18" w:line="257" w:lineRule="auto"/>
        <w:ind w:left="10"/>
      </w:pPr>
    </w:p>
    <w:p w14:paraId="1AF6AAE6" w14:textId="76888E1B" w:rsidR="007B1CBC" w:rsidRPr="009A6C8D" w:rsidRDefault="00625EEA" w:rsidP="006A3D1E">
      <w:pPr>
        <w:spacing w:after="18" w:line="257" w:lineRule="auto"/>
        <w:ind w:left="10"/>
      </w:pPr>
      <w:r>
        <w:rPr>
          <w:rFonts w:cstheme="minorHAnsi"/>
          <w:b/>
          <w:sz w:val="18"/>
          <w:szCs w:val="18"/>
        </w:rPr>
        <w:t>Categorias de dados</w:t>
      </w:r>
      <w:r>
        <w:rPr>
          <w:rFonts w:cstheme="minorHAnsi"/>
          <w:sz w:val="18"/>
          <w:szCs w:val="18"/>
        </w:rPr>
        <w:t xml:space="preserve">: Os dados pessoais transferidos que estão incluídos em email, documentos e outros dados em um formato eletrônico </w:t>
      </w:r>
      <w:r w:rsidR="007B1CBC">
        <w:rPr>
          <w:rFonts w:cstheme="minorHAnsi"/>
          <w:sz w:val="18"/>
          <w:szCs w:val="18"/>
        </w:rPr>
        <w:t>no contexto dos Serviços Online.</w:t>
      </w:r>
      <w:r w:rsidR="00396E17">
        <w:rPr>
          <w:rFonts w:cstheme="minorHAnsi"/>
          <w:sz w:val="18"/>
          <w:szCs w:val="18"/>
        </w:rPr>
        <w:t xml:space="preserve"> </w:t>
      </w:r>
      <w:r w:rsidR="007B1CBC">
        <w:rPr>
          <w:rFonts w:cstheme="minorHAnsi"/>
          <w:color w:val="212121"/>
          <w:sz w:val="18"/>
          <w:szCs w:val="18"/>
        </w:rPr>
        <w:t xml:space="preserve">A Microsoft reconhece que, dependendo do uso que o Cliente fizer do Serviço Online, o Cliente poderá optar por incluir dados pessoais de qualquer uma das seguintes categorias nos Dados de Serviços Profissionais: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pessoais básicos (por exemplo, local de nascimento, nome da rua e número da casa (endereço), CEP, cidade de residência, país de residência, número do telefone celular, nome, sobrenome, iniciais, endereço de email, sexo, data de nascimento), incluindo dados pessoais básicos sobre os familiares e filhos;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de autenticação (por exemplo, nome do usuário, senha ou código PIN, pergunta de segurança, trilha de auditoria);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Informações de contato (por exemplo, endereços, email, números de telefone, identificadores de mídias sociais; detalhes do contato de emergência);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Números de identificação exclusiva e assinaturas (por exemplo, número da Seguridade Social, número da conta bancária, número da carteira de identidade e do passaporte, número da CNH e dados de registro do cliente, endereços IP, número do funcionário, número do aluno, número do paciente, assinatura, identificador exclusivo em cookies de rastreamento ou tecnologia semelhante); </w:t>
      </w:r>
    </w:p>
    <w:p w14:paraId="56826BF1" w14:textId="2DC83ADC" w:rsidR="007B1CBC" w:rsidRPr="009A6C8D" w:rsidRDefault="007B1CBC" w:rsidP="007B1CBC">
      <w:pPr>
        <w:numPr>
          <w:ilvl w:val="1"/>
          <w:numId w:val="11"/>
        </w:numPr>
        <w:spacing w:after="18" w:line="257" w:lineRule="auto"/>
        <w:ind w:hanging="360"/>
      </w:pPr>
      <w:r>
        <w:rPr>
          <w:rFonts w:cstheme="minorHAnsi"/>
          <w:color w:val="212121"/>
          <w:sz w:val="18"/>
          <w:szCs w:val="18"/>
        </w:rPr>
        <w:t>Identificadores sob pseudônimo;</w:t>
      </w:r>
      <w:r w:rsidR="00396E17">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Informações financeiras e de seguro (por exemplo, número do seguro, nome e número da conta bancária, nome e número do cartão de crédito, número da fatura, renda, tipo de garantia, comportamento de pagamento, credibilidade);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Informações comerciais (por exemplo, histórico de compras, ofertas especiais, informações de assinatura, histórico de pagamentos);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Informações biométricas (por exemplo, DNA, impressões digitais e verificações da íris);</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Dados de local (por exemplo, ID da célula, dados de rede de geolocalização, local por chamada inicial/fim da chamada. Dados de local gerados pelo uso de pontos de acesso de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 xml:space="preserve">Fotos, vídeo e áudio;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Atividade de Internet (por exemplo, histórico de navegação, histórico de pesquisa, leitura, atividades de ouvir rádio e assistir à TV);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Identificação do dispositivo (por exemplo, número IMEI, número do cartão SIM, endereço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Criação de perfil (por exemplo, com base em perfis sob pseudônimo, comportamento antissocial ou criminal observados com base nos URLs visitados, fluxos de cliques, logs de navegação, endereços IP, domínios, aplicativos instalados ou perfis com base em preferências de marketing);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de RH e recrutamento (por exemplo, declaração de status de contratação, informações de recrutamento (como currículo, histórico de contratação, detalhes do histórico educacional), dados de trabalhos e cargos, incluindo horas trabalhadas, avaliações e salário, detalhes de licença de trabalho, disponibilidade, termos de contratação, detalhes fiscais, detalhes de pagamento, detalhes de seguro, local e organizações);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de formação (por exemplo, histórico educacional, formação atual, notas e resultados, o maior grau conquistado, deficiência de aprendizado); </w:t>
      </w:r>
    </w:p>
    <w:p w14:paraId="0D9814CD" w14:textId="4EFFAE00" w:rsidR="007B1CBC" w:rsidRPr="009A6C8D" w:rsidRDefault="007B1CBC" w:rsidP="007B1CBC">
      <w:pPr>
        <w:numPr>
          <w:ilvl w:val="1"/>
          <w:numId w:val="11"/>
        </w:numPr>
        <w:spacing w:after="18" w:line="257" w:lineRule="auto"/>
        <w:ind w:hanging="360"/>
      </w:pPr>
      <w:r>
        <w:rPr>
          <w:rFonts w:cstheme="minorHAnsi"/>
          <w:color w:val="212121"/>
          <w:sz w:val="18"/>
          <w:szCs w:val="18"/>
        </w:rPr>
        <w:t>Informações da cidadania e residência (por exemplo, cidadania, status de naturalização, estado civil, nacionalidade, status de imigração, dados do passaporte, detalhes da residência e licença de trabalho);</w:t>
      </w:r>
      <w:r w:rsidR="00396E17">
        <w:rPr>
          <w:rFonts w:cstheme="minorHAnsi"/>
          <w:color w:val="212121"/>
          <w:sz w:val="18"/>
          <w:szCs w:val="18"/>
        </w:rPr>
        <w:t xml:space="preserve"> </w:t>
      </w:r>
    </w:p>
    <w:p w14:paraId="1E62C468" w14:textId="72F30065" w:rsidR="007B1CBC" w:rsidRPr="009A6C8D" w:rsidRDefault="007B1CBC" w:rsidP="007B1CBC">
      <w:pPr>
        <w:numPr>
          <w:ilvl w:val="1"/>
          <w:numId w:val="11"/>
        </w:numPr>
        <w:spacing w:after="18" w:line="257" w:lineRule="auto"/>
        <w:ind w:hanging="360"/>
      </w:pPr>
      <w:r>
        <w:rPr>
          <w:rFonts w:cstheme="minorHAnsi"/>
          <w:color w:val="212121"/>
          <w:sz w:val="18"/>
          <w:szCs w:val="18"/>
        </w:rPr>
        <w:t>Informações processadas para o desempenho de uma tarefa realizada para o interesse público ou no exercício de uma autoridade oficial;</w:t>
      </w:r>
      <w:r w:rsidR="00396E17">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Categorias de dados especiais (por exemplo, origem racial ou étnica, opiniões políticas, crenças religiosas ou filosóficas, associação a sindicatos, dados genéticos, dados biométricos para a finalidade exclusiva de identificar um indivíduo, dados referentes a saúde, dados referentes à vida sexual ou à orientação sexual de um indivíduo ou dados relacionados a condenações criminais ou ofensas); </w:t>
      </w:r>
    </w:p>
    <w:p w14:paraId="3E7EAE86" w14:textId="4D0F799A" w:rsidR="00625EEA" w:rsidRPr="009A6C8D" w:rsidRDefault="00625EEA" w:rsidP="00F360A6">
      <w:pPr>
        <w:spacing w:after="120" w:line="257" w:lineRule="auto"/>
        <w:ind w:left="345"/>
      </w:pPr>
      <w:r>
        <w:rPr>
          <w:rFonts w:cstheme="minorHAnsi"/>
          <w:b/>
          <w:szCs w:val="18"/>
        </w:rPr>
        <w:t>Operações de processamento</w:t>
      </w:r>
      <w:r>
        <w:rPr>
          <w:rFonts w:cstheme="minorHAnsi"/>
          <w:szCs w:val="18"/>
        </w:rPr>
        <w:t xml:space="preserve">: Os dados pessoais transferidos estarão sujeitos às seguintes atividades básicas de processamento: </w:t>
      </w:r>
    </w:p>
    <w:p w14:paraId="1CFA10E4" w14:textId="4938BD32" w:rsidR="00625EEA" w:rsidRPr="009A6C8D" w:rsidRDefault="00625EEA" w:rsidP="00625EEA">
      <w:pPr>
        <w:pStyle w:val="ProductList-Body"/>
        <w:spacing w:after="60"/>
        <w:ind w:left="547"/>
      </w:pPr>
      <w:r>
        <w:rPr>
          <w:rFonts w:cstheme="minorHAnsi"/>
          <w:b/>
          <w:szCs w:val="18"/>
        </w:rPr>
        <w:t>a.</w:t>
      </w:r>
      <w:r>
        <w:rPr>
          <w:rFonts w:cstheme="minorHAnsi"/>
          <w:b/>
          <w:szCs w:val="18"/>
        </w:rPr>
        <w:tab/>
        <w:t>Duração e Objeto do Processamento de Dados.</w:t>
      </w:r>
      <w:r w:rsidR="00396E17">
        <w:rPr>
          <w:rFonts w:cstheme="minorHAnsi"/>
          <w:b/>
          <w:szCs w:val="18"/>
        </w:rPr>
        <w:t xml:space="preserve"> </w:t>
      </w:r>
      <w:r>
        <w:rPr>
          <w:rFonts w:cstheme="minorHAnsi"/>
          <w:szCs w:val="18"/>
        </w:rPr>
        <w:t>O processamento de dados deverá durar por todo o período designado no contrato de licenciamento por volume aplicável entre o exportador de dados e a entidade da Microsoft à qual essas Cláusulas Contratuais Padrão estão anexadas (“Microsoft”). O objeto do processamento de dados é o desempenho dos Serviços Profissionais.</w:t>
      </w:r>
    </w:p>
    <w:p w14:paraId="70CF7F40" w14:textId="1F8A10C5" w:rsidR="007B1CBC" w:rsidRPr="009A6C8D" w:rsidRDefault="00625EEA" w:rsidP="006A3D1E">
      <w:pPr>
        <w:pStyle w:val="ProductList-Body"/>
        <w:spacing w:after="60"/>
        <w:ind w:left="547"/>
      </w:pPr>
      <w:r>
        <w:rPr>
          <w:rFonts w:cstheme="minorHAnsi"/>
          <w:b/>
          <w:szCs w:val="18"/>
        </w:rPr>
        <w:t>b.</w:t>
      </w:r>
      <w:r>
        <w:rPr>
          <w:rFonts w:cstheme="minorHAnsi"/>
          <w:b/>
          <w:szCs w:val="18"/>
        </w:rPr>
        <w:tab/>
        <w:t>Escopo e Finalidade do Processamento de Dados.</w:t>
      </w:r>
      <w:r w:rsidR="00396E17">
        <w:rPr>
          <w:rFonts w:cstheme="minorHAnsi"/>
          <w:b/>
          <w:szCs w:val="18"/>
        </w:rPr>
        <w:t xml:space="preserve"> </w:t>
      </w:r>
      <w:r>
        <w:rPr>
          <w:rFonts w:cstheme="minorHAnsi"/>
          <w:szCs w:val="18"/>
        </w:rPr>
        <w:t>O escopo e a finalidade do processamento de dados pessoais estão descritos na seção “Processamento de Dados Pessoais; GDPR” deste DPA e no Contrato. O importador de dados opera uma rede global de data centers e instalações de gerenciamento/suporte, e o processamento pode ocorrer em qualquer jurisdição na qual o importador de dados ou seus subprocessadores operam suas instalações de acordo com a seção “Práticas e Políticas de Segurança” do DPA.</w:t>
      </w:r>
      <w:r w:rsidR="00396E17">
        <w:rPr>
          <w:rFonts w:cstheme="minorHAnsi"/>
          <w:szCs w:val="18"/>
        </w:rPr>
        <w:t xml:space="preserve"> </w:t>
      </w:r>
    </w:p>
    <w:p w14:paraId="3F5C0AF2" w14:textId="61B25E67" w:rsidR="00625EEA" w:rsidRPr="009A6C8D" w:rsidRDefault="00625EEA" w:rsidP="00625EEA">
      <w:pPr>
        <w:pStyle w:val="ProductList-Body"/>
        <w:spacing w:after="60"/>
        <w:ind w:left="547"/>
      </w:pPr>
      <w:r>
        <w:rPr>
          <w:rFonts w:cstheme="minorHAnsi"/>
          <w:b/>
          <w:szCs w:val="18"/>
        </w:rPr>
        <w:t>c.</w:t>
      </w:r>
      <w:r>
        <w:rPr>
          <w:rFonts w:cstheme="minorHAnsi"/>
          <w:b/>
          <w:szCs w:val="18"/>
        </w:rPr>
        <w:tab/>
        <w:t>Acesso aos Dados de Serviços Profissionais.</w:t>
      </w:r>
      <w:r w:rsidR="00396E17">
        <w:rPr>
          <w:rFonts w:cstheme="minorHAnsi"/>
          <w:b/>
          <w:szCs w:val="18"/>
        </w:rPr>
        <w:t xml:space="preserve"> </w:t>
      </w:r>
      <w:r>
        <w:rPr>
          <w:rFonts w:cstheme="minorHAnsi"/>
          <w:szCs w:val="18"/>
        </w:rPr>
        <w:t xml:space="preserve">Pelo prazo estabelecido nos termos do Contrato, a Microsoft, na sua eleição e conforme necessário, em conformidade com a lei aplicável de implementação do Artigo 12(b), da Diretiva de Proteção de Dados da União Europeia: (1) fornecer ao exportador de dados a capacidade de corrigir, excluir ou bloquear os Dados de Serviços Profissionais ou (2) fazer tais correções, exclusões ou bloqueios em seu nome.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Instruções do Exportador de Dados. </w:t>
      </w:r>
      <w:r>
        <w:rPr>
          <w:rFonts w:cstheme="minorHAnsi"/>
          <w:szCs w:val="18"/>
        </w:rPr>
        <w:t xml:space="preserve">Para os Serviços Profissionais, o importador de dados atuará somente conforme as instruções do exportador de dados conforme conduzidas pela Microsoft. </w:t>
      </w:r>
    </w:p>
    <w:p w14:paraId="6FC1379A" w14:textId="328A5043" w:rsidR="00625EEA" w:rsidRPr="009A6C8D" w:rsidRDefault="00625EEA" w:rsidP="00625EEA">
      <w:pPr>
        <w:pStyle w:val="ProductList-Body"/>
        <w:spacing w:after="60"/>
        <w:ind w:left="547"/>
      </w:pPr>
      <w:r>
        <w:rPr>
          <w:rFonts w:cstheme="minorHAnsi"/>
          <w:b/>
          <w:szCs w:val="18"/>
        </w:rPr>
        <w:t>e.</w:t>
      </w:r>
      <w:r>
        <w:rPr>
          <w:rFonts w:cstheme="minorHAnsi"/>
          <w:b/>
          <w:szCs w:val="18"/>
        </w:rPr>
        <w:tab/>
        <w:t>Exclusão de Dados de Serviços Profissionais.</w:t>
      </w:r>
      <w:r w:rsidR="00396E17">
        <w:rPr>
          <w:rFonts w:cstheme="minorHAnsi"/>
          <w:szCs w:val="18"/>
        </w:rPr>
        <w:t xml:space="preserve"> </w:t>
      </w:r>
      <w:r>
        <w:rPr>
          <w:rFonts w:cstheme="minorHAnsi"/>
          <w:szCs w:val="18"/>
        </w:rPr>
        <w:t xml:space="preserve">De acordo com o DPA, a Microsoft excluirá todas as cópias dos Dados de Serviços Profissionais após as finalidades comerciais para as quais foram coletados ou transferidos terem sido atendidas, ou antes, mediante solicitação por escrito do Cliente. </w:t>
      </w:r>
    </w:p>
    <w:p w14:paraId="627EF6A5" w14:textId="463E8DA9" w:rsidR="00625EEA" w:rsidRPr="009A6C8D" w:rsidRDefault="00625EEA" w:rsidP="00625EEA">
      <w:pPr>
        <w:pStyle w:val="ProductList-Body"/>
      </w:pPr>
      <w:r>
        <w:rPr>
          <w:rFonts w:cstheme="minorHAnsi"/>
          <w:b/>
          <w:szCs w:val="18"/>
        </w:rPr>
        <w:t xml:space="preserve">Subcontratados: </w:t>
      </w:r>
      <w:r>
        <w:rPr>
          <w:rFonts w:cstheme="minorHAnsi"/>
          <w:szCs w:val="18"/>
        </w:rPr>
        <w:t>De acordo com o DPA, o importador de dados poderá contratar outras empresas para prestar serviços limitados em nome do importador de dados. Os subcontratados poderão obter os Dados de Serviços Profissionais apenas para prestar serviços pelos quais foram contratados pelo importador de dados, e eles serão proibidos de usar os Dados de Serviços Profissionais para qualquer outra finalidade.</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Apêndice 2 para as Cláusulas Contratuais Padrão para os Serviços Profissionais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Descrição das medidas de segurança técnicas e organizacionais implementadas pelo importador de dados de acordo com as Cláusulas 4(d) e 5(c):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Equipe</w:t>
      </w:r>
      <w:r>
        <w:rPr>
          <w:rFonts w:cstheme="minorHAnsi"/>
          <w:szCs w:val="18"/>
        </w:rPr>
        <w:t xml:space="preserve">. A equipe do importador de dados não processará os Dados de Serviços Profissionais sem autorização. A equipe é obrigada a manter a confidencialidade de todos os Dados de Serviços Profissionais, e essa obrigação permanece mesmo após o término da contratação.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Contato de Privacidade de Dados</w:t>
      </w:r>
      <w:r>
        <w:rPr>
          <w:rFonts w:cstheme="minorHAnsi"/>
          <w:szCs w:val="18"/>
        </w:rPr>
        <w:t xml:space="preserve">. O oficial de privacidade de dados do importador de dados poderá ser contatado no seguinte endereço: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Diretor de Privacidade</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396E17">
      <w:pPr>
        <w:pStyle w:val="ProductList-Body"/>
        <w:keepNext/>
        <w:keepLines/>
        <w:spacing w:after="120"/>
      </w:pPr>
      <w:r>
        <w:rPr>
          <w:rFonts w:cstheme="minorHAnsi"/>
          <w:szCs w:val="18"/>
        </w:rPr>
        <w:lastRenderedPageBreak/>
        <w:t xml:space="preserve">3. </w:t>
      </w:r>
      <w:r>
        <w:rPr>
          <w:rFonts w:cstheme="minorHAnsi"/>
          <w:b/>
          <w:szCs w:val="18"/>
        </w:rPr>
        <w:t>Medidas Técnicas e Organizacionais</w:t>
      </w:r>
      <w:r>
        <w:rPr>
          <w:rFonts w:cstheme="minorHAnsi"/>
          <w:szCs w:val="18"/>
        </w:rPr>
        <w:t>. O importador de dados implementou e manterá as medidas técnicas e organizacionais apropriadas, os controles internos e as rotinas de segurança de informações para proteger os Dados de Serviços Profissionais, conforme definido na seção Políticas e Práticas de Segurança da Microsoft do DPA,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 DPA estão, por meio deste, incorporadas neste Apêndice 2 por esta referência e vinculam legalmente o importador de dados como se estivessem estabelecidas neste Apêndice 2 em sua totalidade.</w:t>
      </w:r>
    </w:p>
    <w:p w14:paraId="05425A9F" w14:textId="77777777" w:rsidR="00625EEA" w:rsidRPr="009A6C8D" w:rsidRDefault="00625EEA" w:rsidP="00625EEA">
      <w:pPr>
        <w:pStyle w:val="ProductList-Body"/>
      </w:pPr>
      <w:r w:rsidRPr="00FC17CA">
        <w:rPr>
          <w:rFonts w:cstheme="minorHAnsi"/>
          <w:b/>
          <w:szCs w:val="18"/>
        </w:rPr>
        <w:t>Assinando</w:t>
      </w:r>
      <w:r>
        <w:rPr>
          <w:rFonts w:cstheme="minorHAnsi"/>
          <w:b/>
          <w:szCs w:val="18"/>
        </w:rPr>
        <w:t xml:space="preserve"> as Cláusulas Contratuais Padrão para os Serviços Profissionais, Apêndice 1 e Apêndice 2 em nome do importador de dados:</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Vice-presidente Corporativo</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830101"/>
      <w:r>
        <w:lastRenderedPageBreak/>
        <w:t>Anexo 2 – Termos do Regulamento Geral de Proteção de Dados da União Europeia</w:t>
      </w:r>
      <w:bookmarkEnd w:id="78"/>
      <w:bookmarkEnd w:id="79"/>
      <w:bookmarkEnd w:id="80"/>
    </w:p>
    <w:p w14:paraId="29F89FBE" w14:textId="6F1BF711" w:rsidR="004551AA" w:rsidRPr="009A6C8D" w:rsidRDefault="004551AA" w:rsidP="004551AA">
      <w:pPr>
        <w:ind w:left="-5" w:right="7"/>
      </w:pPr>
      <w:r>
        <w:rPr>
          <w:sz w:val="18"/>
        </w:rPr>
        <w:t xml:space="preserve">A Microsoft compromete-se a estes Termos do GDPR perante todos os clientes a partir de 25 de maio de 2018. Esses compromissos obrigarão a Microsoft com relação ao Cliente independentemente (1) da versão dos DPA que seja de outro modo aplicável a qualquer contrato ou (2) de qualquer outro contrato que faça referência a este anexo. </w:t>
      </w:r>
    </w:p>
    <w:p w14:paraId="0617EB0F" w14:textId="77777777" w:rsidR="00625EEA" w:rsidRPr="009A6C8D" w:rsidRDefault="00625EEA" w:rsidP="00625EEA">
      <w:pPr>
        <w:pStyle w:val="ProductList-Body"/>
        <w:tabs>
          <w:tab w:val="clear" w:pos="158"/>
          <w:tab w:val="left" w:pos="0"/>
        </w:tabs>
        <w:spacing w:after="120"/>
      </w:pPr>
      <w:r>
        <w:t>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w:t>
      </w:r>
    </w:p>
    <w:p w14:paraId="5EA148A2" w14:textId="59616C91" w:rsidR="00625EEA" w:rsidRPr="009A6C8D" w:rsidRDefault="00625EEA" w:rsidP="00625EEA">
      <w:pPr>
        <w:pStyle w:val="ProductList-Body"/>
        <w:spacing w:after="120"/>
      </w:pPr>
      <w:r>
        <w:t>Estes Termos do GDPR não limitam nem reduzem nenhum compromisso de proteção de dados feito pela Microsoft em relação ao Cliente no Adendo de Proteção de Dados de Serviços Profissionais da Microsoft ou em outro contrato firmado entre a Microsoft e o Cliente.</w:t>
      </w:r>
    </w:p>
    <w:p w14:paraId="6C6C52CE" w14:textId="77777777" w:rsidR="00625EEA" w:rsidRPr="009A6C8D" w:rsidRDefault="00625EEA" w:rsidP="00625EEA">
      <w:pPr>
        <w:pStyle w:val="ProductList-Body"/>
        <w:spacing w:after="120"/>
      </w:pPr>
      <w:r>
        <w:t xml:space="preserve">Estes Termos do GDPR não serão aplicáveis se a Microsoft for uma controladora de Dados Pessoais.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Obrigações Relevantes do GDPR: Artigos 28, 32 e 33</w:t>
      </w:r>
    </w:p>
    <w:p w14:paraId="00391A4E" w14:textId="77777777" w:rsidR="00625EEA" w:rsidRPr="009A6C8D" w:rsidRDefault="00625EEA" w:rsidP="00625EEA">
      <w:pPr>
        <w:pStyle w:val="ProductList-Body"/>
      </w:pPr>
    </w:p>
    <w:p w14:paraId="29B2DAE9" w14:textId="64296050" w:rsidR="00625EEA" w:rsidRPr="009A6C8D" w:rsidRDefault="00625EEA" w:rsidP="00625EEA">
      <w:pPr>
        <w:pStyle w:val="ProductList-Body"/>
        <w:spacing w:after="120"/>
        <w:ind w:left="158"/>
      </w:pPr>
      <w:r>
        <w:rPr>
          <w:b/>
        </w:rPr>
        <w:t xml:space="preserve">1. </w:t>
      </w:r>
      <w:r>
        <w:t>A Microsoft não deverá envolver outro processador sem autorização prévia por escrito específica ou geral do Cliente.</w:t>
      </w:r>
      <w:r w:rsidR="00396E17">
        <w:t xml:space="preserve"> </w:t>
      </w:r>
      <w:r>
        <w:t>No caso da autorização por escrito geral, a Microsoft deverá informar ao Cliente de qualquer intenção de alteração quanto à adição ou substituição de outros processadores, dando ao Cliente a oportunidade de contestar tais alterações.</w:t>
      </w:r>
      <w:r w:rsidR="00396E17">
        <w:t xml:space="preserve"> </w:t>
      </w:r>
      <w:r>
        <w:t>(Artigo 28(2))</w:t>
      </w:r>
    </w:p>
    <w:p w14:paraId="4D84D571" w14:textId="760D2E4A" w:rsidR="00625EEA" w:rsidRPr="009A6C8D" w:rsidRDefault="00625EEA" w:rsidP="00625EEA">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w:t>
      </w:r>
      <w:r w:rsidR="00396E17">
        <w:t xml:space="preserve"> </w:t>
      </w:r>
      <w:r>
        <w:t xml:space="preserve">Especificamente, a Microsoft deverá: </w:t>
      </w:r>
    </w:p>
    <w:p w14:paraId="7BFD2C22" w14:textId="437E1742" w:rsidR="00625EEA" w:rsidRPr="009A6C8D" w:rsidRDefault="00625EEA" w:rsidP="00625EEA">
      <w:pPr>
        <w:pStyle w:val="ProductList-Body"/>
        <w:spacing w:after="120"/>
        <w:ind w:left="1440" w:hanging="720"/>
      </w:pPr>
      <w:r>
        <w:rPr>
          <w:b/>
        </w:rPr>
        <w:t>(a)</w:t>
      </w:r>
      <w:r>
        <w:tab/>
        <w:t>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w:t>
      </w:r>
      <w:r w:rsidR="00396E17">
        <w:t xml:space="preserve"> </w:t>
      </w:r>
    </w:p>
    <w:p w14:paraId="3A931D9F" w14:textId="77777777" w:rsidR="00625EEA" w:rsidRPr="009A6C8D" w:rsidRDefault="00625EEA" w:rsidP="00625EEA">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38E42D9C" w14:textId="0E2D75FC" w:rsidR="00625EEA" w:rsidRPr="009A6C8D" w:rsidRDefault="00625EEA" w:rsidP="00625EEA">
      <w:pPr>
        <w:pStyle w:val="ProductList-Body"/>
        <w:spacing w:after="120"/>
        <w:ind w:left="720"/>
      </w:pPr>
      <w:r>
        <w:rPr>
          <w:b/>
        </w:rPr>
        <w:t>(c)</w:t>
      </w:r>
      <w:r>
        <w:tab/>
        <w:t>executar todas as medidas exigidas de acordo com o Artigo 32 do GDPR;</w:t>
      </w:r>
      <w:r w:rsidR="00396E17">
        <w:t xml:space="preserve"> </w:t>
      </w:r>
    </w:p>
    <w:p w14:paraId="24B69323" w14:textId="77777777" w:rsidR="00625EEA" w:rsidRPr="009A6C8D" w:rsidRDefault="00625EEA" w:rsidP="00625EEA">
      <w:pPr>
        <w:pStyle w:val="ProductList-Body"/>
        <w:spacing w:after="120"/>
        <w:ind w:left="720"/>
      </w:pPr>
      <w:r>
        <w:rPr>
          <w:b/>
        </w:rPr>
        <w:t>(d)</w:t>
      </w:r>
      <w:r>
        <w:tab/>
        <w:t xml:space="preserve">respeitar as condições mencionadas nos parágrafos 1 e 3 para contratar outro processador; </w:t>
      </w:r>
    </w:p>
    <w:p w14:paraId="0B377AE9" w14:textId="3F56E12E" w:rsidR="00625EEA" w:rsidRPr="009A6C8D" w:rsidRDefault="00625EEA" w:rsidP="00625EEA">
      <w:pPr>
        <w:pStyle w:val="ProductList-Body"/>
        <w:spacing w:after="120"/>
        <w:ind w:left="1440" w:hanging="720"/>
      </w:pPr>
      <w:r>
        <w:rPr>
          <w:b/>
        </w:rPr>
        <w:t>(e)</w:t>
      </w:r>
      <w:r>
        <w:tab/>
        <w:t>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w:t>
      </w:r>
      <w:r w:rsidR="00396E17">
        <w:t xml:space="preserve"> </w:t>
      </w:r>
    </w:p>
    <w:p w14:paraId="6A730446" w14:textId="77777777" w:rsidR="00625EEA" w:rsidRPr="009A6C8D" w:rsidRDefault="00625EEA" w:rsidP="00625EEA">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977E425" w14:textId="05602532" w:rsidR="00625EEA" w:rsidRPr="009A6C8D" w:rsidRDefault="00625EEA" w:rsidP="00625EEA">
      <w:pPr>
        <w:pStyle w:val="ProductList-Body"/>
        <w:spacing w:after="120"/>
        <w:ind w:left="1440" w:hanging="720"/>
      </w:pPr>
      <w:r>
        <w:rPr>
          <w:b/>
        </w:rPr>
        <w:t>(g)</w:t>
      </w:r>
      <w:r>
        <w:tab/>
        <w:t>a critério do Cliente, excluir ou devolver todos os Dados Pessoais ao Cliente depois do final da prestação de serviços com relação ao processamento e excluir as cópias existentes, a menos que a lei do Estado Membro ou da União exija o armazenamento dos Dados Pessoais;</w:t>
      </w:r>
      <w:r w:rsidR="00396E17">
        <w:t xml:space="preserve"> </w:t>
      </w:r>
    </w:p>
    <w:p w14:paraId="67783CCD" w14:textId="77777777" w:rsidR="00625EEA" w:rsidRPr="009A6C8D" w:rsidRDefault="00625EEA" w:rsidP="00625EEA">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0AC16AC1" w14:textId="41BA064A" w:rsidR="00625EEA" w:rsidRPr="009A6C8D" w:rsidRDefault="00625EEA" w:rsidP="00625EEA">
      <w:pPr>
        <w:pStyle w:val="ProductList-Body"/>
        <w:spacing w:after="120"/>
        <w:ind w:left="158"/>
      </w:pPr>
      <w:r>
        <w:t>A Microsoft deverá informar o Cliente imediatamente se, em sua opinião, uma instrução infringir as cláusulas de proteção de dados do GDPR ou outras do Estado Membro ou da União.</w:t>
      </w:r>
      <w:r w:rsidR="00396E17">
        <w:t xml:space="preserve"> </w:t>
      </w:r>
      <w:r>
        <w:t>(Artigo 28(3))</w:t>
      </w:r>
    </w:p>
    <w:p w14:paraId="39291F44" w14:textId="178667C7" w:rsidR="00625EEA" w:rsidRPr="009A6C8D" w:rsidRDefault="00625EEA" w:rsidP="00625EEA">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w:t>
      </w:r>
      <w:r>
        <w:lastRenderedPageBreak/>
        <w:t>técnicas e organizacionais apropriadas de tal forma que o processamento cumpra as exigências do GDPR.</w:t>
      </w:r>
      <w:r w:rsidR="00396E17">
        <w:t xml:space="preserve"> </w:t>
      </w:r>
      <w:r>
        <w:t>Se o outro processador não cumprir suas obrigações de proteção de dados, a Microsoft permanecerá totalmente responsável perante o Cliente pelo desempenho das obrigações do outro processador.</w:t>
      </w:r>
      <w:r w:rsidR="00396E17">
        <w:t xml:space="preserve"> </w:t>
      </w:r>
      <w:r>
        <w:t>(Artigo 28(4))</w:t>
      </w:r>
    </w:p>
    <w:p w14:paraId="79A15389" w14:textId="77777777" w:rsidR="00625EEA" w:rsidRPr="009A6C8D" w:rsidRDefault="00625EEA" w:rsidP="00625EEA">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73702569" w14:textId="77777777" w:rsidR="00625EEA" w:rsidRPr="009A6C8D" w:rsidRDefault="00625EEA" w:rsidP="00396E17">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40E7ABA1" w14:textId="586D5EE3" w:rsidR="00625EEA" w:rsidRPr="009A6C8D" w:rsidRDefault="00625EEA" w:rsidP="00625EEA">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w:t>
      </w:r>
      <w:r w:rsidR="00396E17">
        <w:rPr>
          <w:rFonts w:cstheme="minorHAnsi"/>
          <w:szCs w:val="18"/>
        </w:rPr>
        <w:t xml:space="preserve"> </w:t>
      </w:r>
      <w:r>
        <w:rPr>
          <w:rFonts w:cstheme="minorHAnsi"/>
          <w:szCs w:val="18"/>
        </w:rPr>
        <w:t>(Artigo 32(1))</w:t>
      </w:r>
    </w:p>
    <w:p w14:paraId="12B01B5A" w14:textId="410F96B6" w:rsidR="00625EEA" w:rsidRPr="009A6C8D" w:rsidRDefault="00625EEA" w:rsidP="00625EEA">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w:t>
      </w:r>
      <w:r w:rsidR="00396E17">
        <w:t xml:space="preserve"> </w:t>
      </w:r>
      <w:r>
        <w:t>(Artigo 32(2))</w:t>
      </w:r>
    </w:p>
    <w:p w14:paraId="091619B3" w14:textId="6E4E1231" w:rsidR="00625EEA" w:rsidRPr="009A6C8D" w:rsidRDefault="00625EEA" w:rsidP="00625EEA">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w:t>
      </w:r>
      <w:r w:rsidR="00396E17">
        <w:t xml:space="preserve"> </w:t>
      </w:r>
      <w:r>
        <w:t>(Artigo 32(4))</w:t>
      </w:r>
    </w:p>
    <w:p w14:paraId="2FE49EE0" w14:textId="5CF574EF" w:rsidR="00625EEA" w:rsidRPr="009A6C8D" w:rsidRDefault="00625EEA" w:rsidP="00625EEA">
      <w:pPr>
        <w:pStyle w:val="ProductList-Body"/>
        <w:spacing w:after="120"/>
        <w:ind w:left="158"/>
      </w:pPr>
      <w:r>
        <w:rPr>
          <w:b/>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18DA4C" w14:textId="77777777" w:rsidR="00D45CB2" w:rsidRDefault="00D45CB2" w:rsidP="002B6601">
      <w:pPr>
        <w:spacing w:after="0" w:line="240" w:lineRule="auto"/>
      </w:pPr>
      <w:r>
        <w:separator/>
      </w:r>
    </w:p>
  </w:endnote>
  <w:endnote w:type="continuationSeparator" w:id="0">
    <w:p w14:paraId="4DDFD26D" w14:textId="77777777" w:rsidR="00D45CB2" w:rsidRDefault="00D45CB2" w:rsidP="002B6601">
      <w:pPr>
        <w:spacing w:after="0" w:line="240" w:lineRule="auto"/>
      </w:pPr>
      <w:r>
        <w:continuationSeparator/>
      </w:r>
    </w:p>
  </w:endnote>
  <w:endnote w:type="continuationNotice" w:id="1">
    <w:p w14:paraId="5A01B4A9" w14:textId="77777777" w:rsidR="00D45CB2" w:rsidRDefault="00D45C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65368" w14:textId="77777777" w:rsidR="0022660A" w:rsidRDefault="002266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1EA9B" w14:textId="77777777" w:rsidR="0022660A" w:rsidRDefault="002266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3A1D"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A83A1D" w:rsidRPr="00C76DF3" w:rsidRDefault="00D45CB2" w:rsidP="002C4382">
          <w:pPr>
            <w:pStyle w:val="ProductList-OfferingBody"/>
            <w:ind w:left="-77" w:right="-73"/>
            <w:jc w:val="center"/>
            <w:rPr>
              <w:color w:val="808080" w:themeColor="background1" w:themeShade="80"/>
              <w:sz w:val="14"/>
              <w:szCs w:val="14"/>
            </w:rPr>
          </w:pPr>
          <w:hyperlink w:anchor="TableofContents" w:history="1">
            <w:r w:rsidR="00A83A1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A83A1D" w:rsidRPr="00C76DF3" w:rsidRDefault="00A83A1D"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A83A1D" w:rsidRPr="00C76DF3" w:rsidRDefault="00D45CB2" w:rsidP="002C4382">
          <w:pPr>
            <w:pStyle w:val="ProductList-OfferingBody"/>
            <w:ind w:left="-72" w:right="-74"/>
            <w:jc w:val="center"/>
            <w:rPr>
              <w:color w:val="808080" w:themeColor="background1" w:themeShade="80"/>
              <w:sz w:val="14"/>
              <w:szCs w:val="14"/>
            </w:rPr>
          </w:pPr>
          <w:hyperlink w:anchor="Introdução" w:history="1">
            <w:r w:rsidR="00A83A1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A83A1D" w:rsidRPr="00C76DF3" w:rsidRDefault="00A83A1D"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A83A1D" w:rsidRPr="00C76DF3" w:rsidRDefault="00D45CB2" w:rsidP="002C4382">
          <w:pPr>
            <w:pStyle w:val="ProductList-OfferingBody"/>
            <w:ind w:left="-72" w:right="-75"/>
            <w:jc w:val="center"/>
            <w:rPr>
              <w:color w:val="808080" w:themeColor="background1" w:themeShade="80"/>
              <w:sz w:val="14"/>
              <w:szCs w:val="14"/>
            </w:rPr>
          </w:pPr>
          <w:hyperlink w:anchor="GeneralTerms" w:history="1">
            <w:r w:rsidR="00A83A1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A83A1D" w:rsidRPr="00C76DF3" w:rsidRDefault="00A83A1D"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A83A1D" w:rsidRPr="00C76DF3" w:rsidRDefault="00D45CB2" w:rsidP="002C4382">
          <w:pPr>
            <w:pStyle w:val="ProductList-OfferingBody"/>
            <w:ind w:left="-72" w:right="-77"/>
            <w:jc w:val="center"/>
            <w:rPr>
              <w:color w:val="808080" w:themeColor="background1" w:themeShade="80"/>
              <w:sz w:val="14"/>
              <w:szCs w:val="14"/>
            </w:rPr>
          </w:pPr>
          <w:hyperlink w:anchor="PrivacyandSecurityTerms" w:history="1">
            <w:r w:rsidR="00A83A1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A83A1D" w:rsidRPr="00C76DF3" w:rsidRDefault="00A83A1D"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A83A1D" w:rsidRPr="00C76DF3" w:rsidRDefault="00D45CB2" w:rsidP="002C4382">
          <w:pPr>
            <w:pStyle w:val="ProductList-OfferingBody"/>
            <w:ind w:left="-72" w:right="-77"/>
            <w:jc w:val="center"/>
            <w:rPr>
              <w:color w:val="808080" w:themeColor="background1" w:themeShade="80"/>
              <w:sz w:val="14"/>
              <w:szCs w:val="14"/>
            </w:rPr>
          </w:pPr>
          <w:hyperlink w:anchor="OnlineServiceSpecificTerms" w:history="1">
            <w:r w:rsidR="00A83A1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A83A1D" w:rsidRPr="00C76DF3" w:rsidRDefault="00A83A1D"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A83A1D" w:rsidRPr="00C76DF3" w:rsidRDefault="00D45CB2" w:rsidP="002C4382">
          <w:pPr>
            <w:pStyle w:val="ProductList-OfferingBody"/>
            <w:ind w:left="-72" w:right="-76"/>
            <w:jc w:val="center"/>
            <w:rPr>
              <w:color w:val="808080" w:themeColor="background1" w:themeShade="80"/>
              <w:sz w:val="14"/>
              <w:szCs w:val="14"/>
            </w:rPr>
          </w:pPr>
          <w:hyperlink w:anchor="Attachment1" w:history="1">
            <w:r w:rsidR="00A83A1D">
              <w:rPr>
                <w:rStyle w:val="Hyperlink"/>
                <w:sz w:val="14"/>
                <w:szCs w:val="14"/>
              </w:rPr>
              <w:t>Anexos</w:t>
            </w:r>
          </w:hyperlink>
        </w:p>
      </w:tc>
    </w:tr>
  </w:tbl>
  <w:p w14:paraId="3C557039" w14:textId="77777777" w:rsidR="00A83A1D" w:rsidRPr="00591643" w:rsidRDefault="00A83A1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A83A1D" w:rsidRDefault="00A83A1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5E4ADA" w14:textId="4C0703C7" w:rsidR="00A83A1D" w:rsidRPr="00171B2E" w:rsidRDefault="00A83A1D" w:rsidP="00396E17">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55168" behindDoc="0" locked="0" layoutInCell="0" allowOverlap="1" wp14:anchorId="7525CDCF" wp14:editId="4655672C">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138C15A" w14:textId="77777777" w:rsidR="00A83A1D" w:rsidRPr="00B0434E" w:rsidRDefault="00A83A1D" w:rsidP="00396E1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525CDCF"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516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2138C15A" w14:textId="77777777" w:rsidR="00A83A1D" w:rsidRPr="00B0434E" w:rsidRDefault="00A83A1D" w:rsidP="00396E17">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w:t>
        </w:r>
        <w:r>
          <w:rPr>
            <w:color w:val="404040" w:themeColor="text1" w:themeTint="BF"/>
            <w:sz w:val="16"/>
            <w:szCs w:val="16"/>
          </w:rPr>
          <w:t xml:space="preserve">Protection Addendum </w:t>
        </w:r>
        <w:r w:rsidRPr="004D27A6">
          <w:rPr>
            <w:color w:val="404040" w:themeColor="text1" w:themeTint="BF"/>
            <w:sz w:val="16"/>
            <w:szCs w:val="16"/>
          </w:rPr>
          <w:t xml:space="preserve">(Worldwide </w:t>
        </w:r>
        <w:r w:rsidRPr="006268A9">
          <w:rPr>
            <w:color w:val="404040" w:themeColor="text1" w:themeTint="BF"/>
            <w:sz w:val="16"/>
            <w:szCs w:val="16"/>
          </w:rPr>
          <w:t>Portuguese</w:t>
        </w:r>
        <w:r w:rsidR="0022660A">
          <w:rPr>
            <w:color w:val="404040" w:themeColor="text1" w:themeTint="BF"/>
            <w:sz w:val="16"/>
            <w:szCs w:val="16"/>
          </w:rPr>
          <w:t>-Brazil</w:t>
        </w:r>
        <w:r w:rsidRPr="004D27A6">
          <w:rPr>
            <w:color w:val="404040" w:themeColor="text1" w:themeTint="BF"/>
            <w:sz w:val="16"/>
            <w:szCs w:val="16"/>
          </w:rPr>
          <w:t xml:space="preserve">, </w:t>
        </w:r>
        <w:r w:rsidR="0022660A">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FC17CA">
          <w:rPr>
            <w:noProof/>
            <w:color w:val="404040" w:themeColor="text1" w:themeTint="BF"/>
            <w:sz w:val="16"/>
            <w:szCs w:val="16"/>
          </w:rPr>
          <w:t>5</w:t>
        </w:r>
        <w:r w:rsidRPr="004D27A6">
          <w:rPr>
            <w:noProof/>
            <w:color w:val="404040" w:themeColor="text1" w:themeTint="BF"/>
            <w:sz w:val="16"/>
            <w:szCs w:val="16"/>
          </w:rPr>
          <w:fldChar w:fldCharType="end"/>
        </w:r>
      </w:sdtContent>
    </w:sdt>
  </w:p>
  <w:p w14:paraId="516A46AA" w14:textId="77777777" w:rsidR="00A83A1D" w:rsidRPr="00591643" w:rsidRDefault="00A83A1D" w:rsidP="00396E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C3BA73" w14:textId="51369D54" w:rsidR="00A83A1D" w:rsidRPr="00171B2E" w:rsidRDefault="00A83A1D" w:rsidP="00396E17">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6432" behindDoc="0" locked="0" layoutInCell="0" allowOverlap="1" wp14:anchorId="6847599B" wp14:editId="14456B40">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B2168F1" w14:textId="77777777" w:rsidR="00A83A1D" w:rsidRPr="00B0434E" w:rsidRDefault="00A83A1D" w:rsidP="00396E1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847599B"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643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" o:allowincell="f" filled="f" stroked="f" strokeweight=".5pt">
              <v:textbox inset="20pt,0,,0">
                <w:txbxContent>
                  <w:p w14:paraId="3B2168F1" w14:textId="77777777" w:rsidR="00A83A1D" w:rsidRPr="00B0434E" w:rsidRDefault="00A83A1D" w:rsidP="00396E17">
                    <w:pPr>
                      <w:spacing w:after="0"/>
                      <w:rPr>
                        <w:rFonts w:ascii="Calibri" w:hAnsi="Calibri" w:cs="Calibri"/>
                        <w:color w:val="000000"/>
                        <w:sz w:val="20"/>
                      </w:rPr>
                    </w:pPr>
                  </w:p>
                </w:txbxContent>
              </v:textbox>
              <w10:wrap anchorx="page" anchory="page"/>
            </v:shape>
          </w:pict>
        </mc:Fallback>
      </mc:AlternateContent>
    </w:r>
    <w:sdt>
      <w:sdtPr>
        <w:id w:val="1582094307"/>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6268A9">
          <w:rPr>
            <w:color w:val="404040" w:themeColor="text1" w:themeTint="BF"/>
            <w:sz w:val="16"/>
            <w:szCs w:val="16"/>
          </w:rPr>
          <w:t>Portuguese</w:t>
        </w:r>
        <w:r w:rsidR="0022660A">
          <w:rPr>
            <w:color w:val="404040" w:themeColor="text1" w:themeTint="BF"/>
            <w:sz w:val="16"/>
            <w:szCs w:val="16"/>
          </w:rPr>
          <w:t>-Brazil</w:t>
        </w:r>
        <w:r w:rsidRPr="004D27A6">
          <w:rPr>
            <w:color w:val="404040" w:themeColor="text1" w:themeTint="BF"/>
            <w:sz w:val="16"/>
            <w:szCs w:val="16"/>
          </w:rPr>
          <w:t xml:space="preserve">, </w:t>
        </w:r>
        <w:r w:rsidR="0022660A">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FC17CA">
          <w:rPr>
            <w:noProof/>
            <w:color w:val="404040" w:themeColor="text1" w:themeTint="BF"/>
            <w:sz w:val="16"/>
            <w:szCs w:val="16"/>
          </w:rPr>
          <w:t>3</w:t>
        </w:r>
        <w:r w:rsidRPr="004D27A6">
          <w:rPr>
            <w:noProof/>
            <w:color w:val="404040" w:themeColor="text1" w:themeTint="BF"/>
            <w:sz w:val="16"/>
            <w:szCs w:val="16"/>
          </w:rPr>
          <w:fldChar w:fldCharType="end"/>
        </w:r>
      </w:sdtContent>
    </w:sdt>
  </w:p>
  <w:p w14:paraId="6ED47988" w14:textId="77777777" w:rsidR="00A83A1D" w:rsidRPr="00591643" w:rsidRDefault="00A83A1D" w:rsidP="00396E1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766577" w14:textId="77777777" w:rsidR="00D45CB2" w:rsidRDefault="00D45CB2" w:rsidP="002B6601">
      <w:pPr>
        <w:spacing w:after="0" w:line="240" w:lineRule="auto"/>
      </w:pPr>
      <w:r>
        <w:separator/>
      </w:r>
    </w:p>
  </w:footnote>
  <w:footnote w:type="continuationSeparator" w:id="0">
    <w:p w14:paraId="18AC6D95" w14:textId="77777777" w:rsidR="00D45CB2" w:rsidRDefault="00D45CB2" w:rsidP="002B6601">
      <w:pPr>
        <w:spacing w:after="0" w:line="240" w:lineRule="auto"/>
      </w:pPr>
      <w:r>
        <w:continuationSeparator/>
      </w:r>
    </w:p>
  </w:footnote>
  <w:footnote w:type="continuationNotice" w:id="1">
    <w:p w14:paraId="29D8FF70" w14:textId="77777777" w:rsidR="00D45CB2" w:rsidRDefault="00D45C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5E0016" w14:textId="77777777" w:rsidR="0022660A" w:rsidRDefault="002266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11DE8533" w:rsidR="00A83A1D" w:rsidRPr="00DC08DC" w:rsidRDefault="00D45CB2"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A83A1D">
          <w:rPr>
            <w:sz w:val="16"/>
            <w:szCs w:val="16"/>
          </w:rPr>
          <w:t>Adendo de Proteção de Dados dos Serviços Profissionais da Microsoft (Português do Brasil, fevereiro de 2020)</w:t>
        </w:r>
        <w:r w:rsidR="00A83A1D">
          <w:rPr>
            <w:sz w:val="16"/>
            <w:szCs w:val="16"/>
          </w:rPr>
          <w:tab/>
        </w:r>
        <w:r w:rsidR="00A83A1D">
          <w:rPr>
            <w:sz w:val="16"/>
            <w:szCs w:val="16"/>
          </w:rPr>
          <w:fldChar w:fldCharType="begin"/>
        </w:r>
        <w:r w:rsidR="00A83A1D" w:rsidRPr="00DC08DC">
          <w:rPr>
            <w:sz w:val="16"/>
            <w:szCs w:val="16"/>
          </w:rPr>
          <w:instrText xml:space="preserve"> PAGE   \* MERGEFORMAT </w:instrText>
        </w:r>
        <w:r w:rsidR="00A83A1D">
          <w:rPr>
            <w:sz w:val="16"/>
            <w:szCs w:val="16"/>
          </w:rPr>
          <w:fldChar w:fldCharType="separate"/>
        </w:r>
        <w:r w:rsidR="00FC17CA">
          <w:rPr>
            <w:noProof/>
            <w:sz w:val="16"/>
            <w:szCs w:val="16"/>
          </w:rPr>
          <w:t>2</w:t>
        </w:r>
        <w:r w:rsidR="00A83A1D">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A83A1D" w:rsidRPr="00DC08DC" w:rsidRDefault="00A83A1D" w:rsidP="002C4382">
        <w:pPr>
          <w:pStyle w:val="ProductList-Body"/>
          <w:tabs>
            <w:tab w:val="right" w:pos="10800"/>
          </w:tabs>
          <w:spacing w:before="20" w:after="20"/>
          <w:rPr>
            <w:noProof/>
            <w:sz w:val="16"/>
            <w:szCs w:val="16"/>
          </w:rPr>
        </w:pPr>
        <w:r>
          <w:rPr>
            <w:sz w:val="16"/>
            <w:szCs w:val="16"/>
          </w:rPr>
          <w:t>Adendo de Proteção de Dados dos Microsoft Online Services (Português do Brasil, janeiro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A83A1D" w:rsidRDefault="00A83A1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A83A1D" w:rsidRDefault="00A83A1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A83A1D" w:rsidRDefault="00A83A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VvwE8w9H6dNoXYRUS5DbNvHtDWy14Z99TEOuQjQ04f7AnUwYxEK5ENCwPv154eB1yhlgCWi66aKXUpagxjdzoA==" w:salt="KuWgIQTrhzn/arLmFLDRB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6601"/>
    <w:rsid w:val="000016DB"/>
    <w:rsid w:val="0000273F"/>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2D34"/>
    <w:rsid w:val="000938C5"/>
    <w:rsid w:val="000949EA"/>
    <w:rsid w:val="000959B7"/>
    <w:rsid w:val="00096D05"/>
    <w:rsid w:val="000A29E4"/>
    <w:rsid w:val="000B0D78"/>
    <w:rsid w:val="000B2C36"/>
    <w:rsid w:val="000B345A"/>
    <w:rsid w:val="000C1A03"/>
    <w:rsid w:val="000C45A7"/>
    <w:rsid w:val="000D0864"/>
    <w:rsid w:val="000D14EA"/>
    <w:rsid w:val="000D6A2F"/>
    <w:rsid w:val="000E4CF9"/>
    <w:rsid w:val="000E58BC"/>
    <w:rsid w:val="000E6A23"/>
    <w:rsid w:val="000E726C"/>
    <w:rsid w:val="000F22DE"/>
    <w:rsid w:val="000F77AC"/>
    <w:rsid w:val="001045D1"/>
    <w:rsid w:val="00114388"/>
    <w:rsid w:val="00116A51"/>
    <w:rsid w:val="001407C2"/>
    <w:rsid w:val="0014141B"/>
    <w:rsid w:val="00142ADF"/>
    <w:rsid w:val="00143DAE"/>
    <w:rsid w:val="001446B0"/>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C6465"/>
    <w:rsid w:val="001D3126"/>
    <w:rsid w:val="001D3737"/>
    <w:rsid w:val="001D6734"/>
    <w:rsid w:val="001F563A"/>
    <w:rsid w:val="002076D7"/>
    <w:rsid w:val="002112B9"/>
    <w:rsid w:val="0022660A"/>
    <w:rsid w:val="00226743"/>
    <w:rsid w:val="00227691"/>
    <w:rsid w:val="002322D0"/>
    <w:rsid w:val="002335A3"/>
    <w:rsid w:val="002358BC"/>
    <w:rsid w:val="00237F97"/>
    <w:rsid w:val="00243A79"/>
    <w:rsid w:val="002536E0"/>
    <w:rsid w:val="00253F12"/>
    <w:rsid w:val="00255BAE"/>
    <w:rsid w:val="00262A0C"/>
    <w:rsid w:val="00263962"/>
    <w:rsid w:val="0027299A"/>
    <w:rsid w:val="002831FB"/>
    <w:rsid w:val="00290F01"/>
    <w:rsid w:val="002A5DA7"/>
    <w:rsid w:val="002A7647"/>
    <w:rsid w:val="002B0389"/>
    <w:rsid w:val="002B6601"/>
    <w:rsid w:val="002B7C82"/>
    <w:rsid w:val="002C273D"/>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6E17"/>
    <w:rsid w:val="00397835"/>
    <w:rsid w:val="003B2F80"/>
    <w:rsid w:val="003C2ADF"/>
    <w:rsid w:val="003D4545"/>
    <w:rsid w:val="003D4A3D"/>
    <w:rsid w:val="003E5BE7"/>
    <w:rsid w:val="003E6E91"/>
    <w:rsid w:val="003F1F7D"/>
    <w:rsid w:val="003F2118"/>
    <w:rsid w:val="003F5723"/>
    <w:rsid w:val="003F5FC3"/>
    <w:rsid w:val="0040037A"/>
    <w:rsid w:val="00401F30"/>
    <w:rsid w:val="00405FC5"/>
    <w:rsid w:val="00414EAA"/>
    <w:rsid w:val="00427921"/>
    <w:rsid w:val="00441F17"/>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31DA"/>
    <w:rsid w:val="00693077"/>
    <w:rsid w:val="006A3D1E"/>
    <w:rsid w:val="006A7951"/>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374FD"/>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17015"/>
    <w:rsid w:val="008205B3"/>
    <w:rsid w:val="0082263D"/>
    <w:rsid w:val="0082589E"/>
    <w:rsid w:val="00833A8E"/>
    <w:rsid w:val="00841444"/>
    <w:rsid w:val="00857169"/>
    <w:rsid w:val="0086626A"/>
    <w:rsid w:val="00873349"/>
    <w:rsid w:val="00875527"/>
    <w:rsid w:val="00875D7F"/>
    <w:rsid w:val="008941C1"/>
    <w:rsid w:val="00895280"/>
    <w:rsid w:val="008A06F1"/>
    <w:rsid w:val="008A11FF"/>
    <w:rsid w:val="008B661D"/>
    <w:rsid w:val="008E23CC"/>
    <w:rsid w:val="008E2F9C"/>
    <w:rsid w:val="008F4160"/>
    <w:rsid w:val="008F5BF9"/>
    <w:rsid w:val="00907C84"/>
    <w:rsid w:val="0093044A"/>
    <w:rsid w:val="00931CB0"/>
    <w:rsid w:val="00940A78"/>
    <w:rsid w:val="00940D09"/>
    <w:rsid w:val="00950290"/>
    <w:rsid w:val="00960DFF"/>
    <w:rsid w:val="00961491"/>
    <w:rsid w:val="00962A34"/>
    <w:rsid w:val="00967E11"/>
    <w:rsid w:val="0097746A"/>
    <w:rsid w:val="00985468"/>
    <w:rsid w:val="009A6C8D"/>
    <w:rsid w:val="009B4081"/>
    <w:rsid w:val="009B7441"/>
    <w:rsid w:val="009B74CF"/>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48ED"/>
    <w:rsid w:val="00A37088"/>
    <w:rsid w:val="00A37FA5"/>
    <w:rsid w:val="00A42107"/>
    <w:rsid w:val="00A4569D"/>
    <w:rsid w:val="00A517EB"/>
    <w:rsid w:val="00A56509"/>
    <w:rsid w:val="00A62345"/>
    <w:rsid w:val="00A7752B"/>
    <w:rsid w:val="00A80FC4"/>
    <w:rsid w:val="00A83A1D"/>
    <w:rsid w:val="00A856AE"/>
    <w:rsid w:val="00A856DE"/>
    <w:rsid w:val="00A9754C"/>
    <w:rsid w:val="00AB0EA7"/>
    <w:rsid w:val="00AB1887"/>
    <w:rsid w:val="00AB6BFF"/>
    <w:rsid w:val="00AB78AD"/>
    <w:rsid w:val="00AC15DA"/>
    <w:rsid w:val="00AC60ED"/>
    <w:rsid w:val="00AD2F0F"/>
    <w:rsid w:val="00AE5113"/>
    <w:rsid w:val="00B052E7"/>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2724B"/>
    <w:rsid w:val="00D32CF8"/>
    <w:rsid w:val="00D34F6F"/>
    <w:rsid w:val="00D35EC5"/>
    <w:rsid w:val="00D45CB2"/>
    <w:rsid w:val="00D46A9B"/>
    <w:rsid w:val="00D473A6"/>
    <w:rsid w:val="00D47FD2"/>
    <w:rsid w:val="00D50F2F"/>
    <w:rsid w:val="00D60A6A"/>
    <w:rsid w:val="00D64FB6"/>
    <w:rsid w:val="00D71FB1"/>
    <w:rsid w:val="00D72A0F"/>
    <w:rsid w:val="00D7427E"/>
    <w:rsid w:val="00D874B5"/>
    <w:rsid w:val="00DA2AB8"/>
    <w:rsid w:val="00DA5CF8"/>
    <w:rsid w:val="00DB7289"/>
    <w:rsid w:val="00DC2CF3"/>
    <w:rsid w:val="00DE4A23"/>
    <w:rsid w:val="00DF2E9F"/>
    <w:rsid w:val="00E02086"/>
    <w:rsid w:val="00E07AC2"/>
    <w:rsid w:val="00E17015"/>
    <w:rsid w:val="00E2424D"/>
    <w:rsid w:val="00E31881"/>
    <w:rsid w:val="00E35C20"/>
    <w:rsid w:val="00E36ECD"/>
    <w:rsid w:val="00E46A8A"/>
    <w:rsid w:val="00E5430C"/>
    <w:rsid w:val="00E633F0"/>
    <w:rsid w:val="00E65B3D"/>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6A2A"/>
    <w:rsid w:val="00EC7CE0"/>
    <w:rsid w:val="00ED268F"/>
    <w:rsid w:val="00ED598A"/>
    <w:rsid w:val="00EF2223"/>
    <w:rsid w:val="00F10271"/>
    <w:rsid w:val="00F25A1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17CA"/>
    <w:rsid w:val="00FC37BF"/>
    <w:rsid w:val="00FC3A59"/>
    <w:rsid w:val="00FD088E"/>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9C1A8-73B9-4FA0-AC07-A46C96149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12666</Words>
  <Characters>72198</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2020-02-14T23:29:00Z</dcterms:created>
  <dcterms:modified xsi:type="dcterms:W3CDTF">2020-02-14T23:29:00Z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